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FC585D" w14:textId="2E5FD2ED" w:rsidR="00904FDA" w:rsidRPr="005F62F4" w:rsidRDefault="00265597" w:rsidP="00612413">
      <w:pPr>
        <w:pStyle w:val="Title"/>
      </w:pPr>
      <w:bookmarkStart w:id="0" w:name="_Toc120178278"/>
      <w:r w:rsidRPr="005F62F4">
        <w:t>P</w:t>
      </w:r>
      <w:bookmarkStart w:id="1" w:name="_Ref119398060"/>
      <w:bookmarkEnd w:id="1"/>
      <w:r w:rsidRPr="005F62F4">
        <w:t>rostheses List</w:t>
      </w:r>
      <w:r w:rsidR="008607B2" w:rsidRPr="005F62F4">
        <w:br/>
      </w:r>
      <w:r w:rsidR="00904FDA" w:rsidRPr="005F62F4">
        <w:t>Post-</w:t>
      </w:r>
      <w:r w:rsidRPr="005F62F4">
        <w:t>Listing</w:t>
      </w:r>
      <w:r w:rsidR="00904FDA" w:rsidRPr="005F62F4">
        <w:t xml:space="preserve"> Review</w:t>
      </w:r>
      <w:bookmarkEnd w:id="0"/>
    </w:p>
    <w:p w14:paraId="36D6B09E" w14:textId="5549E7F2" w:rsidR="00904FDA" w:rsidRPr="005F62F4" w:rsidRDefault="00481667" w:rsidP="004B11AD">
      <w:pPr>
        <w:pStyle w:val="Subtitle"/>
      </w:pPr>
      <w:r w:rsidRPr="005F62F4">
        <w:t xml:space="preserve">Review of surgical guides and </w:t>
      </w:r>
      <w:proofErr w:type="spellStart"/>
      <w:r w:rsidRPr="005F62F4">
        <w:t>biomodels</w:t>
      </w:r>
      <w:proofErr w:type="spellEnd"/>
      <w:r w:rsidRPr="005F62F4">
        <w:t xml:space="preserve"> </w:t>
      </w:r>
      <w:r w:rsidR="00612413" w:rsidRPr="005F62F4">
        <w:br/>
      </w:r>
      <w:r w:rsidRPr="005F62F4">
        <w:t>current</w:t>
      </w:r>
      <w:r w:rsidR="00612413" w:rsidRPr="005F62F4">
        <w:t>ly</w:t>
      </w:r>
      <w:r w:rsidRPr="005F62F4">
        <w:t xml:space="preserve"> listed on the Prostheses List</w:t>
      </w:r>
    </w:p>
    <w:p w14:paraId="65426627" w14:textId="549437D6" w:rsidR="00904FDA" w:rsidRPr="005F62F4" w:rsidRDefault="00904FDA" w:rsidP="00A40BDA">
      <w:pPr>
        <w:pStyle w:val="Date"/>
      </w:pPr>
      <w:bookmarkStart w:id="2" w:name="_Toc341175223"/>
      <w:bookmarkStart w:id="3" w:name="_Toc341180114"/>
      <w:bookmarkStart w:id="4" w:name="_Toc341718010"/>
      <w:bookmarkStart w:id="5" w:name="_Toc341946998"/>
      <w:bookmarkStart w:id="6" w:name="_Toc341964940"/>
      <w:bookmarkStart w:id="7" w:name="_Toc342478568"/>
      <w:bookmarkStart w:id="8" w:name="_Toc342558104"/>
      <w:bookmarkStart w:id="9" w:name="_Toc351967067"/>
      <w:bookmarkStart w:id="10" w:name="_Toc359831559"/>
      <w:bookmarkStart w:id="11" w:name="_Toc359914389"/>
      <w:bookmarkStart w:id="12" w:name="_Toc360710900"/>
      <w:bookmarkStart w:id="13" w:name="_Toc368383244"/>
      <w:bookmarkStart w:id="14" w:name="_Toc371521186"/>
      <w:r w:rsidRPr="005F62F4">
        <w:t>Report to</w:t>
      </w:r>
      <w:bookmarkEnd w:id="2"/>
      <w:bookmarkEnd w:id="3"/>
      <w:bookmarkEnd w:id="4"/>
      <w:bookmarkEnd w:id="5"/>
      <w:bookmarkEnd w:id="6"/>
      <w:bookmarkEnd w:id="7"/>
      <w:bookmarkEnd w:id="8"/>
      <w:bookmarkEnd w:id="9"/>
      <w:bookmarkEnd w:id="10"/>
      <w:bookmarkEnd w:id="11"/>
      <w:bookmarkEnd w:id="12"/>
      <w:bookmarkEnd w:id="13"/>
      <w:bookmarkEnd w:id="14"/>
      <w:r w:rsidR="00093A75" w:rsidRPr="005F62F4">
        <w:t xml:space="preserve"> the Department of Health and Aged Care</w:t>
      </w:r>
    </w:p>
    <w:p w14:paraId="6071625E" w14:textId="53550B63" w:rsidR="00904FDA" w:rsidRPr="005F62F4" w:rsidRDefault="00B94285" w:rsidP="00A40BDA">
      <w:pPr>
        <w:pStyle w:val="Date"/>
      </w:pPr>
      <w:r w:rsidRPr="005F62F4">
        <w:t>FINAL</w:t>
      </w:r>
      <w:r w:rsidR="001869BF" w:rsidRPr="005F62F4">
        <w:t xml:space="preserve"> REPORT</w:t>
      </w:r>
    </w:p>
    <w:p w14:paraId="50FBD6FD" w14:textId="143766AC" w:rsidR="00261AF0" w:rsidRPr="005F62F4" w:rsidRDefault="00B94285" w:rsidP="0075558C">
      <w:pPr>
        <w:jc w:val="center"/>
      </w:pPr>
      <w:r w:rsidRPr="005F62F4">
        <w:t>3 March</w:t>
      </w:r>
      <w:r w:rsidR="001C7E73" w:rsidRPr="005F62F4">
        <w:t xml:space="preserve"> 202</w:t>
      </w:r>
      <w:r w:rsidRPr="005F62F4">
        <w:t>3</w:t>
      </w:r>
    </w:p>
    <w:p w14:paraId="7312B237" w14:textId="5969F57E" w:rsidR="00261AF0" w:rsidRPr="005F62F4" w:rsidRDefault="00261AF0" w:rsidP="008E1775">
      <w:pPr>
        <w:sectPr w:rsidR="00261AF0" w:rsidRPr="005F62F4" w:rsidSect="006653A9">
          <w:headerReference w:type="default" r:id="rId11"/>
          <w:footerReference w:type="default" r:id="rId12"/>
          <w:pgSz w:w="11906" w:h="16838"/>
          <w:pgMar w:top="1134" w:right="1134" w:bottom="1134" w:left="1440" w:header="708" w:footer="708" w:gutter="0"/>
          <w:cols w:space="708"/>
          <w:titlePg/>
          <w:docGrid w:linePitch="360"/>
        </w:sectPr>
      </w:pPr>
    </w:p>
    <w:bookmarkStart w:id="15" w:name="_Toc120178279" w:displacedByCustomXml="next"/>
    <w:sdt>
      <w:sdtPr>
        <w:rPr>
          <w:b w:val="0"/>
          <w:color w:val="auto"/>
          <w:sz w:val="22"/>
          <w:szCs w:val="24"/>
        </w:rPr>
        <w:id w:val="253712644"/>
        <w:docPartObj>
          <w:docPartGallery w:val="Table of Contents"/>
          <w:docPartUnique/>
        </w:docPartObj>
      </w:sdtPr>
      <w:sdtEndPr/>
      <w:sdtContent>
        <w:p w14:paraId="23002FFC" w14:textId="5B846960" w:rsidR="004C215E" w:rsidRPr="005F62F4" w:rsidRDefault="004C215E" w:rsidP="00361AB6">
          <w:pPr>
            <w:pStyle w:val="TOCHeading"/>
            <w:spacing w:after="0"/>
          </w:pPr>
          <w:r w:rsidRPr="005F62F4">
            <w:t>Contents</w:t>
          </w:r>
          <w:bookmarkEnd w:id="15"/>
        </w:p>
        <w:p w14:paraId="6206ED71" w14:textId="5E1B86DF" w:rsidR="00330822" w:rsidRDefault="009A4961">
          <w:pPr>
            <w:pStyle w:val="TOC1"/>
            <w:rPr>
              <w:rFonts w:eastAsiaTheme="minorEastAsia"/>
              <w:b w:val="0"/>
              <w:sz w:val="22"/>
            </w:rPr>
          </w:pPr>
          <w:r w:rsidRPr="005F62F4">
            <w:fldChar w:fldCharType="begin"/>
          </w:r>
          <w:r w:rsidRPr="005F62F4">
            <w:instrText xml:space="preserve"> TOC \h \z \t "Heading 1,3,Heading 2,4,Heading 01,1,Heading 02,2,Heading b2,2,Heading A1,3" </w:instrText>
          </w:r>
          <w:r w:rsidRPr="005F62F4">
            <w:fldChar w:fldCharType="separate"/>
          </w:r>
          <w:hyperlink w:anchor="_Toc129954588" w:history="1">
            <w:r w:rsidR="00330822" w:rsidRPr="00A74458">
              <w:rPr>
                <w:rStyle w:val="Hyperlink"/>
              </w:rPr>
              <w:t>Consumer summary</w:t>
            </w:r>
            <w:r w:rsidR="00330822">
              <w:rPr>
                <w:webHidden/>
              </w:rPr>
              <w:tab/>
            </w:r>
            <w:r w:rsidR="00330822">
              <w:rPr>
                <w:webHidden/>
              </w:rPr>
              <w:fldChar w:fldCharType="begin"/>
            </w:r>
            <w:r w:rsidR="00330822">
              <w:rPr>
                <w:webHidden/>
              </w:rPr>
              <w:instrText xml:space="preserve"> PAGEREF _Toc129954588 \h </w:instrText>
            </w:r>
            <w:r w:rsidR="00330822">
              <w:rPr>
                <w:webHidden/>
              </w:rPr>
            </w:r>
            <w:r w:rsidR="00330822">
              <w:rPr>
                <w:webHidden/>
              </w:rPr>
              <w:fldChar w:fldCharType="separate"/>
            </w:r>
            <w:r w:rsidR="009C672A">
              <w:rPr>
                <w:webHidden/>
              </w:rPr>
              <w:t>1</w:t>
            </w:r>
            <w:r w:rsidR="00330822">
              <w:rPr>
                <w:webHidden/>
              </w:rPr>
              <w:fldChar w:fldCharType="end"/>
            </w:r>
          </w:hyperlink>
        </w:p>
        <w:p w14:paraId="3ECFE929" w14:textId="0CCBB6C3" w:rsidR="00330822" w:rsidRDefault="0019516A">
          <w:pPr>
            <w:pStyle w:val="TOC1"/>
            <w:rPr>
              <w:rFonts w:eastAsiaTheme="minorEastAsia"/>
              <w:b w:val="0"/>
              <w:sz w:val="22"/>
            </w:rPr>
          </w:pPr>
          <w:hyperlink w:anchor="_Toc129954589" w:history="1">
            <w:r w:rsidR="00330822" w:rsidRPr="00A74458">
              <w:rPr>
                <w:rStyle w:val="Hyperlink"/>
              </w:rPr>
              <w:t>Executive summary</w:t>
            </w:r>
            <w:r w:rsidR="00330822">
              <w:rPr>
                <w:webHidden/>
              </w:rPr>
              <w:tab/>
            </w:r>
            <w:r w:rsidR="00330822">
              <w:rPr>
                <w:webHidden/>
              </w:rPr>
              <w:fldChar w:fldCharType="begin"/>
            </w:r>
            <w:r w:rsidR="00330822">
              <w:rPr>
                <w:webHidden/>
              </w:rPr>
              <w:instrText xml:space="preserve"> PAGEREF _Toc129954589 \h </w:instrText>
            </w:r>
            <w:r w:rsidR="00330822">
              <w:rPr>
                <w:webHidden/>
              </w:rPr>
            </w:r>
            <w:r w:rsidR="00330822">
              <w:rPr>
                <w:webHidden/>
              </w:rPr>
              <w:fldChar w:fldCharType="separate"/>
            </w:r>
            <w:r w:rsidR="009C672A">
              <w:rPr>
                <w:webHidden/>
              </w:rPr>
              <w:t>3</w:t>
            </w:r>
            <w:r w:rsidR="00330822">
              <w:rPr>
                <w:webHidden/>
              </w:rPr>
              <w:fldChar w:fldCharType="end"/>
            </w:r>
          </w:hyperlink>
        </w:p>
        <w:p w14:paraId="49308CF5" w14:textId="6DD3D549" w:rsidR="00330822" w:rsidRDefault="0019516A">
          <w:pPr>
            <w:pStyle w:val="TOC2"/>
            <w:rPr>
              <w:rFonts w:eastAsiaTheme="minorEastAsia"/>
              <w:sz w:val="22"/>
            </w:rPr>
          </w:pPr>
          <w:hyperlink w:anchor="_Toc129954590" w:history="1">
            <w:r w:rsidR="00330822" w:rsidRPr="00A74458">
              <w:rPr>
                <w:rStyle w:val="Hyperlink"/>
              </w:rPr>
              <w:t>Background and context</w:t>
            </w:r>
            <w:r w:rsidR="00330822">
              <w:rPr>
                <w:webHidden/>
              </w:rPr>
              <w:tab/>
            </w:r>
            <w:r w:rsidR="00330822">
              <w:rPr>
                <w:webHidden/>
              </w:rPr>
              <w:fldChar w:fldCharType="begin"/>
            </w:r>
            <w:r w:rsidR="00330822">
              <w:rPr>
                <w:webHidden/>
              </w:rPr>
              <w:instrText xml:space="preserve"> PAGEREF _Toc129954590 \h </w:instrText>
            </w:r>
            <w:r w:rsidR="00330822">
              <w:rPr>
                <w:webHidden/>
              </w:rPr>
            </w:r>
            <w:r w:rsidR="00330822">
              <w:rPr>
                <w:webHidden/>
              </w:rPr>
              <w:fldChar w:fldCharType="separate"/>
            </w:r>
            <w:r w:rsidR="009C672A">
              <w:rPr>
                <w:webHidden/>
              </w:rPr>
              <w:t>3</w:t>
            </w:r>
            <w:r w:rsidR="00330822">
              <w:rPr>
                <w:webHidden/>
              </w:rPr>
              <w:fldChar w:fldCharType="end"/>
            </w:r>
          </w:hyperlink>
        </w:p>
        <w:p w14:paraId="669C5C48" w14:textId="08171A19" w:rsidR="00330822" w:rsidRDefault="0019516A">
          <w:pPr>
            <w:pStyle w:val="TOC2"/>
            <w:rPr>
              <w:rFonts w:eastAsiaTheme="minorEastAsia"/>
              <w:sz w:val="22"/>
            </w:rPr>
          </w:pPr>
          <w:hyperlink w:anchor="_Toc129954591" w:history="1">
            <w:r w:rsidR="00330822" w:rsidRPr="00A74458">
              <w:rPr>
                <w:rStyle w:val="Hyperlink"/>
              </w:rPr>
              <w:t>Terms of reference</w:t>
            </w:r>
            <w:r w:rsidR="00330822">
              <w:rPr>
                <w:webHidden/>
              </w:rPr>
              <w:tab/>
            </w:r>
            <w:r w:rsidR="00330822">
              <w:rPr>
                <w:webHidden/>
              </w:rPr>
              <w:fldChar w:fldCharType="begin"/>
            </w:r>
            <w:r w:rsidR="00330822">
              <w:rPr>
                <w:webHidden/>
              </w:rPr>
              <w:instrText xml:space="preserve"> PAGEREF _Toc129954591 \h </w:instrText>
            </w:r>
            <w:r w:rsidR="00330822">
              <w:rPr>
                <w:webHidden/>
              </w:rPr>
            </w:r>
            <w:r w:rsidR="00330822">
              <w:rPr>
                <w:webHidden/>
              </w:rPr>
              <w:fldChar w:fldCharType="separate"/>
            </w:r>
            <w:r w:rsidR="009C672A">
              <w:rPr>
                <w:webHidden/>
              </w:rPr>
              <w:t>4</w:t>
            </w:r>
            <w:r w:rsidR="00330822">
              <w:rPr>
                <w:webHidden/>
              </w:rPr>
              <w:fldChar w:fldCharType="end"/>
            </w:r>
          </w:hyperlink>
        </w:p>
        <w:p w14:paraId="178D28B9" w14:textId="326AF072" w:rsidR="00330822" w:rsidRDefault="0019516A">
          <w:pPr>
            <w:pStyle w:val="TOC2"/>
            <w:rPr>
              <w:rFonts w:eastAsiaTheme="minorEastAsia"/>
              <w:sz w:val="22"/>
            </w:rPr>
          </w:pPr>
          <w:hyperlink w:anchor="_Toc129954592" w:history="1">
            <w:r w:rsidR="00330822" w:rsidRPr="00A74458">
              <w:rPr>
                <w:rStyle w:val="Hyperlink"/>
              </w:rPr>
              <w:t>Methodology</w:t>
            </w:r>
            <w:r w:rsidR="00330822">
              <w:rPr>
                <w:webHidden/>
              </w:rPr>
              <w:tab/>
            </w:r>
            <w:r w:rsidR="00330822">
              <w:rPr>
                <w:webHidden/>
              </w:rPr>
              <w:fldChar w:fldCharType="begin"/>
            </w:r>
            <w:r w:rsidR="00330822">
              <w:rPr>
                <w:webHidden/>
              </w:rPr>
              <w:instrText xml:space="preserve"> PAGEREF _Toc129954592 \h </w:instrText>
            </w:r>
            <w:r w:rsidR="00330822">
              <w:rPr>
                <w:webHidden/>
              </w:rPr>
            </w:r>
            <w:r w:rsidR="00330822">
              <w:rPr>
                <w:webHidden/>
              </w:rPr>
              <w:fldChar w:fldCharType="separate"/>
            </w:r>
            <w:r w:rsidR="009C672A">
              <w:rPr>
                <w:webHidden/>
              </w:rPr>
              <w:t>5</w:t>
            </w:r>
            <w:r w:rsidR="00330822">
              <w:rPr>
                <w:webHidden/>
              </w:rPr>
              <w:fldChar w:fldCharType="end"/>
            </w:r>
          </w:hyperlink>
        </w:p>
        <w:p w14:paraId="1D6010A2" w14:textId="7E496149" w:rsidR="00330822" w:rsidRDefault="0019516A">
          <w:pPr>
            <w:pStyle w:val="TOC2"/>
            <w:rPr>
              <w:rFonts w:eastAsiaTheme="minorEastAsia"/>
              <w:sz w:val="22"/>
            </w:rPr>
          </w:pPr>
          <w:hyperlink w:anchor="_Toc129954593" w:history="1">
            <w:r w:rsidR="00330822" w:rsidRPr="00A74458">
              <w:rPr>
                <w:rStyle w:val="Hyperlink"/>
              </w:rPr>
              <w:t>Key review findings</w:t>
            </w:r>
            <w:r w:rsidR="00330822">
              <w:rPr>
                <w:webHidden/>
              </w:rPr>
              <w:tab/>
            </w:r>
            <w:r w:rsidR="00330822">
              <w:rPr>
                <w:webHidden/>
              </w:rPr>
              <w:fldChar w:fldCharType="begin"/>
            </w:r>
            <w:r w:rsidR="00330822">
              <w:rPr>
                <w:webHidden/>
              </w:rPr>
              <w:instrText xml:space="preserve"> PAGEREF _Toc129954593 \h </w:instrText>
            </w:r>
            <w:r w:rsidR="00330822">
              <w:rPr>
                <w:webHidden/>
              </w:rPr>
            </w:r>
            <w:r w:rsidR="00330822">
              <w:rPr>
                <w:webHidden/>
              </w:rPr>
              <w:fldChar w:fldCharType="separate"/>
            </w:r>
            <w:r w:rsidR="009C672A">
              <w:rPr>
                <w:webHidden/>
              </w:rPr>
              <w:t>6</w:t>
            </w:r>
            <w:r w:rsidR="00330822">
              <w:rPr>
                <w:webHidden/>
              </w:rPr>
              <w:fldChar w:fldCharType="end"/>
            </w:r>
          </w:hyperlink>
        </w:p>
        <w:p w14:paraId="096ADF03" w14:textId="308A486D" w:rsidR="00330822" w:rsidRDefault="0019516A">
          <w:pPr>
            <w:pStyle w:val="TOC2"/>
            <w:rPr>
              <w:rFonts w:eastAsiaTheme="minorEastAsia"/>
              <w:sz w:val="22"/>
            </w:rPr>
          </w:pPr>
          <w:hyperlink w:anchor="_Toc129954594" w:history="1">
            <w:r w:rsidR="00330822" w:rsidRPr="00A74458">
              <w:rPr>
                <w:rStyle w:val="Hyperlink"/>
              </w:rPr>
              <w:t>Report structure</w:t>
            </w:r>
            <w:r w:rsidR="00330822">
              <w:rPr>
                <w:webHidden/>
              </w:rPr>
              <w:tab/>
            </w:r>
            <w:r w:rsidR="00330822">
              <w:rPr>
                <w:webHidden/>
              </w:rPr>
              <w:fldChar w:fldCharType="begin"/>
            </w:r>
            <w:r w:rsidR="00330822">
              <w:rPr>
                <w:webHidden/>
              </w:rPr>
              <w:instrText xml:space="preserve"> PAGEREF _Toc129954594 \h </w:instrText>
            </w:r>
            <w:r w:rsidR="00330822">
              <w:rPr>
                <w:webHidden/>
              </w:rPr>
            </w:r>
            <w:r w:rsidR="00330822">
              <w:rPr>
                <w:webHidden/>
              </w:rPr>
              <w:fldChar w:fldCharType="separate"/>
            </w:r>
            <w:r w:rsidR="009C672A">
              <w:rPr>
                <w:webHidden/>
              </w:rPr>
              <w:t>11</w:t>
            </w:r>
            <w:r w:rsidR="00330822">
              <w:rPr>
                <w:webHidden/>
              </w:rPr>
              <w:fldChar w:fldCharType="end"/>
            </w:r>
          </w:hyperlink>
        </w:p>
        <w:p w14:paraId="63FA267E" w14:textId="3255B8ED" w:rsidR="00330822" w:rsidRDefault="0019516A">
          <w:pPr>
            <w:pStyle w:val="TOC1"/>
            <w:rPr>
              <w:rFonts w:eastAsiaTheme="minorEastAsia"/>
              <w:b w:val="0"/>
              <w:sz w:val="22"/>
            </w:rPr>
          </w:pPr>
          <w:hyperlink w:anchor="_Toc129954595" w:history="1">
            <w:r w:rsidR="00330822" w:rsidRPr="00A74458">
              <w:rPr>
                <w:rStyle w:val="Hyperlink"/>
              </w:rPr>
              <w:t>Background</w:t>
            </w:r>
            <w:r w:rsidR="00330822">
              <w:rPr>
                <w:webHidden/>
              </w:rPr>
              <w:tab/>
            </w:r>
            <w:r w:rsidR="00330822">
              <w:rPr>
                <w:webHidden/>
              </w:rPr>
              <w:fldChar w:fldCharType="begin"/>
            </w:r>
            <w:r w:rsidR="00330822">
              <w:rPr>
                <w:webHidden/>
              </w:rPr>
              <w:instrText xml:space="preserve"> PAGEREF _Toc129954595 \h </w:instrText>
            </w:r>
            <w:r w:rsidR="00330822">
              <w:rPr>
                <w:webHidden/>
              </w:rPr>
            </w:r>
            <w:r w:rsidR="00330822">
              <w:rPr>
                <w:webHidden/>
              </w:rPr>
              <w:fldChar w:fldCharType="separate"/>
            </w:r>
            <w:r w:rsidR="009C672A">
              <w:rPr>
                <w:webHidden/>
              </w:rPr>
              <w:t>12</w:t>
            </w:r>
            <w:r w:rsidR="00330822">
              <w:rPr>
                <w:webHidden/>
              </w:rPr>
              <w:fldChar w:fldCharType="end"/>
            </w:r>
          </w:hyperlink>
        </w:p>
        <w:p w14:paraId="0EA396A7" w14:textId="3D014907" w:rsidR="00330822" w:rsidRDefault="0019516A">
          <w:pPr>
            <w:pStyle w:val="TOC2"/>
            <w:rPr>
              <w:rFonts w:eastAsiaTheme="minorEastAsia"/>
              <w:sz w:val="22"/>
            </w:rPr>
          </w:pPr>
          <w:hyperlink w:anchor="_Toc129954596" w:history="1">
            <w:r w:rsidR="00330822" w:rsidRPr="00A74458">
              <w:rPr>
                <w:rStyle w:val="Hyperlink"/>
              </w:rPr>
              <w:t>B.1</w:t>
            </w:r>
            <w:r w:rsidR="00330822">
              <w:rPr>
                <w:rFonts w:eastAsiaTheme="minorEastAsia"/>
                <w:sz w:val="22"/>
              </w:rPr>
              <w:tab/>
            </w:r>
            <w:r w:rsidR="00330822" w:rsidRPr="00A74458">
              <w:rPr>
                <w:rStyle w:val="Hyperlink"/>
              </w:rPr>
              <w:t>The Prostheses List</w:t>
            </w:r>
            <w:r w:rsidR="00330822">
              <w:rPr>
                <w:webHidden/>
              </w:rPr>
              <w:tab/>
            </w:r>
            <w:r w:rsidR="00330822">
              <w:rPr>
                <w:webHidden/>
              </w:rPr>
              <w:fldChar w:fldCharType="begin"/>
            </w:r>
            <w:r w:rsidR="00330822">
              <w:rPr>
                <w:webHidden/>
              </w:rPr>
              <w:instrText xml:space="preserve"> PAGEREF _Toc129954596 \h </w:instrText>
            </w:r>
            <w:r w:rsidR="00330822">
              <w:rPr>
                <w:webHidden/>
              </w:rPr>
            </w:r>
            <w:r w:rsidR="00330822">
              <w:rPr>
                <w:webHidden/>
              </w:rPr>
              <w:fldChar w:fldCharType="separate"/>
            </w:r>
            <w:r w:rsidR="009C672A">
              <w:rPr>
                <w:webHidden/>
              </w:rPr>
              <w:t>12</w:t>
            </w:r>
            <w:r w:rsidR="00330822">
              <w:rPr>
                <w:webHidden/>
              </w:rPr>
              <w:fldChar w:fldCharType="end"/>
            </w:r>
          </w:hyperlink>
        </w:p>
        <w:p w14:paraId="34D74735" w14:textId="4E7E486C" w:rsidR="00330822" w:rsidRDefault="0019516A">
          <w:pPr>
            <w:pStyle w:val="TOC2"/>
            <w:rPr>
              <w:rFonts w:eastAsiaTheme="minorEastAsia"/>
              <w:sz w:val="22"/>
            </w:rPr>
          </w:pPr>
          <w:hyperlink w:anchor="_Toc129954597" w:history="1">
            <w:r w:rsidR="00330822" w:rsidRPr="00A74458">
              <w:rPr>
                <w:rStyle w:val="Hyperlink"/>
              </w:rPr>
              <w:t>B.1</w:t>
            </w:r>
            <w:r w:rsidR="00330822">
              <w:rPr>
                <w:rFonts w:eastAsiaTheme="minorEastAsia"/>
                <w:sz w:val="22"/>
              </w:rPr>
              <w:tab/>
            </w:r>
            <w:r w:rsidR="00330822" w:rsidRPr="00A74458">
              <w:rPr>
                <w:rStyle w:val="Hyperlink"/>
              </w:rPr>
              <w:t>About this review</w:t>
            </w:r>
            <w:r w:rsidR="00330822">
              <w:rPr>
                <w:webHidden/>
              </w:rPr>
              <w:tab/>
            </w:r>
            <w:r w:rsidR="00330822">
              <w:rPr>
                <w:webHidden/>
              </w:rPr>
              <w:fldChar w:fldCharType="begin"/>
            </w:r>
            <w:r w:rsidR="00330822">
              <w:rPr>
                <w:webHidden/>
              </w:rPr>
              <w:instrText xml:space="preserve"> PAGEREF _Toc129954597 \h </w:instrText>
            </w:r>
            <w:r w:rsidR="00330822">
              <w:rPr>
                <w:webHidden/>
              </w:rPr>
            </w:r>
            <w:r w:rsidR="00330822">
              <w:rPr>
                <w:webHidden/>
              </w:rPr>
              <w:fldChar w:fldCharType="separate"/>
            </w:r>
            <w:r w:rsidR="009C672A">
              <w:rPr>
                <w:webHidden/>
              </w:rPr>
              <w:t>16</w:t>
            </w:r>
            <w:r w:rsidR="00330822">
              <w:rPr>
                <w:webHidden/>
              </w:rPr>
              <w:fldChar w:fldCharType="end"/>
            </w:r>
          </w:hyperlink>
        </w:p>
        <w:p w14:paraId="41D37B1E" w14:textId="56DC079C" w:rsidR="00330822" w:rsidRDefault="0019516A">
          <w:pPr>
            <w:pStyle w:val="TOC3"/>
            <w:rPr>
              <w:rFonts w:eastAsiaTheme="minorEastAsia"/>
              <w:b w:val="0"/>
              <w:bCs w:val="0"/>
              <w:sz w:val="22"/>
            </w:rPr>
          </w:pPr>
          <w:hyperlink w:anchor="_Toc129954598" w:history="1">
            <w:r w:rsidR="00330822" w:rsidRPr="00A74458">
              <w:rPr>
                <w:rStyle w:val="Hyperlink"/>
              </w:rPr>
              <w:t>Section 1 : ToR 1 – Role of surgical guides and biomodels in clinical practice</w:t>
            </w:r>
            <w:r w:rsidR="00330822">
              <w:rPr>
                <w:webHidden/>
              </w:rPr>
              <w:tab/>
            </w:r>
            <w:r w:rsidR="00330822">
              <w:rPr>
                <w:webHidden/>
              </w:rPr>
              <w:fldChar w:fldCharType="begin"/>
            </w:r>
            <w:r w:rsidR="00330822">
              <w:rPr>
                <w:webHidden/>
              </w:rPr>
              <w:instrText xml:space="preserve"> PAGEREF _Toc129954598 \h </w:instrText>
            </w:r>
            <w:r w:rsidR="00330822">
              <w:rPr>
                <w:webHidden/>
              </w:rPr>
            </w:r>
            <w:r w:rsidR="00330822">
              <w:rPr>
                <w:webHidden/>
              </w:rPr>
              <w:fldChar w:fldCharType="separate"/>
            </w:r>
            <w:r w:rsidR="009C672A">
              <w:rPr>
                <w:webHidden/>
              </w:rPr>
              <w:t>20</w:t>
            </w:r>
            <w:r w:rsidR="00330822">
              <w:rPr>
                <w:webHidden/>
              </w:rPr>
              <w:fldChar w:fldCharType="end"/>
            </w:r>
          </w:hyperlink>
        </w:p>
        <w:p w14:paraId="692716F2" w14:textId="36982FD4" w:rsidR="00330822" w:rsidRDefault="0019516A">
          <w:pPr>
            <w:pStyle w:val="TOC4"/>
            <w:rPr>
              <w:rFonts w:eastAsiaTheme="minorEastAsia" w:cstheme="minorBidi"/>
              <w:sz w:val="22"/>
            </w:rPr>
          </w:pPr>
          <w:hyperlink w:anchor="_Toc129954599" w:history="1">
            <w:r w:rsidR="00330822" w:rsidRPr="00A74458">
              <w:rPr>
                <w:rStyle w:val="Hyperlink"/>
              </w:rPr>
              <w:t>1.1</w:t>
            </w:r>
            <w:r w:rsidR="00330822">
              <w:rPr>
                <w:rFonts w:eastAsiaTheme="minorEastAsia" w:cstheme="minorBidi"/>
                <w:sz w:val="22"/>
              </w:rPr>
              <w:tab/>
            </w:r>
            <w:r w:rsidR="00330822" w:rsidRPr="00A74458">
              <w:rPr>
                <w:rStyle w:val="Hyperlink"/>
              </w:rPr>
              <w:t>Key findings for ToR 1</w:t>
            </w:r>
            <w:r w:rsidR="00330822">
              <w:rPr>
                <w:webHidden/>
              </w:rPr>
              <w:tab/>
            </w:r>
            <w:r w:rsidR="00330822">
              <w:rPr>
                <w:webHidden/>
              </w:rPr>
              <w:fldChar w:fldCharType="begin"/>
            </w:r>
            <w:r w:rsidR="00330822">
              <w:rPr>
                <w:webHidden/>
              </w:rPr>
              <w:instrText xml:space="preserve"> PAGEREF _Toc129954599 \h </w:instrText>
            </w:r>
            <w:r w:rsidR="00330822">
              <w:rPr>
                <w:webHidden/>
              </w:rPr>
            </w:r>
            <w:r w:rsidR="00330822">
              <w:rPr>
                <w:webHidden/>
              </w:rPr>
              <w:fldChar w:fldCharType="separate"/>
            </w:r>
            <w:r w:rsidR="009C672A">
              <w:rPr>
                <w:webHidden/>
              </w:rPr>
              <w:t>20</w:t>
            </w:r>
            <w:r w:rsidR="00330822">
              <w:rPr>
                <w:webHidden/>
              </w:rPr>
              <w:fldChar w:fldCharType="end"/>
            </w:r>
          </w:hyperlink>
        </w:p>
        <w:p w14:paraId="1BA83515" w14:textId="631DEF32" w:rsidR="00330822" w:rsidRDefault="0019516A">
          <w:pPr>
            <w:pStyle w:val="TOC4"/>
            <w:rPr>
              <w:rFonts w:eastAsiaTheme="minorEastAsia" w:cstheme="minorBidi"/>
              <w:sz w:val="22"/>
            </w:rPr>
          </w:pPr>
          <w:hyperlink w:anchor="_Toc129954600" w:history="1">
            <w:r w:rsidR="00330822" w:rsidRPr="00A74458">
              <w:rPr>
                <w:rStyle w:val="Hyperlink"/>
              </w:rPr>
              <w:t>1.2</w:t>
            </w:r>
            <w:r w:rsidR="00330822">
              <w:rPr>
                <w:rFonts w:eastAsiaTheme="minorEastAsia" w:cstheme="minorBidi"/>
                <w:sz w:val="22"/>
              </w:rPr>
              <w:tab/>
            </w:r>
            <w:r w:rsidR="00330822" w:rsidRPr="00A74458">
              <w:rPr>
                <w:rStyle w:val="Hyperlink"/>
              </w:rPr>
              <w:t>Clinical use</w:t>
            </w:r>
            <w:r w:rsidR="00330822">
              <w:rPr>
                <w:webHidden/>
              </w:rPr>
              <w:tab/>
            </w:r>
            <w:r w:rsidR="00330822">
              <w:rPr>
                <w:webHidden/>
              </w:rPr>
              <w:fldChar w:fldCharType="begin"/>
            </w:r>
            <w:r w:rsidR="00330822">
              <w:rPr>
                <w:webHidden/>
              </w:rPr>
              <w:instrText xml:space="preserve"> PAGEREF _Toc129954600 \h </w:instrText>
            </w:r>
            <w:r w:rsidR="00330822">
              <w:rPr>
                <w:webHidden/>
              </w:rPr>
            </w:r>
            <w:r w:rsidR="00330822">
              <w:rPr>
                <w:webHidden/>
              </w:rPr>
              <w:fldChar w:fldCharType="separate"/>
            </w:r>
            <w:r w:rsidR="009C672A">
              <w:rPr>
                <w:webHidden/>
              </w:rPr>
              <w:t>21</w:t>
            </w:r>
            <w:r w:rsidR="00330822">
              <w:rPr>
                <w:webHidden/>
              </w:rPr>
              <w:fldChar w:fldCharType="end"/>
            </w:r>
          </w:hyperlink>
        </w:p>
        <w:p w14:paraId="1F092113" w14:textId="34324E80" w:rsidR="00330822" w:rsidRDefault="0019516A">
          <w:pPr>
            <w:pStyle w:val="TOC4"/>
            <w:rPr>
              <w:rFonts w:eastAsiaTheme="minorEastAsia" w:cstheme="minorBidi"/>
              <w:sz w:val="22"/>
            </w:rPr>
          </w:pPr>
          <w:hyperlink w:anchor="_Toc129954601" w:history="1">
            <w:r w:rsidR="00330822" w:rsidRPr="00A74458">
              <w:rPr>
                <w:rStyle w:val="Hyperlink"/>
              </w:rPr>
              <w:t>1.3</w:t>
            </w:r>
            <w:r w:rsidR="00330822">
              <w:rPr>
                <w:rFonts w:eastAsiaTheme="minorEastAsia" w:cstheme="minorBidi"/>
                <w:sz w:val="22"/>
              </w:rPr>
              <w:tab/>
            </w:r>
            <w:r w:rsidR="00330822" w:rsidRPr="00A74458">
              <w:rPr>
                <w:rStyle w:val="Hyperlink"/>
              </w:rPr>
              <w:t>Trends in the use of surgical guides and biomodels</w:t>
            </w:r>
            <w:r w:rsidR="00330822">
              <w:rPr>
                <w:webHidden/>
              </w:rPr>
              <w:tab/>
            </w:r>
            <w:r w:rsidR="00330822">
              <w:rPr>
                <w:webHidden/>
              </w:rPr>
              <w:fldChar w:fldCharType="begin"/>
            </w:r>
            <w:r w:rsidR="00330822">
              <w:rPr>
                <w:webHidden/>
              </w:rPr>
              <w:instrText xml:space="preserve"> PAGEREF _Toc129954601 \h </w:instrText>
            </w:r>
            <w:r w:rsidR="00330822">
              <w:rPr>
                <w:webHidden/>
              </w:rPr>
            </w:r>
            <w:r w:rsidR="00330822">
              <w:rPr>
                <w:webHidden/>
              </w:rPr>
              <w:fldChar w:fldCharType="separate"/>
            </w:r>
            <w:r w:rsidR="009C672A">
              <w:rPr>
                <w:webHidden/>
              </w:rPr>
              <w:t>29</w:t>
            </w:r>
            <w:r w:rsidR="00330822">
              <w:rPr>
                <w:webHidden/>
              </w:rPr>
              <w:fldChar w:fldCharType="end"/>
            </w:r>
          </w:hyperlink>
        </w:p>
        <w:p w14:paraId="3C46A374" w14:textId="076C8802" w:rsidR="00330822" w:rsidRDefault="0019516A">
          <w:pPr>
            <w:pStyle w:val="TOC3"/>
            <w:rPr>
              <w:rFonts w:eastAsiaTheme="minorEastAsia"/>
              <w:b w:val="0"/>
              <w:bCs w:val="0"/>
              <w:sz w:val="22"/>
            </w:rPr>
          </w:pPr>
          <w:hyperlink w:anchor="_Toc129954602" w:history="1">
            <w:r w:rsidR="00330822" w:rsidRPr="00A74458">
              <w:rPr>
                <w:rStyle w:val="Hyperlink"/>
              </w:rPr>
              <w:t>Section 2 : ToR 2 – Evidence base</w:t>
            </w:r>
            <w:r w:rsidR="00330822">
              <w:rPr>
                <w:webHidden/>
              </w:rPr>
              <w:tab/>
            </w:r>
            <w:r w:rsidR="00330822">
              <w:rPr>
                <w:webHidden/>
              </w:rPr>
              <w:fldChar w:fldCharType="begin"/>
            </w:r>
            <w:r w:rsidR="00330822">
              <w:rPr>
                <w:webHidden/>
              </w:rPr>
              <w:instrText xml:space="preserve"> PAGEREF _Toc129954602 \h </w:instrText>
            </w:r>
            <w:r w:rsidR="00330822">
              <w:rPr>
                <w:webHidden/>
              </w:rPr>
            </w:r>
            <w:r w:rsidR="00330822">
              <w:rPr>
                <w:webHidden/>
              </w:rPr>
              <w:fldChar w:fldCharType="separate"/>
            </w:r>
            <w:r w:rsidR="009C672A">
              <w:rPr>
                <w:webHidden/>
              </w:rPr>
              <w:t>31</w:t>
            </w:r>
            <w:r w:rsidR="00330822">
              <w:rPr>
                <w:webHidden/>
              </w:rPr>
              <w:fldChar w:fldCharType="end"/>
            </w:r>
          </w:hyperlink>
        </w:p>
        <w:p w14:paraId="7CF972E7" w14:textId="46F9C0C1" w:rsidR="00330822" w:rsidRDefault="0019516A">
          <w:pPr>
            <w:pStyle w:val="TOC4"/>
            <w:rPr>
              <w:rFonts w:eastAsiaTheme="minorEastAsia" w:cstheme="minorBidi"/>
              <w:sz w:val="22"/>
            </w:rPr>
          </w:pPr>
          <w:hyperlink w:anchor="_Toc129954603" w:history="1">
            <w:r w:rsidR="00330822" w:rsidRPr="00A74458">
              <w:rPr>
                <w:rStyle w:val="Hyperlink"/>
              </w:rPr>
              <w:t>2.1</w:t>
            </w:r>
            <w:r w:rsidR="00330822">
              <w:rPr>
                <w:rFonts w:eastAsiaTheme="minorEastAsia" w:cstheme="minorBidi"/>
                <w:sz w:val="22"/>
              </w:rPr>
              <w:tab/>
            </w:r>
            <w:r w:rsidR="00330822" w:rsidRPr="00A74458">
              <w:rPr>
                <w:rStyle w:val="Hyperlink"/>
              </w:rPr>
              <w:t>Key findings for ToR 2</w:t>
            </w:r>
            <w:r w:rsidR="00330822">
              <w:rPr>
                <w:webHidden/>
              </w:rPr>
              <w:tab/>
            </w:r>
            <w:r w:rsidR="00330822">
              <w:rPr>
                <w:webHidden/>
              </w:rPr>
              <w:fldChar w:fldCharType="begin"/>
            </w:r>
            <w:r w:rsidR="00330822">
              <w:rPr>
                <w:webHidden/>
              </w:rPr>
              <w:instrText xml:space="preserve"> PAGEREF _Toc129954603 \h </w:instrText>
            </w:r>
            <w:r w:rsidR="00330822">
              <w:rPr>
                <w:webHidden/>
              </w:rPr>
            </w:r>
            <w:r w:rsidR="00330822">
              <w:rPr>
                <w:webHidden/>
              </w:rPr>
              <w:fldChar w:fldCharType="separate"/>
            </w:r>
            <w:r w:rsidR="009C672A">
              <w:rPr>
                <w:webHidden/>
              </w:rPr>
              <w:t>31</w:t>
            </w:r>
            <w:r w:rsidR="00330822">
              <w:rPr>
                <w:webHidden/>
              </w:rPr>
              <w:fldChar w:fldCharType="end"/>
            </w:r>
          </w:hyperlink>
        </w:p>
        <w:p w14:paraId="08B9F8FD" w14:textId="0BC9986B" w:rsidR="00330822" w:rsidRDefault="0019516A">
          <w:pPr>
            <w:pStyle w:val="TOC4"/>
            <w:rPr>
              <w:rFonts w:eastAsiaTheme="minorEastAsia" w:cstheme="minorBidi"/>
              <w:sz w:val="22"/>
            </w:rPr>
          </w:pPr>
          <w:hyperlink w:anchor="_Toc129954604" w:history="1">
            <w:r w:rsidR="00330822" w:rsidRPr="00A74458">
              <w:rPr>
                <w:rStyle w:val="Hyperlink"/>
              </w:rPr>
              <w:t>2.2</w:t>
            </w:r>
            <w:r w:rsidR="00330822">
              <w:rPr>
                <w:rFonts w:eastAsiaTheme="minorEastAsia" w:cstheme="minorBidi"/>
                <w:sz w:val="22"/>
              </w:rPr>
              <w:tab/>
            </w:r>
            <w:r w:rsidR="00330822" w:rsidRPr="00A74458">
              <w:rPr>
                <w:rStyle w:val="Hyperlink"/>
              </w:rPr>
              <w:t>Introduction</w:t>
            </w:r>
            <w:r w:rsidR="00330822">
              <w:rPr>
                <w:webHidden/>
              </w:rPr>
              <w:tab/>
            </w:r>
            <w:r w:rsidR="00330822">
              <w:rPr>
                <w:webHidden/>
              </w:rPr>
              <w:fldChar w:fldCharType="begin"/>
            </w:r>
            <w:r w:rsidR="00330822">
              <w:rPr>
                <w:webHidden/>
              </w:rPr>
              <w:instrText xml:space="preserve"> PAGEREF _Toc129954604 \h </w:instrText>
            </w:r>
            <w:r w:rsidR="00330822">
              <w:rPr>
                <w:webHidden/>
              </w:rPr>
            </w:r>
            <w:r w:rsidR="00330822">
              <w:rPr>
                <w:webHidden/>
              </w:rPr>
              <w:fldChar w:fldCharType="separate"/>
            </w:r>
            <w:r w:rsidR="009C672A">
              <w:rPr>
                <w:webHidden/>
              </w:rPr>
              <w:t>32</w:t>
            </w:r>
            <w:r w:rsidR="00330822">
              <w:rPr>
                <w:webHidden/>
              </w:rPr>
              <w:fldChar w:fldCharType="end"/>
            </w:r>
          </w:hyperlink>
        </w:p>
        <w:p w14:paraId="6191B921" w14:textId="34ED6349" w:rsidR="00330822" w:rsidRDefault="0019516A">
          <w:pPr>
            <w:pStyle w:val="TOC4"/>
            <w:rPr>
              <w:rFonts w:eastAsiaTheme="minorEastAsia" w:cstheme="minorBidi"/>
              <w:sz w:val="22"/>
            </w:rPr>
          </w:pPr>
          <w:hyperlink w:anchor="_Toc129954605" w:history="1">
            <w:r w:rsidR="00330822" w:rsidRPr="00A74458">
              <w:rPr>
                <w:rStyle w:val="Hyperlink"/>
              </w:rPr>
              <w:t>2.3</w:t>
            </w:r>
            <w:r w:rsidR="00330822">
              <w:rPr>
                <w:rFonts w:eastAsiaTheme="minorEastAsia" w:cstheme="minorBidi"/>
                <w:sz w:val="22"/>
              </w:rPr>
              <w:tab/>
            </w:r>
            <w:r w:rsidR="00330822" w:rsidRPr="00A74458">
              <w:rPr>
                <w:rStyle w:val="Hyperlink"/>
              </w:rPr>
              <w:t>Systematic review of products listed on the PL</w:t>
            </w:r>
            <w:r w:rsidR="00330822">
              <w:rPr>
                <w:webHidden/>
              </w:rPr>
              <w:tab/>
            </w:r>
            <w:r w:rsidR="00330822">
              <w:rPr>
                <w:webHidden/>
              </w:rPr>
              <w:fldChar w:fldCharType="begin"/>
            </w:r>
            <w:r w:rsidR="00330822">
              <w:rPr>
                <w:webHidden/>
              </w:rPr>
              <w:instrText xml:space="preserve"> PAGEREF _Toc129954605 \h </w:instrText>
            </w:r>
            <w:r w:rsidR="00330822">
              <w:rPr>
                <w:webHidden/>
              </w:rPr>
            </w:r>
            <w:r w:rsidR="00330822">
              <w:rPr>
                <w:webHidden/>
              </w:rPr>
              <w:fldChar w:fldCharType="separate"/>
            </w:r>
            <w:r w:rsidR="009C672A">
              <w:rPr>
                <w:webHidden/>
              </w:rPr>
              <w:t>32</w:t>
            </w:r>
            <w:r w:rsidR="00330822">
              <w:rPr>
                <w:webHidden/>
              </w:rPr>
              <w:fldChar w:fldCharType="end"/>
            </w:r>
          </w:hyperlink>
        </w:p>
        <w:p w14:paraId="2E78222C" w14:textId="245224D8" w:rsidR="00330822" w:rsidRDefault="0019516A">
          <w:pPr>
            <w:pStyle w:val="TOC4"/>
            <w:rPr>
              <w:rFonts w:eastAsiaTheme="minorEastAsia" w:cstheme="minorBidi"/>
              <w:sz w:val="22"/>
            </w:rPr>
          </w:pPr>
          <w:hyperlink w:anchor="_Toc129954606" w:history="1">
            <w:r w:rsidR="00330822" w:rsidRPr="00A74458">
              <w:rPr>
                <w:rStyle w:val="Hyperlink"/>
              </w:rPr>
              <w:t>2.4</w:t>
            </w:r>
            <w:r w:rsidR="00330822">
              <w:rPr>
                <w:rFonts w:eastAsiaTheme="minorEastAsia" w:cstheme="minorBidi"/>
                <w:sz w:val="22"/>
              </w:rPr>
              <w:tab/>
            </w:r>
            <w:r w:rsidR="00330822" w:rsidRPr="00A74458">
              <w:rPr>
                <w:rStyle w:val="Hyperlink"/>
              </w:rPr>
              <w:t>Desktop review of broader evidence for surgical guides and biomodels</w:t>
            </w:r>
            <w:r w:rsidR="00330822">
              <w:rPr>
                <w:webHidden/>
              </w:rPr>
              <w:tab/>
            </w:r>
            <w:r w:rsidR="00330822">
              <w:rPr>
                <w:webHidden/>
              </w:rPr>
              <w:fldChar w:fldCharType="begin"/>
            </w:r>
            <w:r w:rsidR="00330822">
              <w:rPr>
                <w:webHidden/>
              </w:rPr>
              <w:instrText xml:space="preserve"> PAGEREF _Toc129954606 \h </w:instrText>
            </w:r>
            <w:r w:rsidR="00330822">
              <w:rPr>
                <w:webHidden/>
              </w:rPr>
            </w:r>
            <w:r w:rsidR="00330822">
              <w:rPr>
                <w:webHidden/>
              </w:rPr>
              <w:fldChar w:fldCharType="separate"/>
            </w:r>
            <w:r w:rsidR="009C672A">
              <w:rPr>
                <w:webHidden/>
              </w:rPr>
              <w:t>52</w:t>
            </w:r>
            <w:r w:rsidR="00330822">
              <w:rPr>
                <w:webHidden/>
              </w:rPr>
              <w:fldChar w:fldCharType="end"/>
            </w:r>
          </w:hyperlink>
        </w:p>
        <w:p w14:paraId="51C3BD23" w14:textId="310E7C3E" w:rsidR="00330822" w:rsidRDefault="0019516A">
          <w:pPr>
            <w:pStyle w:val="TOC3"/>
            <w:rPr>
              <w:rFonts w:eastAsiaTheme="minorEastAsia"/>
              <w:b w:val="0"/>
              <w:bCs w:val="0"/>
              <w:sz w:val="22"/>
            </w:rPr>
          </w:pPr>
          <w:hyperlink w:anchor="_Toc129954607" w:history="1">
            <w:r w:rsidR="00330822" w:rsidRPr="00A74458">
              <w:rPr>
                <w:rStyle w:val="Hyperlink"/>
              </w:rPr>
              <w:t>Section 3 : ToR 3 – Utilisation patterns</w:t>
            </w:r>
            <w:r w:rsidR="00330822">
              <w:rPr>
                <w:webHidden/>
              </w:rPr>
              <w:tab/>
            </w:r>
            <w:r w:rsidR="00330822">
              <w:rPr>
                <w:webHidden/>
              </w:rPr>
              <w:fldChar w:fldCharType="begin"/>
            </w:r>
            <w:r w:rsidR="00330822">
              <w:rPr>
                <w:webHidden/>
              </w:rPr>
              <w:instrText xml:space="preserve"> PAGEREF _Toc129954607 \h </w:instrText>
            </w:r>
            <w:r w:rsidR="00330822">
              <w:rPr>
                <w:webHidden/>
              </w:rPr>
            </w:r>
            <w:r w:rsidR="00330822">
              <w:rPr>
                <w:webHidden/>
              </w:rPr>
              <w:fldChar w:fldCharType="separate"/>
            </w:r>
            <w:r w:rsidR="009C672A">
              <w:rPr>
                <w:webHidden/>
              </w:rPr>
              <w:t>55</w:t>
            </w:r>
            <w:r w:rsidR="00330822">
              <w:rPr>
                <w:webHidden/>
              </w:rPr>
              <w:fldChar w:fldCharType="end"/>
            </w:r>
          </w:hyperlink>
        </w:p>
        <w:p w14:paraId="5D3BC8AC" w14:textId="71F3D949" w:rsidR="00330822" w:rsidRDefault="0019516A">
          <w:pPr>
            <w:pStyle w:val="TOC4"/>
            <w:rPr>
              <w:rFonts w:eastAsiaTheme="minorEastAsia" w:cstheme="minorBidi"/>
              <w:sz w:val="22"/>
            </w:rPr>
          </w:pPr>
          <w:hyperlink w:anchor="_Toc129954608" w:history="1">
            <w:r w:rsidR="00330822" w:rsidRPr="00A74458">
              <w:rPr>
                <w:rStyle w:val="Hyperlink"/>
              </w:rPr>
              <w:t>3.1</w:t>
            </w:r>
            <w:r w:rsidR="00330822">
              <w:rPr>
                <w:rFonts w:eastAsiaTheme="minorEastAsia" w:cstheme="minorBidi"/>
                <w:sz w:val="22"/>
              </w:rPr>
              <w:tab/>
            </w:r>
            <w:r w:rsidR="00330822" w:rsidRPr="00A74458">
              <w:rPr>
                <w:rStyle w:val="Hyperlink"/>
              </w:rPr>
              <w:t>Key findings for ToR 3</w:t>
            </w:r>
            <w:r w:rsidR="00330822">
              <w:rPr>
                <w:webHidden/>
              </w:rPr>
              <w:tab/>
            </w:r>
            <w:r w:rsidR="00330822">
              <w:rPr>
                <w:webHidden/>
              </w:rPr>
              <w:fldChar w:fldCharType="begin"/>
            </w:r>
            <w:r w:rsidR="00330822">
              <w:rPr>
                <w:webHidden/>
              </w:rPr>
              <w:instrText xml:space="preserve"> PAGEREF _Toc129954608 \h </w:instrText>
            </w:r>
            <w:r w:rsidR="00330822">
              <w:rPr>
                <w:webHidden/>
              </w:rPr>
            </w:r>
            <w:r w:rsidR="00330822">
              <w:rPr>
                <w:webHidden/>
              </w:rPr>
              <w:fldChar w:fldCharType="separate"/>
            </w:r>
            <w:r w:rsidR="009C672A">
              <w:rPr>
                <w:webHidden/>
              </w:rPr>
              <w:t>55</w:t>
            </w:r>
            <w:r w:rsidR="00330822">
              <w:rPr>
                <w:webHidden/>
              </w:rPr>
              <w:fldChar w:fldCharType="end"/>
            </w:r>
          </w:hyperlink>
        </w:p>
        <w:p w14:paraId="598E49F8" w14:textId="6792570A" w:rsidR="00330822" w:rsidRDefault="0019516A">
          <w:pPr>
            <w:pStyle w:val="TOC4"/>
            <w:rPr>
              <w:rFonts w:eastAsiaTheme="minorEastAsia" w:cstheme="minorBidi"/>
              <w:sz w:val="22"/>
            </w:rPr>
          </w:pPr>
          <w:hyperlink w:anchor="_Toc129954609" w:history="1">
            <w:r w:rsidR="00330822" w:rsidRPr="00A74458">
              <w:rPr>
                <w:rStyle w:val="Hyperlink"/>
              </w:rPr>
              <w:t>3.2</w:t>
            </w:r>
            <w:r w:rsidR="00330822">
              <w:rPr>
                <w:rFonts w:eastAsiaTheme="minorEastAsia" w:cstheme="minorBidi"/>
                <w:sz w:val="22"/>
              </w:rPr>
              <w:tab/>
            </w:r>
            <w:r w:rsidR="00330822" w:rsidRPr="00A74458">
              <w:rPr>
                <w:rStyle w:val="Hyperlink"/>
              </w:rPr>
              <w:t>Data sources</w:t>
            </w:r>
            <w:r w:rsidR="00330822">
              <w:rPr>
                <w:webHidden/>
              </w:rPr>
              <w:tab/>
            </w:r>
            <w:r w:rsidR="00330822">
              <w:rPr>
                <w:webHidden/>
              </w:rPr>
              <w:fldChar w:fldCharType="begin"/>
            </w:r>
            <w:r w:rsidR="00330822">
              <w:rPr>
                <w:webHidden/>
              </w:rPr>
              <w:instrText xml:space="preserve"> PAGEREF _Toc129954609 \h </w:instrText>
            </w:r>
            <w:r w:rsidR="00330822">
              <w:rPr>
                <w:webHidden/>
              </w:rPr>
            </w:r>
            <w:r w:rsidR="00330822">
              <w:rPr>
                <w:webHidden/>
              </w:rPr>
              <w:fldChar w:fldCharType="separate"/>
            </w:r>
            <w:r w:rsidR="009C672A">
              <w:rPr>
                <w:webHidden/>
              </w:rPr>
              <w:t>56</w:t>
            </w:r>
            <w:r w:rsidR="00330822">
              <w:rPr>
                <w:webHidden/>
              </w:rPr>
              <w:fldChar w:fldCharType="end"/>
            </w:r>
          </w:hyperlink>
        </w:p>
        <w:p w14:paraId="42B8A6FB" w14:textId="562DF1CF" w:rsidR="00330822" w:rsidRDefault="0019516A">
          <w:pPr>
            <w:pStyle w:val="TOC4"/>
            <w:rPr>
              <w:rFonts w:eastAsiaTheme="minorEastAsia" w:cstheme="minorBidi"/>
              <w:sz w:val="22"/>
            </w:rPr>
          </w:pPr>
          <w:hyperlink w:anchor="_Toc129954610" w:history="1">
            <w:r w:rsidR="00330822" w:rsidRPr="00A74458">
              <w:rPr>
                <w:rStyle w:val="Hyperlink"/>
              </w:rPr>
              <w:t>3.3</w:t>
            </w:r>
            <w:r w:rsidR="00330822">
              <w:rPr>
                <w:rFonts w:eastAsiaTheme="minorEastAsia" w:cstheme="minorBidi"/>
                <w:sz w:val="22"/>
              </w:rPr>
              <w:tab/>
            </w:r>
            <w:r w:rsidR="00330822" w:rsidRPr="00A74458">
              <w:rPr>
                <w:rStyle w:val="Hyperlink"/>
              </w:rPr>
              <w:t>Trends in utilisation</w:t>
            </w:r>
            <w:r w:rsidR="00330822">
              <w:rPr>
                <w:webHidden/>
              </w:rPr>
              <w:tab/>
            </w:r>
            <w:r w:rsidR="00330822">
              <w:rPr>
                <w:webHidden/>
              </w:rPr>
              <w:fldChar w:fldCharType="begin"/>
            </w:r>
            <w:r w:rsidR="00330822">
              <w:rPr>
                <w:webHidden/>
              </w:rPr>
              <w:instrText xml:space="preserve"> PAGEREF _Toc129954610 \h </w:instrText>
            </w:r>
            <w:r w:rsidR="00330822">
              <w:rPr>
                <w:webHidden/>
              </w:rPr>
            </w:r>
            <w:r w:rsidR="00330822">
              <w:rPr>
                <w:webHidden/>
              </w:rPr>
              <w:fldChar w:fldCharType="separate"/>
            </w:r>
            <w:r w:rsidR="009C672A">
              <w:rPr>
                <w:webHidden/>
              </w:rPr>
              <w:t>56</w:t>
            </w:r>
            <w:r w:rsidR="00330822">
              <w:rPr>
                <w:webHidden/>
              </w:rPr>
              <w:fldChar w:fldCharType="end"/>
            </w:r>
          </w:hyperlink>
        </w:p>
        <w:p w14:paraId="40EAB6A3" w14:textId="61FD82F5" w:rsidR="00330822" w:rsidRDefault="0019516A">
          <w:pPr>
            <w:pStyle w:val="TOC4"/>
            <w:rPr>
              <w:rFonts w:eastAsiaTheme="minorEastAsia" w:cstheme="minorBidi"/>
              <w:sz w:val="22"/>
            </w:rPr>
          </w:pPr>
          <w:hyperlink w:anchor="_Toc129954611" w:history="1">
            <w:r w:rsidR="00330822" w:rsidRPr="00A74458">
              <w:rPr>
                <w:rStyle w:val="Hyperlink"/>
              </w:rPr>
              <w:t>3.4</w:t>
            </w:r>
            <w:r w:rsidR="00330822">
              <w:rPr>
                <w:rFonts w:eastAsiaTheme="minorEastAsia" w:cstheme="minorBidi"/>
                <w:sz w:val="22"/>
              </w:rPr>
              <w:tab/>
            </w:r>
            <w:r w:rsidR="00330822" w:rsidRPr="00A74458">
              <w:rPr>
                <w:rStyle w:val="Hyperlink"/>
              </w:rPr>
              <w:t>Expenditure</w:t>
            </w:r>
            <w:r w:rsidR="00330822">
              <w:rPr>
                <w:webHidden/>
              </w:rPr>
              <w:tab/>
            </w:r>
            <w:r w:rsidR="00330822">
              <w:rPr>
                <w:webHidden/>
              </w:rPr>
              <w:fldChar w:fldCharType="begin"/>
            </w:r>
            <w:r w:rsidR="00330822">
              <w:rPr>
                <w:webHidden/>
              </w:rPr>
              <w:instrText xml:space="preserve"> PAGEREF _Toc129954611 \h </w:instrText>
            </w:r>
            <w:r w:rsidR="00330822">
              <w:rPr>
                <w:webHidden/>
              </w:rPr>
            </w:r>
            <w:r w:rsidR="00330822">
              <w:rPr>
                <w:webHidden/>
              </w:rPr>
              <w:fldChar w:fldCharType="separate"/>
            </w:r>
            <w:r w:rsidR="009C672A">
              <w:rPr>
                <w:webHidden/>
              </w:rPr>
              <w:t>65</w:t>
            </w:r>
            <w:r w:rsidR="00330822">
              <w:rPr>
                <w:webHidden/>
              </w:rPr>
              <w:fldChar w:fldCharType="end"/>
            </w:r>
          </w:hyperlink>
        </w:p>
        <w:p w14:paraId="076D61B0" w14:textId="70D83804" w:rsidR="00330822" w:rsidRDefault="0019516A">
          <w:pPr>
            <w:pStyle w:val="TOC3"/>
            <w:rPr>
              <w:rFonts w:eastAsiaTheme="minorEastAsia"/>
              <w:b w:val="0"/>
              <w:bCs w:val="0"/>
              <w:sz w:val="22"/>
            </w:rPr>
          </w:pPr>
          <w:hyperlink w:anchor="_Toc129954612" w:history="1">
            <w:r w:rsidR="00330822" w:rsidRPr="00A74458">
              <w:rPr>
                <w:rStyle w:val="Hyperlink"/>
              </w:rPr>
              <w:t>Section 4 : ToR 4 – Product eligibility for PL listing</w:t>
            </w:r>
            <w:r w:rsidR="00330822">
              <w:rPr>
                <w:webHidden/>
              </w:rPr>
              <w:tab/>
            </w:r>
            <w:r w:rsidR="00330822">
              <w:rPr>
                <w:webHidden/>
              </w:rPr>
              <w:fldChar w:fldCharType="begin"/>
            </w:r>
            <w:r w:rsidR="00330822">
              <w:rPr>
                <w:webHidden/>
              </w:rPr>
              <w:instrText xml:space="preserve"> PAGEREF _Toc129954612 \h </w:instrText>
            </w:r>
            <w:r w:rsidR="00330822">
              <w:rPr>
                <w:webHidden/>
              </w:rPr>
            </w:r>
            <w:r w:rsidR="00330822">
              <w:rPr>
                <w:webHidden/>
              </w:rPr>
              <w:fldChar w:fldCharType="separate"/>
            </w:r>
            <w:r w:rsidR="009C672A">
              <w:rPr>
                <w:webHidden/>
              </w:rPr>
              <w:t>70</w:t>
            </w:r>
            <w:r w:rsidR="00330822">
              <w:rPr>
                <w:webHidden/>
              </w:rPr>
              <w:fldChar w:fldCharType="end"/>
            </w:r>
          </w:hyperlink>
        </w:p>
        <w:p w14:paraId="0A494195" w14:textId="72D23ADA" w:rsidR="00330822" w:rsidRDefault="0019516A">
          <w:pPr>
            <w:pStyle w:val="TOC4"/>
            <w:rPr>
              <w:rFonts w:eastAsiaTheme="minorEastAsia" w:cstheme="minorBidi"/>
              <w:sz w:val="22"/>
            </w:rPr>
          </w:pPr>
          <w:hyperlink w:anchor="_Toc129954613" w:history="1">
            <w:r w:rsidR="00330822" w:rsidRPr="00A74458">
              <w:rPr>
                <w:rStyle w:val="Hyperlink"/>
              </w:rPr>
              <w:t>4.1</w:t>
            </w:r>
            <w:r w:rsidR="00330822">
              <w:rPr>
                <w:rFonts w:eastAsiaTheme="minorEastAsia" w:cstheme="minorBidi"/>
                <w:sz w:val="22"/>
              </w:rPr>
              <w:tab/>
            </w:r>
            <w:r w:rsidR="00330822" w:rsidRPr="00A74458">
              <w:rPr>
                <w:rStyle w:val="Hyperlink"/>
              </w:rPr>
              <w:t>Key findings for ToR 4</w:t>
            </w:r>
            <w:r w:rsidR="00330822">
              <w:rPr>
                <w:webHidden/>
              </w:rPr>
              <w:tab/>
            </w:r>
            <w:r w:rsidR="00330822">
              <w:rPr>
                <w:webHidden/>
              </w:rPr>
              <w:fldChar w:fldCharType="begin"/>
            </w:r>
            <w:r w:rsidR="00330822">
              <w:rPr>
                <w:webHidden/>
              </w:rPr>
              <w:instrText xml:space="preserve"> PAGEREF _Toc129954613 \h </w:instrText>
            </w:r>
            <w:r w:rsidR="00330822">
              <w:rPr>
                <w:webHidden/>
              </w:rPr>
            </w:r>
            <w:r w:rsidR="00330822">
              <w:rPr>
                <w:webHidden/>
              </w:rPr>
              <w:fldChar w:fldCharType="separate"/>
            </w:r>
            <w:r w:rsidR="009C672A">
              <w:rPr>
                <w:webHidden/>
              </w:rPr>
              <w:t>70</w:t>
            </w:r>
            <w:r w:rsidR="00330822">
              <w:rPr>
                <w:webHidden/>
              </w:rPr>
              <w:fldChar w:fldCharType="end"/>
            </w:r>
          </w:hyperlink>
        </w:p>
        <w:p w14:paraId="37659DC9" w14:textId="5FC6941D" w:rsidR="00330822" w:rsidRDefault="0019516A">
          <w:pPr>
            <w:pStyle w:val="TOC4"/>
            <w:rPr>
              <w:rFonts w:eastAsiaTheme="minorEastAsia" w:cstheme="minorBidi"/>
              <w:sz w:val="22"/>
            </w:rPr>
          </w:pPr>
          <w:hyperlink w:anchor="_Toc129954614" w:history="1">
            <w:r w:rsidR="00330822" w:rsidRPr="00A74458">
              <w:rPr>
                <w:rStyle w:val="Hyperlink"/>
              </w:rPr>
              <w:t>4.2</w:t>
            </w:r>
            <w:r w:rsidR="00330822">
              <w:rPr>
                <w:rFonts w:eastAsiaTheme="minorEastAsia" w:cstheme="minorBidi"/>
                <w:sz w:val="22"/>
              </w:rPr>
              <w:tab/>
            </w:r>
            <w:r w:rsidR="00330822" w:rsidRPr="00A74458">
              <w:rPr>
                <w:rStyle w:val="Hyperlink"/>
              </w:rPr>
              <w:t>Product alignment with PL criteria</w:t>
            </w:r>
            <w:r w:rsidR="00330822">
              <w:rPr>
                <w:webHidden/>
              </w:rPr>
              <w:tab/>
            </w:r>
            <w:r w:rsidR="00330822">
              <w:rPr>
                <w:webHidden/>
              </w:rPr>
              <w:fldChar w:fldCharType="begin"/>
            </w:r>
            <w:r w:rsidR="00330822">
              <w:rPr>
                <w:webHidden/>
              </w:rPr>
              <w:instrText xml:space="preserve"> PAGEREF _Toc129954614 \h </w:instrText>
            </w:r>
            <w:r w:rsidR="00330822">
              <w:rPr>
                <w:webHidden/>
              </w:rPr>
            </w:r>
            <w:r w:rsidR="00330822">
              <w:rPr>
                <w:webHidden/>
              </w:rPr>
              <w:fldChar w:fldCharType="separate"/>
            </w:r>
            <w:r w:rsidR="009C672A">
              <w:rPr>
                <w:webHidden/>
              </w:rPr>
              <w:t>72</w:t>
            </w:r>
            <w:r w:rsidR="00330822">
              <w:rPr>
                <w:webHidden/>
              </w:rPr>
              <w:fldChar w:fldCharType="end"/>
            </w:r>
          </w:hyperlink>
        </w:p>
        <w:p w14:paraId="50630BC0" w14:textId="3A5E96BE" w:rsidR="00330822" w:rsidRDefault="0019516A">
          <w:pPr>
            <w:pStyle w:val="TOC4"/>
            <w:rPr>
              <w:rFonts w:eastAsiaTheme="minorEastAsia" w:cstheme="minorBidi"/>
              <w:sz w:val="22"/>
            </w:rPr>
          </w:pPr>
          <w:hyperlink w:anchor="_Toc129954615" w:history="1">
            <w:r w:rsidR="00330822" w:rsidRPr="00A74458">
              <w:rPr>
                <w:rStyle w:val="Hyperlink"/>
              </w:rPr>
              <w:t>4.3</w:t>
            </w:r>
            <w:r w:rsidR="00330822">
              <w:rPr>
                <w:rFonts w:eastAsiaTheme="minorEastAsia" w:cstheme="minorBidi"/>
                <w:sz w:val="22"/>
              </w:rPr>
              <w:tab/>
            </w:r>
            <w:r w:rsidR="00330822" w:rsidRPr="00A74458">
              <w:rPr>
                <w:rStyle w:val="Hyperlink"/>
              </w:rPr>
              <w:t>Stakeholder suggestions for improvements to the PL listing of surgical guides and biomodels</w:t>
            </w:r>
            <w:r w:rsidR="00330822">
              <w:rPr>
                <w:webHidden/>
              </w:rPr>
              <w:tab/>
            </w:r>
            <w:r w:rsidR="00330822">
              <w:rPr>
                <w:webHidden/>
              </w:rPr>
              <w:fldChar w:fldCharType="begin"/>
            </w:r>
            <w:r w:rsidR="00330822">
              <w:rPr>
                <w:webHidden/>
              </w:rPr>
              <w:instrText xml:space="preserve"> PAGEREF _Toc129954615 \h </w:instrText>
            </w:r>
            <w:r w:rsidR="00330822">
              <w:rPr>
                <w:webHidden/>
              </w:rPr>
            </w:r>
            <w:r w:rsidR="00330822">
              <w:rPr>
                <w:webHidden/>
              </w:rPr>
              <w:fldChar w:fldCharType="separate"/>
            </w:r>
            <w:r w:rsidR="009C672A">
              <w:rPr>
                <w:webHidden/>
              </w:rPr>
              <w:t>83</w:t>
            </w:r>
            <w:r w:rsidR="00330822">
              <w:rPr>
                <w:webHidden/>
              </w:rPr>
              <w:fldChar w:fldCharType="end"/>
            </w:r>
          </w:hyperlink>
        </w:p>
        <w:p w14:paraId="02C69587" w14:textId="2DC06712" w:rsidR="00330822" w:rsidRDefault="0019516A">
          <w:pPr>
            <w:pStyle w:val="TOC3"/>
            <w:rPr>
              <w:rFonts w:eastAsiaTheme="minorEastAsia"/>
              <w:b w:val="0"/>
              <w:bCs w:val="0"/>
              <w:sz w:val="22"/>
            </w:rPr>
          </w:pPr>
          <w:hyperlink w:anchor="_Toc129954616" w:history="1">
            <w:r w:rsidR="00330822" w:rsidRPr="00A74458">
              <w:rPr>
                <w:rStyle w:val="Hyperlink"/>
              </w:rPr>
              <w:t>Section 5 : Conclusions</w:t>
            </w:r>
            <w:r w:rsidR="00330822">
              <w:rPr>
                <w:webHidden/>
              </w:rPr>
              <w:tab/>
            </w:r>
            <w:r w:rsidR="00330822">
              <w:rPr>
                <w:webHidden/>
              </w:rPr>
              <w:fldChar w:fldCharType="begin"/>
            </w:r>
            <w:r w:rsidR="00330822">
              <w:rPr>
                <w:webHidden/>
              </w:rPr>
              <w:instrText xml:space="preserve"> PAGEREF _Toc129954616 \h </w:instrText>
            </w:r>
            <w:r w:rsidR="00330822">
              <w:rPr>
                <w:webHidden/>
              </w:rPr>
            </w:r>
            <w:r w:rsidR="00330822">
              <w:rPr>
                <w:webHidden/>
              </w:rPr>
              <w:fldChar w:fldCharType="separate"/>
            </w:r>
            <w:r w:rsidR="009C672A">
              <w:rPr>
                <w:webHidden/>
              </w:rPr>
              <w:t>88</w:t>
            </w:r>
            <w:r w:rsidR="00330822">
              <w:rPr>
                <w:webHidden/>
              </w:rPr>
              <w:fldChar w:fldCharType="end"/>
            </w:r>
          </w:hyperlink>
        </w:p>
        <w:p w14:paraId="1763082E" w14:textId="0F0CBCC5" w:rsidR="00330822" w:rsidRDefault="0019516A">
          <w:pPr>
            <w:pStyle w:val="TOC4"/>
            <w:rPr>
              <w:rFonts w:eastAsiaTheme="minorEastAsia" w:cstheme="minorBidi"/>
              <w:sz w:val="22"/>
            </w:rPr>
          </w:pPr>
          <w:hyperlink w:anchor="_Toc129954617" w:history="1">
            <w:r w:rsidR="00330822" w:rsidRPr="00A74458">
              <w:rPr>
                <w:rStyle w:val="Hyperlink"/>
              </w:rPr>
              <w:t>5.1</w:t>
            </w:r>
            <w:r w:rsidR="00330822">
              <w:rPr>
                <w:rFonts w:eastAsiaTheme="minorEastAsia" w:cstheme="minorBidi"/>
                <w:sz w:val="22"/>
              </w:rPr>
              <w:tab/>
            </w:r>
            <w:r w:rsidR="00330822" w:rsidRPr="00A74458">
              <w:rPr>
                <w:rStyle w:val="Hyperlink"/>
              </w:rPr>
              <w:t>Limitations</w:t>
            </w:r>
            <w:r w:rsidR="00330822">
              <w:rPr>
                <w:webHidden/>
              </w:rPr>
              <w:tab/>
            </w:r>
            <w:r w:rsidR="00330822">
              <w:rPr>
                <w:webHidden/>
              </w:rPr>
              <w:fldChar w:fldCharType="begin"/>
            </w:r>
            <w:r w:rsidR="00330822">
              <w:rPr>
                <w:webHidden/>
              </w:rPr>
              <w:instrText xml:space="preserve"> PAGEREF _Toc129954617 \h </w:instrText>
            </w:r>
            <w:r w:rsidR="00330822">
              <w:rPr>
                <w:webHidden/>
              </w:rPr>
            </w:r>
            <w:r w:rsidR="00330822">
              <w:rPr>
                <w:webHidden/>
              </w:rPr>
              <w:fldChar w:fldCharType="separate"/>
            </w:r>
            <w:r w:rsidR="009C672A">
              <w:rPr>
                <w:webHidden/>
              </w:rPr>
              <w:t>89</w:t>
            </w:r>
            <w:r w:rsidR="00330822">
              <w:rPr>
                <w:webHidden/>
              </w:rPr>
              <w:fldChar w:fldCharType="end"/>
            </w:r>
          </w:hyperlink>
        </w:p>
        <w:p w14:paraId="4D3D7FAA" w14:textId="37D23DC0" w:rsidR="00330822" w:rsidRDefault="0019516A">
          <w:pPr>
            <w:pStyle w:val="TOC1"/>
            <w:rPr>
              <w:rFonts w:eastAsiaTheme="minorEastAsia"/>
              <w:b w:val="0"/>
              <w:sz w:val="22"/>
            </w:rPr>
          </w:pPr>
          <w:hyperlink w:anchor="_Toc129954618" w:history="1">
            <w:r w:rsidR="00330822" w:rsidRPr="00A74458">
              <w:rPr>
                <w:rStyle w:val="Hyperlink"/>
              </w:rPr>
              <w:t>References</w:t>
            </w:r>
            <w:r w:rsidR="00330822">
              <w:rPr>
                <w:webHidden/>
              </w:rPr>
              <w:tab/>
            </w:r>
            <w:r w:rsidR="00330822">
              <w:rPr>
                <w:webHidden/>
              </w:rPr>
              <w:fldChar w:fldCharType="begin"/>
            </w:r>
            <w:r w:rsidR="00330822">
              <w:rPr>
                <w:webHidden/>
              </w:rPr>
              <w:instrText xml:space="preserve"> PAGEREF _Toc129954618 \h </w:instrText>
            </w:r>
            <w:r w:rsidR="00330822">
              <w:rPr>
                <w:webHidden/>
              </w:rPr>
            </w:r>
            <w:r w:rsidR="00330822">
              <w:rPr>
                <w:webHidden/>
              </w:rPr>
              <w:fldChar w:fldCharType="separate"/>
            </w:r>
            <w:r w:rsidR="009C672A">
              <w:rPr>
                <w:webHidden/>
              </w:rPr>
              <w:t>90</w:t>
            </w:r>
            <w:r w:rsidR="00330822">
              <w:rPr>
                <w:webHidden/>
              </w:rPr>
              <w:fldChar w:fldCharType="end"/>
            </w:r>
          </w:hyperlink>
        </w:p>
        <w:p w14:paraId="4B577B04" w14:textId="32173BA3" w:rsidR="00330822" w:rsidRDefault="0019516A">
          <w:pPr>
            <w:pStyle w:val="TOC3"/>
            <w:rPr>
              <w:rFonts w:eastAsiaTheme="minorEastAsia"/>
              <w:b w:val="0"/>
              <w:bCs w:val="0"/>
              <w:sz w:val="22"/>
            </w:rPr>
          </w:pPr>
          <w:hyperlink w:anchor="_Toc129954619" w:history="1">
            <w:r w:rsidR="00330822" w:rsidRPr="00A74458">
              <w:rPr>
                <w:rStyle w:val="Hyperlink"/>
              </w:rPr>
              <w:t>Appendix A</w:t>
            </w:r>
            <w:r w:rsidR="00330822">
              <w:rPr>
                <w:rFonts w:eastAsiaTheme="minorEastAsia"/>
                <w:b w:val="0"/>
                <w:bCs w:val="0"/>
                <w:sz w:val="22"/>
              </w:rPr>
              <w:tab/>
            </w:r>
            <w:r w:rsidR="00330822" w:rsidRPr="00A74458">
              <w:rPr>
                <w:rStyle w:val="Hyperlink"/>
              </w:rPr>
              <w:t>List of stakeholders consulted</w:t>
            </w:r>
            <w:r w:rsidR="00330822">
              <w:rPr>
                <w:webHidden/>
              </w:rPr>
              <w:tab/>
            </w:r>
            <w:r w:rsidR="00330822">
              <w:rPr>
                <w:webHidden/>
              </w:rPr>
              <w:fldChar w:fldCharType="begin"/>
            </w:r>
            <w:r w:rsidR="00330822">
              <w:rPr>
                <w:webHidden/>
              </w:rPr>
              <w:instrText xml:space="preserve"> PAGEREF _Toc129954619 \h </w:instrText>
            </w:r>
            <w:r w:rsidR="00330822">
              <w:rPr>
                <w:webHidden/>
              </w:rPr>
            </w:r>
            <w:r w:rsidR="00330822">
              <w:rPr>
                <w:webHidden/>
              </w:rPr>
              <w:fldChar w:fldCharType="separate"/>
            </w:r>
            <w:r w:rsidR="009C672A">
              <w:rPr>
                <w:webHidden/>
              </w:rPr>
              <w:t>95</w:t>
            </w:r>
            <w:r w:rsidR="00330822">
              <w:rPr>
                <w:webHidden/>
              </w:rPr>
              <w:fldChar w:fldCharType="end"/>
            </w:r>
          </w:hyperlink>
        </w:p>
        <w:p w14:paraId="7617359F" w14:textId="7CFEEAA3" w:rsidR="00330822" w:rsidRDefault="0019516A">
          <w:pPr>
            <w:pStyle w:val="TOC3"/>
            <w:rPr>
              <w:rFonts w:eastAsiaTheme="minorEastAsia"/>
              <w:b w:val="0"/>
              <w:bCs w:val="0"/>
              <w:sz w:val="22"/>
            </w:rPr>
          </w:pPr>
          <w:hyperlink w:anchor="_Toc129954620" w:history="1">
            <w:r w:rsidR="00330822" w:rsidRPr="00A74458">
              <w:rPr>
                <w:rStyle w:val="Hyperlink"/>
              </w:rPr>
              <w:t>Appendix B</w:t>
            </w:r>
            <w:r w:rsidR="00330822">
              <w:rPr>
                <w:rFonts w:eastAsiaTheme="minorEastAsia"/>
                <w:b w:val="0"/>
                <w:bCs w:val="0"/>
                <w:sz w:val="22"/>
              </w:rPr>
              <w:tab/>
            </w:r>
            <w:r w:rsidR="00330822" w:rsidRPr="00A74458">
              <w:rPr>
                <w:rStyle w:val="Hyperlink"/>
              </w:rPr>
              <w:t>In-scope products</w:t>
            </w:r>
            <w:r w:rsidR="00330822">
              <w:rPr>
                <w:webHidden/>
              </w:rPr>
              <w:tab/>
            </w:r>
            <w:r w:rsidR="00330822">
              <w:rPr>
                <w:webHidden/>
              </w:rPr>
              <w:fldChar w:fldCharType="begin"/>
            </w:r>
            <w:r w:rsidR="00330822">
              <w:rPr>
                <w:webHidden/>
              </w:rPr>
              <w:instrText xml:space="preserve"> PAGEREF _Toc129954620 \h </w:instrText>
            </w:r>
            <w:r w:rsidR="00330822">
              <w:rPr>
                <w:webHidden/>
              </w:rPr>
            </w:r>
            <w:r w:rsidR="00330822">
              <w:rPr>
                <w:webHidden/>
              </w:rPr>
              <w:fldChar w:fldCharType="separate"/>
            </w:r>
            <w:r w:rsidR="009C672A">
              <w:rPr>
                <w:webHidden/>
              </w:rPr>
              <w:t>97</w:t>
            </w:r>
            <w:r w:rsidR="00330822">
              <w:rPr>
                <w:webHidden/>
              </w:rPr>
              <w:fldChar w:fldCharType="end"/>
            </w:r>
          </w:hyperlink>
        </w:p>
        <w:p w14:paraId="7371078D" w14:textId="738EA4D2" w:rsidR="00330822" w:rsidRDefault="0019516A">
          <w:pPr>
            <w:pStyle w:val="TOC3"/>
            <w:rPr>
              <w:rFonts w:eastAsiaTheme="minorEastAsia"/>
              <w:b w:val="0"/>
              <w:bCs w:val="0"/>
              <w:sz w:val="22"/>
            </w:rPr>
          </w:pPr>
          <w:hyperlink w:anchor="_Toc129954621" w:history="1">
            <w:r w:rsidR="00330822" w:rsidRPr="00A74458">
              <w:rPr>
                <w:rStyle w:val="Hyperlink"/>
              </w:rPr>
              <w:t>Appendix C</w:t>
            </w:r>
            <w:r w:rsidR="00330822">
              <w:rPr>
                <w:rFonts w:eastAsiaTheme="minorEastAsia"/>
                <w:b w:val="0"/>
                <w:bCs w:val="0"/>
                <w:sz w:val="22"/>
              </w:rPr>
              <w:tab/>
            </w:r>
            <w:r w:rsidR="00330822" w:rsidRPr="00A74458">
              <w:rPr>
                <w:rStyle w:val="Hyperlink"/>
              </w:rPr>
              <w:t>Systematic review</w:t>
            </w:r>
            <w:r w:rsidR="00330822">
              <w:rPr>
                <w:webHidden/>
              </w:rPr>
              <w:tab/>
            </w:r>
            <w:r w:rsidR="00330822">
              <w:rPr>
                <w:webHidden/>
              </w:rPr>
              <w:fldChar w:fldCharType="begin"/>
            </w:r>
            <w:r w:rsidR="00330822">
              <w:rPr>
                <w:webHidden/>
              </w:rPr>
              <w:instrText xml:space="preserve"> PAGEREF _Toc129954621 \h </w:instrText>
            </w:r>
            <w:r w:rsidR="00330822">
              <w:rPr>
                <w:webHidden/>
              </w:rPr>
            </w:r>
            <w:r w:rsidR="00330822">
              <w:rPr>
                <w:webHidden/>
              </w:rPr>
              <w:fldChar w:fldCharType="separate"/>
            </w:r>
            <w:r w:rsidR="009C672A">
              <w:rPr>
                <w:webHidden/>
              </w:rPr>
              <w:t>103</w:t>
            </w:r>
            <w:r w:rsidR="00330822">
              <w:rPr>
                <w:webHidden/>
              </w:rPr>
              <w:fldChar w:fldCharType="end"/>
            </w:r>
          </w:hyperlink>
        </w:p>
        <w:p w14:paraId="523B908D" w14:textId="7963B884" w:rsidR="00330822" w:rsidRDefault="0019516A">
          <w:pPr>
            <w:pStyle w:val="TOC3"/>
            <w:rPr>
              <w:rFonts w:eastAsiaTheme="minorEastAsia"/>
              <w:b w:val="0"/>
              <w:bCs w:val="0"/>
              <w:sz w:val="22"/>
            </w:rPr>
          </w:pPr>
          <w:hyperlink w:anchor="_Toc129954622" w:history="1">
            <w:r w:rsidR="00330822" w:rsidRPr="00A74458">
              <w:rPr>
                <w:rStyle w:val="Hyperlink"/>
              </w:rPr>
              <w:t>Appendix D</w:t>
            </w:r>
            <w:r w:rsidR="00330822">
              <w:rPr>
                <w:rFonts w:eastAsiaTheme="minorEastAsia"/>
                <w:b w:val="0"/>
                <w:bCs w:val="0"/>
                <w:sz w:val="22"/>
              </w:rPr>
              <w:tab/>
            </w:r>
            <w:r w:rsidR="00330822" w:rsidRPr="00A74458">
              <w:rPr>
                <w:rStyle w:val="Hyperlink"/>
              </w:rPr>
              <w:t>Summary of evidence from recent synthesised literature</w:t>
            </w:r>
            <w:r w:rsidR="00330822">
              <w:rPr>
                <w:webHidden/>
              </w:rPr>
              <w:tab/>
            </w:r>
            <w:r w:rsidR="00330822">
              <w:rPr>
                <w:webHidden/>
              </w:rPr>
              <w:fldChar w:fldCharType="begin"/>
            </w:r>
            <w:r w:rsidR="00330822">
              <w:rPr>
                <w:webHidden/>
              </w:rPr>
              <w:instrText xml:space="preserve"> PAGEREF _Toc129954622 \h </w:instrText>
            </w:r>
            <w:r w:rsidR="00330822">
              <w:rPr>
                <w:webHidden/>
              </w:rPr>
            </w:r>
            <w:r w:rsidR="00330822">
              <w:rPr>
                <w:webHidden/>
              </w:rPr>
              <w:fldChar w:fldCharType="separate"/>
            </w:r>
            <w:r w:rsidR="009C672A">
              <w:rPr>
                <w:webHidden/>
              </w:rPr>
              <w:t>127</w:t>
            </w:r>
            <w:r w:rsidR="00330822">
              <w:rPr>
                <w:webHidden/>
              </w:rPr>
              <w:fldChar w:fldCharType="end"/>
            </w:r>
          </w:hyperlink>
        </w:p>
        <w:p w14:paraId="52255374" w14:textId="08732001" w:rsidR="00330822" w:rsidRDefault="0019516A">
          <w:pPr>
            <w:pStyle w:val="TOC3"/>
            <w:rPr>
              <w:rFonts w:eastAsiaTheme="minorEastAsia"/>
              <w:b w:val="0"/>
              <w:bCs w:val="0"/>
              <w:sz w:val="22"/>
            </w:rPr>
          </w:pPr>
          <w:hyperlink w:anchor="_Toc129954623" w:history="1">
            <w:r w:rsidR="00330822" w:rsidRPr="00A74458">
              <w:rPr>
                <w:rStyle w:val="Hyperlink"/>
              </w:rPr>
              <w:t>Appendix E</w:t>
            </w:r>
            <w:r w:rsidR="00330822">
              <w:rPr>
                <w:rFonts w:eastAsiaTheme="minorEastAsia"/>
                <w:b w:val="0"/>
                <w:bCs w:val="0"/>
                <w:sz w:val="22"/>
              </w:rPr>
              <w:tab/>
            </w:r>
            <w:r w:rsidR="00330822" w:rsidRPr="00A74458">
              <w:rPr>
                <w:rStyle w:val="Hyperlink"/>
              </w:rPr>
              <w:t>MBS clinical categories</w:t>
            </w:r>
            <w:r w:rsidR="00330822">
              <w:rPr>
                <w:webHidden/>
              </w:rPr>
              <w:tab/>
            </w:r>
            <w:r w:rsidR="00330822">
              <w:rPr>
                <w:webHidden/>
              </w:rPr>
              <w:fldChar w:fldCharType="begin"/>
            </w:r>
            <w:r w:rsidR="00330822">
              <w:rPr>
                <w:webHidden/>
              </w:rPr>
              <w:instrText xml:space="preserve"> PAGEREF _Toc129954623 \h </w:instrText>
            </w:r>
            <w:r w:rsidR="00330822">
              <w:rPr>
                <w:webHidden/>
              </w:rPr>
            </w:r>
            <w:r w:rsidR="00330822">
              <w:rPr>
                <w:webHidden/>
              </w:rPr>
              <w:fldChar w:fldCharType="separate"/>
            </w:r>
            <w:r w:rsidR="009C672A">
              <w:rPr>
                <w:webHidden/>
              </w:rPr>
              <w:t>138</w:t>
            </w:r>
            <w:r w:rsidR="00330822">
              <w:rPr>
                <w:webHidden/>
              </w:rPr>
              <w:fldChar w:fldCharType="end"/>
            </w:r>
          </w:hyperlink>
        </w:p>
        <w:p w14:paraId="7CFF67FF" w14:textId="5A149E9F" w:rsidR="00330822" w:rsidRDefault="0019516A">
          <w:pPr>
            <w:pStyle w:val="TOC3"/>
            <w:rPr>
              <w:rFonts w:eastAsiaTheme="minorEastAsia"/>
              <w:b w:val="0"/>
              <w:bCs w:val="0"/>
              <w:sz w:val="22"/>
            </w:rPr>
          </w:pPr>
          <w:hyperlink w:anchor="_Toc129954624" w:history="1">
            <w:r w:rsidR="00330822" w:rsidRPr="00A74458">
              <w:rPr>
                <w:rStyle w:val="Hyperlink"/>
              </w:rPr>
              <w:t>Appendix F</w:t>
            </w:r>
            <w:r w:rsidR="00330822">
              <w:rPr>
                <w:rFonts w:eastAsiaTheme="minorEastAsia"/>
                <w:b w:val="0"/>
                <w:bCs w:val="0"/>
                <w:sz w:val="22"/>
              </w:rPr>
              <w:tab/>
            </w:r>
            <w:r w:rsidR="00330822" w:rsidRPr="00A74458">
              <w:rPr>
                <w:rStyle w:val="Hyperlink"/>
              </w:rPr>
              <w:t>Sponsor product description and utilisation</w:t>
            </w:r>
            <w:r w:rsidR="00330822">
              <w:rPr>
                <w:webHidden/>
              </w:rPr>
              <w:tab/>
            </w:r>
            <w:r w:rsidR="00330822">
              <w:rPr>
                <w:webHidden/>
              </w:rPr>
              <w:fldChar w:fldCharType="begin"/>
            </w:r>
            <w:r w:rsidR="00330822">
              <w:rPr>
                <w:webHidden/>
              </w:rPr>
              <w:instrText xml:space="preserve"> PAGEREF _Toc129954624 \h </w:instrText>
            </w:r>
            <w:r w:rsidR="00330822">
              <w:rPr>
                <w:webHidden/>
              </w:rPr>
            </w:r>
            <w:r w:rsidR="00330822">
              <w:rPr>
                <w:webHidden/>
              </w:rPr>
              <w:fldChar w:fldCharType="separate"/>
            </w:r>
            <w:r w:rsidR="009C672A">
              <w:rPr>
                <w:webHidden/>
              </w:rPr>
              <w:t>139</w:t>
            </w:r>
            <w:r w:rsidR="00330822">
              <w:rPr>
                <w:webHidden/>
              </w:rPr>
              <w:fldChar w:fldCharType="end"/>
            </w:r>
          </w:hyperlink>
        </w:p>
        <w:p w14:paraId="6D45A030" w14:textId="3EB2C457" w:rsidR="00330822" w:rsidRDefault="0019516A">
          <w:pPr>
            <w:pStyle w:val="TOC3"/>
            <w:rPr>
              <w:rFonts w:eastAsiaTheme="minorEastAsia"/>
              <w:b w:val="0"/>
              <w:bCs w:val="0"/>
              <w:sz w:val="22"/>
            </w:rPr>
          </w:pPr>
          <w:hyperlink w:anchor="_Toc129954625" w:history="1">
            <w:r w:rsidR="00330822" w:rsidRPr="00A74458">
              <w:rPr>
                <w:rStyle w:val="Hyperlink"/>
              </w:rPr>
              <w:t>Appendix G</w:t>
            </w:r>
            <w:r w:rsidR="00330822">
              <w:rPr>
                <w:rFonts w:eastAsiaTheme="minorEastAsia"/>
                <w:b w:val="0"/>
                <w:bCs w:val="0"/>
                <w:sz w:val="22"/>
              </w:rPr>
              <w:tab/>
            </w:r>
            <w:r w:rsidR="00330822" w:rsidRPr="00A74458">
              <w:rPr>
                <w:rStyle w:val="Hyperlink"/>
              </w:rPr>
              <w:t>PL criteria and rationale</w:t>
            </w:r>
            <w:r w:rsidR="00330822">
              <w:rPr>
                <w:webHidden/>
              </w:rPr>
              <w:tab/>
            </w:r>
            <w:r w:rsidR="00330822">
              <w:rPr>
                <w:webHidden/>
              </w:rPr>
              <w:fldChar w:fldCharType="begin"/>
            </w:r>
            <w:r w:rsidR="00330822">
              <w:rPr>
                <w:webHidden/>
              </w:rPr>
              <w:instrText xml:space="preserve"> PAGEREF _Toc129954625 \h </w:instrText>
            </w:r>
            <w:r w:rsidR="00330822">
              <w:rPr>
                <w:webHidden/>
              </w:rPr>
            </w:r>
            <w:r w:rsidR="00330822">
              <w:rPr>
                <w:webHidden/>
              </w:rPr>
              <w:fldChar w:fldCharType="separate"/>
            </w:r>
            <w:r w:rsidR="009C672A">
              <w:rPr>
                <w:webHidden/>
              </w:rPr>
              <w:t>140</w:t>
            </w:r>
            <w:r w:rsidR="00330822">
              <w:rPr>
                <w:webHidden/>
              </w:rPr>
              <w:fldChar w:fldCharType="end"/>
            </w:r>
          </w:hyperlink>
        </w:p>
        <w:p w14:paraId="61E95D2B" w14:textId="231F49B3" w:rsidR="00270242" w:rsidRPr="005F62F4" w:rsidRDefault="009A4961" w:rsidP="00361AB6">
          <w:r w:rsidRPr="005F62F4">
            <w:rPr>
              <w:bCs/>
            </w:rPr>
            <w:fldChar w:fldCharType="end"/>
          </w:r>
        </w:p>
      </w:sdtContent>
    </w:sdt>
    <w:p w14:paraId="06BF36B2" w14:textId="77777777" w:rsidR="00893A76" w:rsidRPr="005F62F4" w:rsidRDefault="00893A76" w:rsidP="00893A76">
      <w:bookmarkStart w:id="16" w:name="_Toc120178280"/>
    </w:p>
    <w:p w14:paraId="1735763D" w14:textId="2419A442" w:rsidR="00270242" w:rsidRPr="005F62F4" w:rsidRDefault="00FF27A1" w:rsidP="00893A76">
      <w:pPr>
        <w:pStyle w:val="TOCHeading2"/>
      </w:pPr>
      <w:r w:rsidRPr="005F62F4">
        <w:t>Tables</w:t>
      </w:r>
      <w:bookmarkEnd w:id="16"/>
    </w:p>
    <w:p w14:paraId="7F5A6FF5" w14:textId="32753423" w:rsidR="00330822" w:rsidRDefault="00FF27A1">
      <w:pPr>
        <w:pStyle w:val="TableofFigures"/>
        <w:rPr>
          <w:rFonts w:eastAsiaTheme="minorEastAsia"/>
          <w:szCs w:val="22"/>
        </w:rPr>
      </w:pPr>
      <w:r w:rsidRPr="005F62F4">
        <w:rPr>
          <w:noProof w:val="0"/>
        </w:rPr>
        <w:fldChar w:fldCharType="begin"/>
      </w:r>
      <w:r w:rsidRPr="005F62F4">
        <w:rPr>
          <w:noProof w:val="0"/>
        </w:rPr>
        <w:instrText xml:space="preserve"> TOC \h \z \c "Table" </w:instrText>
      </w:r>
      <w:r w:rsidRPr="005F62F4">
        <w:rPr>
          <w:noProof w:val="0"/>
        </w:rPr>
        <w:fldChar w:fldCharType="separate"/>
      </w:r>
      <w:hyperlink w:anchor="_Toc129954638" w:history="1">
        <w:r w:rsidR="00330822" w:rsidRPr="00DD41CE">
          <w:rPr>
            <w:rStyle w:val="Hyperlink"/>
          </w:rPr>
          <w:t>Table 1: Methodology and data sources</w:t>
        </w:r>
        <w:r w:rsidR="00330822">
          <w:rPr>
            <w:webHidden/>
          </w:rPr>
          <w:tab/>
        </w:r>
        <w:r w:rsidR="00330822">
          <w:rPr>
            <w:webHidden/>
          </w:rPr>
          <w:fldChar w:fldCharType="begin"/>
        </w:r>
        <w:r w:rsidR="00330822">
          <w:rPr>
            <w:webHidden/>
          </w:rPr>
          <w:instrText xml:space="preserve"> PAGEREF _Toc129954638 \h </w:instrText>
        </w:r>
        <w:r w:rsidR="00330822">
          <w:rPr>
            <w:webHidden/>
          </w:rPr>
        </w:r>
        <w:r w:rsidR="00330822">
          <w:rPr>
            <w:webHidden/>
          </w:rPr>
          <w:fldChar w:fldCharType="separate"/>
        </w:r>
        <w:r w:rsidR="00330822">
          <w:rPr>
            <w:webHidden/>
          </w:rPr>
          <w:t>17</w:t>
        </w:r>
        <w:r w:rsidR="00330822">
          <w:rPr>
            <w:webHidden/>
          </w:rPr>
          <w:fldChar w:fldCharType="end"/>
        </w:r>
      </w:hyperlink>
    </w:p>
    <w:p w14:paraId="4B85FC45" w14:textId="39253FD9" w:rsidR="00330822" w:rsidRDefault="0019516A">
      <w:pPr>
        <w:pStyle w:val="TableofFigures"/>
        <w:rPr>
          <w:rFonts w:eastAsiaTheme="minorEastAsia"/>
          <w:szCs w:val="22"/>
        </w:rPr>
      </w:pPr>
      <w:hyperlink w:anchor="_Toc129954639" w:history="1">
        <w:r w:rsidR="00330822" w:rsidRPr="00DD41CE">
          <w:rPr>
            <w:rStyle w:val="Hyperlink"/>
          </w:rPr>
          <w:t>Table 2: Typical procedures where surgical guides and biomodels are used</w:t>
        </w:r>
        <w:r w:rsidR="00330822">
          <w:rPr>
            <w:webHidden/>
          </w:rPr>
          <w:tab/>
        </w:r>
        <w:r w:rsidR="00330822">
          <w:rPr>
            <w:webHidden/>
          </w:rPr>
          <w:fldChar w:fldCharType="begin"/>
        </w:r>
        <w:r w:rsidR="00330822">
          <w:rPr>
            <w:webHidden/>
          </w:rPr>
          <w:instrText xml:space="preserve"> PAGEREF _Toc129954639 \h </w:instrText>
        </w:r>
        <w:r w:rsidR="00330822">
          <w:rPr>
            <w:webHidden/>
          </w:rPr>
        </w:r>
        <w:r w:rsidR="00330822">
          <w:rPr>
            <w:webHidden/>
          </w:rPr>
          <w:fldChar w:fldCharType="separate"/>
        </w:r>
        <w:r w:rsidR="00330822">
          <w:rPr>
            <w:webHidden/>
          </w:rPr>
          <w:t>26</w:t>
        </w:r>
        <w:r w:rsidR="00330822">
          <w:rPr>
            <w:webHidden/>
          </w:rPr>
          <w:fldChar w:fldCharType="end"/>
        </w:r>
      </w:hyperlink>
    </w:p>
    <w:p w14:paraId="6E2BBD0E" w14:textId="6F699B49" w:rsidR="00330822" w:rsidRDefault="0019516A">
      <w:pPr>
        <w:pStyle w:val="TableofFigures"/>
        <w:rPr>
          <w:rFonts w:eastAsiaTheme="minorEastAsia"/>
          <w:szCs w:val="22"/>
        </w:rPr>
      </w:pPr>
      <w:hyperlink w:anchor="_Toc129954640" w:history="1">
        <w:r w:rsidR="00330822" w:rsidRPr="00DD41CE">
          <w:rPr>
            <w:rStyle w:val="Hyperlink"/>
          </w:rPr>
          <w:t>Table 3: Summarised findings of studies included in systematic review by PICO</w:t>
        </w:r>
        <w:r w:rsidR="00330822">
          <w:rPr>
            <w:webHidden/>
          </w:rPr>
          <w:tab/>
        </w:r>
        <w:r w:rsidR="00330822">
          <w:rPr>
            <w:webHidden/>
          </w:rPr>
          <w:fldChar w:fldCharType="begin"/>
        </w:r>
        <w:r w:rsidR="00330822">
          <w:rPr>
            <w:webHidden/>
          </w:rPr>
          <w:instrText xml:space="preserve"> PAGEREF _Toc129954640 \h </w:instrText>
        </w:r>
        <w:r w:rsidR="00330822">
          <w:rPr>
            <w:webHidden/>
          </w:rPr>
        </w:r>
        <w:r w:rsidR="00330822">
          <w:rPr>
            <w:webHidden/>
          </w:rPr>
          <w:fldChar w:fldCharType="separate"/>
        </w:r>
        <w:r w:rsidR="00330822">
          <w:rPr>
            <w:webHidden/>
          </w:rPr>
          <w:t>38</w:t>
        </w:r>
        <w:r w:rsidR="00330822">
          <w:rPr>
            <w:webHidden/>
          </w:rPr>
          <w:fldChar w:fldCharType="end"/>
        </w:r>
      </w:hyperlink>
    </w:p>
    <w:p w14:paraId="1F00A1B2" w14:textId="6C8228F4" w:rsidR="00330822" w:rsidRDefault="0019516A">
      <w:pPr>
        <w:pStyle w:val="TableofFigures"/>
        <w:rPr>
          <w:rFonts w:eastAsiaTheme="minorEastAsia"/>
          <w:szCs w:val="22"/>
        </w:rPr>
      </w:pPr>
      <w:hyperlink w:anchor="_Toc129954641" w:history="1">
        <w:r w:rsidR="00330822" w:rsidRPr="00DD41CE">
          <w:rPr>
            <w:rStyle w:val="Hyperlink"/>
          </w:rPr>
          <w:t>Table 4: Biomodels annual growth rate, by financial year</w:t>
        </w:r>
        <w:r w:rsidR="00330822">
          <w:rPr>
            <w:webHidden/>
          </w:rPr>
          <w:tab/>
        </w:r>
        <w:r w:rsidR="00330822">
          <w:rPr>
            <w:webHidden/>
          </w:rPr>
          <w:fldChar w:fldCharType="begin"/>
        </w:r>
        <w:r w:rsidR="00330822">
          <w:rPr>
            <w:webHidden/>
          </w:rPr>
          <w:instrText xml:space="preserve"> PAGEREF _Toc129954641 \h </w:instrText>
        </w:r>
        <w:r w:rsidR="00330822">
          <w:rPr>
            <w:webHidden/>
          </w:rPr>
        </w:r>
        <w:r w:rsidR="00330822">
          <w:rPr>
            <w:webHidden/>
          </w:rPr>
          <w:fldChar w:fldCharType="separate"/>
        </w:r>
        <w:r w:rsidR="00330822">
          <w:rPr>
            <w:webHidden/>
          </w:rPr>
          <w:t>58</w:t>
        </w:r>
        <w:r w:rsidR="00330822">
          <w:rPr>
            <w:webHidden/>
          </w:rPr>
          <w:fldChar w:fldCharType="end"/>
        </w:r>
      </w:hyperlink>
    </w:p>
    <w:p w14:paraId="7647FACF" w14:textId="07E4436F" w:rsidR="00330822" w:rsidRDefault="0019516A">
      <w:pPr>
        <w:pStyle w:val="TableofFigures"/>
        <w:rPr>
          <w:rFonts w:eastAsiaTheme="minorEastAsia"/>
          <w:szCs w:val="22"/>
        </w:rPr>
      </w:pPr>
      <w:hyperlink w:anchor="_Toc129954642" w:history="1">
        <w:r w:rsidR="00330822" w:rsidRPr="00DD41CE">
          <w:rPr>
            <w:rStyle w:val="Hyperlink"/>
          </w:rPr>
          <w:t>Table 5: Surgical guide annual growth rate, by financial year</w:t>
        </w:r>
        <w:r w:rsidR="00330822">
          <w:rPr>
            <w:webHidden/>
          </w:rPr>
          <w:tab/>
        </w:r>
        <w:r w:rsidR="00330822">
          <w:rPr>
            <w:webHidden/>
          </w:rPr>
          <w:fldChar w:fldCharType="begin"/>
        </w:r>
        <w:r w:rsidR="00330822">
          <w:rPr>
            <w:webHidden/>
          </w:rPr>
          <w:instrText xml:space="preserve"> PAGEREF _Toc129954642 \h </w:instrText>
        </w:r>
        <w:r w:rsidR="00330822">
          <w:rPr>
            <w:webHidden/>
          </w:rPr>
        </w:r>
        <w:r w:rsidR="00330822">
          <w:rPr>
            <w:webHidden/>
          </w:rPr>
          <w:fldChar w:fldCharType="separate"/>
        </w:r>
        <w:r w:rsidR="00330822">
          <w:rPr>
            <w:webHidden/>
          </w:rPr>
          <w:t>58</w:t>
        </w:r>
        <w:r w:rsidR="00330822">
          <w:rPr>
            <w:webHidden/>
          </w:rPr>
          <w:fldChar w:fldCharType="end"/>
        </w:r>
      </w:hyperlink>
    </w:p>
    <w:p w14:paraId="426DCC8A" w14:textId="0F45CF48" w:rsidR="00330822" w:rsidRDefault="0019516A">
      <w:pPr>
        <w:pStyle w:val="TableofFigures"/>
        <w:rPr>
          <w:rFonts w:eastAsiaTheme="minorEastAsia"/>
          <w:szCs w:val="22"/>
        </w:rPr>
      </w:pPr>
      <w:hyperlink w:anchor="_Toc129954643" w:history="1">
        <w:r w:rsidR="00330822" w:rsidRPr="00DD41CE">
          <w:rPr>
            <w:rStyle w:val="Hyperlink"/>
          </w:rPr>
          <w:t>Table 6: Biomodel utilisation by financial year</w:t>
        </w:r>
        <w:r w:rsidR="00330822">
          <w:rPr>
            <w:webHidden/>
          </w:rPr>
          <w:tab/>
        </w:r>
        <w:r w:rsidR="00330822">
          <w:rPr>
            <w:webHidden/>
          </w:rPr>
          <w:fldChar w:fldCharType="begin"/>
        </w:r>
        <w:r w:rsidR="00330822">
          <w:rPr>
            <w:webHidden/>
          </w:rPr>
          <w:instrText xml:space="preserve"> PAGEREF _Toc129954643 \h </w:instrText>
        </w:r>
        <w:r w:rsidR="00330822">
          <w:rPr>
            <w:webHidden/>
          </w:rPr>
        </w:r>
        <w:r w:rsidR="00330822">
          <w:rPr>
            <w:webHidden/>
          </w:rPr>
          <w:fldChar w:fldCharType="separate"/>
        </w:r>
        <w:r w:rsidR="00330822">
          <w:rPr>
            <w:webHidden/>
          </w:rPr>
          <w:t>58</w:t>
        </w:r>
        <w:r w:rsidR="00330822">
          <w:rPr>
            <w:webHidden/>
          </w:rPr>
          <w:fldChar w:fldCharType="end"/>
        </w:r>
      </w:hyperlink>
    </w:p>
    <w:p w14:paraId="094C8EFF" w14:textId="30415737" w:rsidR="00330822" w:rsidRDefault="0019516A">
      <w:pPr>
        <w:pStyle w:val="TableofFigures"/>
        <w:rPr>
          <w:rFonts w:eastAsiaTheme="minorEastAsia"/>
          <w:szCs w:val="22"/>
        </w:rPr>
      </w:pPr>
      <w:hyperlink w:anchor="_Toc129954644" w:history="1">
        <w:r w:rsidR="00330822" w:rsidRPr="00DD41CE">
          <w:rPr>
            <w:rStyle w:val="Hyperlink"/>
          </w:rPr>
          <w:t>Table 7: Surgical guide utilisation by financial year</w:t>
        </w:r>
        <w:r w:rsidR="00330822">
          <w:rPr>
            <w:webHidden/>
          </w:rPr>
          <w:tab/>
        </w:r>
        <w:r w:rsidR="00330822">
          <w:rPr>
            <w:webHidden/>
          </w:rPr>
          <w:fldChar w:fldCharType="begin"/>
        </w:r>
        <w:r w:rsidR="00330822">
          <w:rPr>
            <w:webHidden/>
          </w:rPr>
          <w:instrText xml:space="preserve"> PAGEREF _Toc129954644 \h </w:instrText>
        </w:r>
        <w:r w:rsidR="00330822">
          <w:rPr>
            <w:webHidden/>
          </w:rPr>
        </w:r>
        <w:r w:rsidR="00330822">
          <w:rPr>
            <w:webHidden/>
          </w:rPr>
          <w:fldChar w:fldCharType="separate"/>
        </w:r>
        <w:r w:rsidR="00330822">
          <w:rPr>
            <w:webHidden/>
          </w:rPr>
          <w:t>59</w:t>
        </w:r>
        <w:r w:rsidR="00330822">
          <w:rPr>
            <w:webHidden/>
          </w:rPr>
          <w:fldChar w:fldCharType="end"/>
        </w:r>
      </w:hyperlink>
    </w:p>
    <w:p w14:paraId="59167D57" w14:textId="61D69E67" w:rsidR="00330822" w:rsidRDefault="0019516A">
      <w:pPr>
        <w:pStyle w:val="TableofFigures"/>
        <w:rPr>
          <w:rFonts w:eastAsiaTheme="minorEastAsia"/>
          <w:szCs w:val="22"/>
        </w:rPr>
      </w:pPr>
      <w:hyperlink w:anchor="_Toc129954645" w:history="1">
        <w:r w:rsidR="00330822" w:rsidRPr="00DD41CE">
          <w:rPr>
            <w:rStyle w:val="Hyperlink"/>
          </w:rPr>
          <w:t>Table 8: Number of biomodels used per separation, by financial year</w:t>
        </w:r>
        <w:r w:rsidR="00330822">
          <w:rPr>
            <w:webHidden/>
          </w:rPr>
          <w:tab/>
        </w:r>
        <w:r w:rsidR="00330822">
          <w:rPr>
            <w:webHidden/>
          </w:rPr>
          <w:fldChar w:fldCharType="begin"/>
        </w:r>
        <w:r w:rsidR="00330822">
          <w:rPr>
            <w:webHidden/>
          </w:rPr>
          <w:instrText xml:space="preserve"> PAGEREF _Toc129954645 \h </w:instrText>
        </w:r>
        <w:r w:rsidR="00330822">
          <w:rPr>
            <w:webHidden/>
          </w:rPr>
        </w:r>
        <w:r w:rsidR="00330822">
          <w:rPr>
            <w:webHidden/>
          </w:rPr>
          <w:fldChar w:fldCharType="separate"/>
        </w:r>
        <w:r w:rsidR="00330822">
          <w:rPr>
            <w:webHidden/>
          </w:rPr>
          <w:t>59</w:t>
        </w:r>
        <w:r w:rsidR="00330822">
          <w:rPr>
            <w:webHidden/>
          </w:rPr>
          <w:fldChar w:fldCharType="end"/>
        </w:r>
      </w:hyperlink>
    </w:p>
    <w:p w14:paraId="4ED34EFE" w14:textId="57863FEE" w:rsidR="00330822" w:rsidRDefault="0019516A">
      <w:pPr>
        <w:pStyle w:val="TableofFigures"/>
        <w:rPr>
          <w:rFonts w:eastAsiaTheme="minorEastAsia"/>
          <w:szCs w:val="22"/>
        </w:rPr>
      </w:pPr>
      <w:hyperlink w:anchor="_Toc129954646" w:history="1">
        <w:r w:rsidR="00330822" w:rsidRPr="00DD41CE">
          <w:rPr>
            <w:rStyle w:val="Hyperlink"/>
          </w:rPr>
          <w:t>Table 9: Number of surgical guides used per separation, by financial year</w:t>
        </w:r>
        <w:r w:rsidR="00330822">
          <w:rPr>
            <w:webHidden/>
          </w:rPr>
          <w:tab/>
        </w:r>
        <w:r w:rsidR="00330822">
          <w:rPr>
            <w:webHidden/>
          </w:rPr>
          <w:fldChar w:fldCharType="begin"/>
        </w:r>
        <w:r w:rsidR="00330822">
          <w:rPr>
            <w:webHidden/>
          </w:rPr>
          <w:instrText xml:space="preserve"> PAGEREF _Toc129954646 \h </w:instrText>
        </w:r>
        <w:r w:rsidR="00330822">
          <w:rPr>
            <w:webHidden/>
          </w:rPr>
        </w:r>
        <w:r w:rsidR="00330822">
          <w:rPr>
            <w:webHidden/>
          </w:rPr>
          <w:fldChar w:fldCharType="separate"/>
        </w:r>
        <w:r w:rsidR="00330822">
          <w:rPr>
            <w:webHidden/>
          </w:rPr>
          <w:t>59</w:t>
        </w:r>
        <w:r w:rsidR="00330822">
          <w:rPr>
            <w:webHidden/>
          </w:rPr>
          <w:fldChar w:fldCharType="end"/>
        </w:r>
      </w:hyperlink>
    </w:p>
    <w:p w14:paraId="1B8A3EB1" w14:textId="49FB84BC" w:rsidR="00330822" w:rsidRDefault="0019516A">
      <w:pPr>
        <w:pStyle w:val="TableofFigures"/>
        <w:rPr>
          <w:rFonts w:eastAsiaTheme="minorEastAsia"/>
          <w:szCs w:val="22"/>
        </w:rPr>
      </w:pPr>
      <w:hyperlink w:anchor="_Toc129954647" w:history="1">
        <w:r w:rsidR="00330822" w:rsidRPr="00DD41CE">
          <w:rPr>
            <w:rStyle w:val="Hyperlink"/>
          </w:rPr>
          <w:t>Table 10: Proportion of products used in each financial year, by MBS clinical category</w:t>
        </w:r>
        <w:r w:rsidR="00330822">
          <w:rPr>
            <w:webHidden/>
          </w:rPr>
          <w:tab/>
        </w:r>
        <w:r w:rsidR="00330822">
          <w:rPr>
            <w:webHidden/>
          </w:rPr>
          <w:fldChar w:fldCharType="begin"/>
        </w:r>
        <w:r w:rsidR="00330822">
          <w:rPr>
            <w:webHidden/>
          </w:rPr>
          <w:instrText xml:space="preserve"> PAGEREF _Toc129954647 \h </w:instrText>
        </w:r>
        <w:r w:rsidR="00330822">
          <w:rPr>
            <w:webHidden/>
          </w:rPr>
        </w:r>
        <w:r w:rsidR="00330822">
          <w:rPr>
            <w:webHidden/>
          </w:rPr>
          <w:fldChar w:fldCharType="separate"/>
        </w:r>
        <w:r w:rsidR="00330822">
          <w:rPr>
            <w:webHidden/>
          </w:rPr>
          <w:t>60</w:t>
        </w:r>
        <w:r w:rsidR="00330822">
          <w:rPr>
            <w:webHidden/>
          </w:rPr>
          <w:fldChar w:fldCharType="end"/>
        </w:r>
      </w:hyperlink>
    </w:p>
    <w:p w14:paraId="2193CCAB" w14:textId="53136543" w:rsidR="00330822" w:rsidRDefault="0019516A">
      <w:pPr>
        <w:pStyle w:val="TableofFigures"/>
        <w:rPr>
          <w:rFonts w:eastAsiaTheme="minorEastAsia"/>
          <w:szCs w:val="22"/>
        </w:rPr>
      </w:pPr>
      <w:hyperlink w:anchor="_Toc129954648" w:history="1">
        <w:r w:rsidR="00330822" w:rsidRPr="00DD41CE">
          <w:rPr>
            <w:rStyle w:val="Hyperlink"/>
          </w:rPr>
          <w:t>Table 11: Utilisation of surgical guides and biomodels by MBS item, 2020-21</w:t>
        </w:r>
        <w:r w:rsidR="00330822">
          <w:rPr>
            <w:webHidden/>
          </w:rPr>
          <w:tab/>
        </w:r>
        <w:r w:rsidR="00330822">
          <w:rPr>
            <w:webHidden/>
          </w:rPr>
          <w:fldChar w:fldCharType="begin"/>
        </w:r>
        <w:r w:rsidR="00330822">
          <w:rPr>
            <w:webHidden/>
          </w:rPr>
          <w:instrText xml:space="preserve"> PAGEREF _Toc129954648 \h </w:instrText>
        </w:r>
        <w:r w:rsidR="00330822">
          <w:rPr>
            <w:webHidden/>
          </w:rPr>
        </w:r>
        <w:r w:rsidR="00330822">
          <w:rPr>
            <w:webHidden/>
          </w:rPr>
          <w:fldChar w:fldCharType="separate"/>
        </w:r>
        <w:r w:rsidR="00330822">
          <w:rPr>
            <w:webHidden/>
          </w:rPr>
          <w:t>62</w:t>
        </w:r>
        <w:r w:rsidR="00330822">
          <w:rPr>
            <w:webHidden/>
          </w:rPr>
          <w:fldChar w:fldCharType="end"/>
        </w:r>
      </w:hyperlink>
    </w:p>
    <w:p w14:paraId="3E1F70B9" w14:textId="4801927C" w:rsidR="00330822" w:rsidRDefault="0019516A">
      <w:pPr>
        <w:pStyle w:val="TableofFigures"/>
        <w:rPr>
          <w:rFonts w:eastAsiaTheme="minorEastAsia"/>
          <w:szCs w:val="22"/>
        </w:rPr>
      </w:pPr>
      <w:hyperlink w:anchor="_Toc129954649" w:history="1">
        <w:r w:rsidR="00330822" w:rsidRPr="00DD41CE">
          <w:rPr>
            <w:rStyle w:val="Hyperlink"/>
          </w:rPr>
          <w:t>Table 12: Combined surgical guides and biomodels utilisation by ICD codes, by financial year</w:t>
        </w:r>
        <w:r w:rsidR="00330822">
          <w:rPr>
            <w:webHidden/>
          </w:rPr>
          <w:tab/>
        </w:r>
        <w:r w:rsidR="00330822">
          <w:rPr>
            <w:webHidden/>
          </w:rPr>
          <w:fldChar w:fldCharType="begin"/>
        </w:r>
        <w:r w:rsidR="00330822">
          <w:rPr>
            <w:webHidden/>
          </w:rPr>
          <w:instrText xml:space="preserve"> PAGEREF _Toc129954649 \h </w:instrText>
        </w:r>
        <w:r w:rsidR="00330822">
          <w:rPr>
            <w:webHidden/>
          </w:rPr>
        </w:r>
        <w:r w:rsidR="00330822">
          <w:rPr>
            <w:webHidden/>
          </w:rPr>
          <w:fldChar w:fldCharType="separate"/>
        </w:r>
        <w:r w:rsidR="00330822">
          <w:rPr>
            <w:webHidden/>
          </w:rPr>
          <w:t>63</w:t>
        </w:r>
        <w:r w:rsidR="00330822">
          <w:rPr>
            <w:webHidden/>
          </w:rPr>
          <w:fldChar w:fldCharType="end"/>
        </w:r>
      </w:hyperlink>
    </w:p>
    <w:p w14:paraId="57343050" w14:textId="2C3A09A0" w:rsidR="00330822" w:rsidRDefault="0019516A">
      <w:pPr>
        <w:pStyle w:val="TableofFigures"/>
        <w:rPr>
          <w:rFonts w:eastAsiaTheme="minorEastAsia"/>
          <w:szCs w:val="22"/>
        </w:rPr>
      </w:pPr>
      <w:hyperlink w:anchor="_Toc129954650" w:history="1">
        <w:r w:rsidR="00330822" w:rsidRPr="00DD41CE">
          <w:rPr>
            <w:rStyle w:val="Hyperlink"/>
          </w:rPr>
          <w:t>Table 13: Biomodels by diagnosis related groupings, by financial year</w:t>
        </w:r>
        <w:r w:rsidR="00330822">
          <w:rPr>
            <w:webHidden/>
          </w:rPr>
          <w:tab/>
        </w:r>
        <w:r w:rsidR="00330822">
          <w:rPr>
            <w:webHidden/>
          </w:rPr>
          <w:fldChar w:fldCharType="begin"/>
        </w:r>
        <w:r w:rsidR="00330822">
          <w:rPr>
            <w:webHidden/>
          </w:rPr>
          <w:instrText xml:space="preserve"> PAGEREF _Toc129954650 \h </w:instrText>
        </w:r>
        <w:r w:rsidR="00330822">
          <w:rPr>
            <w:webHidden/>
          </w:rPr>
        </w:r>
        <w:r w:rsidR="00330822">
          <w:rPr>
            <w:webHidden/>
          </w:rPr>
          <w:fldChar w:fldCharType="separate"/>
        </w:r>
        <w:r w:rsidR="00330822">
          <w:rPr>
            <w:webHidden/>
          </w:rPr>
          <w:t>64</w:t>
        </w:r>
        <w:r w:rsidR="00330822">
          <w:rPr>
            <w:webHidden/>
          </w:rPr>
          <w:fldChar w:fldCharType="end"/>
        </w:r>
      </w:hyperlink>
    </w:p>
    <w:p w14:paraId="082E555E" w14:textId="5603054B" w:rsidR="00330822" w:rsidRDefault="0019516A">
      <w:pPr>
        <w:pStyle w:val="TableofFigures"/>
        <w:rPr>
          <w:rFonts w:eastAsiaTheme="minorEastAsia"/>
          <w:szCs w:val="22"/>
        </w:rPr>
      </w:pPr>
      <w:hyperlink w:anchor="_Toc129954651" w:history="1">
        <w:r w:rsidR="00330822" w:rsidRPr="00DD41CE">
          <w:rPr>
            <w:rStyle w:val="Hyperlink"/>
          </w:rPr>
          <w:t>Table 14: Surgical guides by diagnosis related groupings, by financial year</w:t>
        </w:r>
        <w:r w:rsidR="00330822">
          <w:rPr>
            <w:webHidden/>
          </w:rPr>
          <w:tab/>
        </w:r>
        <w:r w:rsidR="00330822">
          <w:rPr>
            <w:webHidden/>
          </w:rPr>
          <w:fldChar w:fldCharType="begin"/>
        </w:r>
        <w:r w:rsidR="00330822">
          <w:rPr>
            <w:webHidden/>
          </w:rPr>
          <w:instrText xml:space="preserve"> PAGEREF _Toc129954651 \h </w:instrText>
        </w:r>
        <w:r w:rsidR="00330822">
          <w:rPr>
            <w:webHidden/>
          </w:rPr>
        </w:r>
        <w:r w:rsidR="00330822">
          <w:rPr>
            <w:webHidden/>
          </w:rPr>
          <w:fldChar w:fldCharType="separate"/>
        </w:r>
        <w:r w:rsidR="00330822">
          <w:rPr>
            <w:webHidden/>
          </w:rPr>
          <w:t>64</w:t>
        </w:r>
        <w:r w:rsidR="00330822">
          <w:rPr>
            <w:webHidden/>
          </w:rPr>
          <w:fldChar w:fldCharType="end"/>
        </w:r>
      </w:hyperlink>
    </w:p>
    <w:p w14:paraId="748DA4A1" w14:textId="7A2A7884" w:rsidR="00330822" w:rsidRDefault="0019516A">
      <w:pPr>
        <w:pStyle w:val="TableofFigures"/>
        <w:rPr>
          <w:rFonts w:eastAsiaTheme="minorEastAsia"/>
          <w:szCs w:val="22"/>
        </w:rPr>
      </w:pPr>
      <w:hyperlink w:anchor="_Toc129954652" w:history="1">
        <w:r w:rsidR="00330822" w:rsidRPr="00DD41CE">
          <w:rPr>
            <w:rStyle w:val="Hyperlink"/>
          </w:rPr>
          <w:t>Table 15: Biomodel and surgical guide expenditure, by financial year</w:t>
        </w:r>
        <w:r w:rsidR="00330822">
          <w:rPr>
            <w:webHidden/>
          </w:rPr>
          <w:tab/>
        </w:r>
        <w:r w:rsidR="00330822">
          <w:rPr>
            <w:webHidden/>
          </w:rPr>
          <w:fldChar w:fldCharType="begin"/>
        </w:r>
        <w:r w:rsidR="00330822">
          <w:rPr>
            <w:webHidden/>
          </w:rPr>
          <w:instrText xml:space="preserve"> PAGEREF _Toc129954652 \h </w:instrText>
        </w:r>
        <w:r w:rsidR="00330822">
          <w:rPr>
            <w:webHidden/>
          </w:rPr>
        </w:r>
        <w:r w:rsidR="00330822">
          <w:rPr>
            <w:webHidden/>
          </w:rPr>
          <w:fldChar w:fldCharType="separate"/>
        </w:r>
        <w:r w:rsidR="00330822">
          <w:rPr>
            <w:webHidden/>
          </w:rPr>
          <w:t>65</w:t>
        </w:r>
        <w:r w:rsidR="00330822">
          <w:rPr>
            <w:webHidden/>
          </w:rPr>
          <w:fldChar w:fldCharType="end"/>
        </w:r>
      </w:hyperlink>
    </w:p>
    <w:p w14:paraId="78F19824" w14:textId="0DF2851E" w:rsidR="00330822" w:rsidRDefault="0019516A">
      <w:pPr>
        <w:pStyle w:val="TableofFigures"/>
        <w:rPr>
          <w:rFonts w:eastAsiaTheme="minorEastAsia"/>
          <w:szCs w:val="22"/>
        </w:rPr>
      </w:pPr>
      <w:hyperlink w:anchor="_Toc129954653" w:history="1">
        <w:r w:rsidR="00330822" w:rsidRPr="00DD41CE">
          <w:rPr>
            <w:rStyle w:val="Hyperlink"/>
          </w:rPr>
          <w:t>Table 16: Biomodels benefit paid, by MBS item and financial year</w:t>
        </w:r>
        <w:r w:rsidR="00330822">
          <w:rPr>
            <w:webHidden/>
          </w:rPr>
          <w:tab/>
        </w:r>
        <w:r w:rsidR="00330822">
          <w:rPr>
            <w:webHidden/>
          </w:rPr>
          <w:fldChar w:fldCharType="begin"/>
        </w:r>
        <w:r w:rsidR="00330822">
          <w:rPr>
            <w:webHidden/>
          </w:rPr>
          <w:instrText xml:space="preserve"> PAGEREF _Toc129954653 \h </w:instrText>
        </w:r>
        <w:r w:rsidR="00330822">
          <w:rPr>
            <w:webHidden/>
          </w:rPr>
        </w:r>
        <w:r w:rsidR="00330822">
          <w:rPr>
            <w:webHidden/>
          </w:rPr>
          <w:fldChar w:fldCharType="separate"/>
        </w:r>
        <w:r w:rsidR="00330822">
          <w:rPr>
            <w:webHidden/>
          </w:rPr>
          <w:t>67</w:t>
        </w:r>
        <w:r w:rsidR="00330822">
          <w:rPr>
            <w:webHidden/>
          </w:rPr>
          <w:fldChar w:fldCharType="end"/>
        </w:r>
      </w:hyperlink>
    </w:p>
    <w:p w14:paraId="67668D65" w14:textId="6F3F6258" w:rsidR="00330822" w:rsidRDefault="0019516A">
      <w:pPr>
        <w:pStyle w:val="TableofFigures"/>
        <w:rPr>
          <w:rFonts w:eastAsiaTheme="minorEastAsia"/>
          <w:szCs w:val="22"/>
        </w:rPr>
      </w:pPr>
      <w:hyperlink w:anchor="_Toc129954654" w:history="1">
        <w:r w:rsidR="00330822" w:rsidRPr="00DD41CE">
          <w:rPr>
            <w:rStyle w:val="Hyperlink"/>
          </w:rPr>
          <w:t>Table 17: Surgical guides benefits paid, by MBS item number and financial year</w:t>
        </w:r>
        <w:r w:rsidR="00330822">
          <w:rPr>
            <w:webHidden/>
          </w:rPr>
          <w:tab/>
        </w:r>
        <w:r w:rsidR="00330822">
          <w:rPr>
            <w:webHidden/>
          </w:rPr>
          <w:fldChar w:fldCharType="begin"/>
        </w:r>
        <w:r w:rsidR="00330822">
          <w:rPr>
            <w:webHidden/>
          </w:rPr>
          <w:instrText xml:space="preserve"> PAGEREF _Toc129954654 \h </w:instrText>
        </w:r>
        <w:r w:rsidR="00330822">
          <w:rPr>
            <w:webHidden/>
          </w:rPr>
        </w:r>
        <w:r w:rsidR="00330822">
          <w:rPr>
            <w:webHidden/>
          </w:rPr>
          <w:fldChar w:fldCharType="separate"/>
        </w:r>
        <w:r w:rsidR="00330822">
          <w:rPr>
            <w:webHidden/>
          </w:rPr>
          <w:t>68</w:t>
        </w:r>
        <w:r w:rsidR="00330822">
          <w:rPr>
            <w:webHidden/>
          </w:rPr>
          <w:fldChar w:fldCharType="end"/>
        </w:r>
      </w:hyperlink>
    </w:p>
    <w:p w14:paraId="644B4051" w14:textId="0B6DABA9" w:rsidR="00330822" w:rsidRDefault="0019516A">
      <w:pPr>
        <w:pStyle w:val="TableofFigures"/>
        <w:rPr>
          <w:rFonts w:eastAsiaTheme="minorEastAsia"/>
          <w:szCs w:val="22"/>
        </w:rPr>
      </w:pPr>
      <w:hyperlink w:anchor="_Toc129954655" w:history="1">
        <w:r w:rsidR="00330822" w:rsidRPr="00DD41CE">
          <w:rPr>
            <w:rStyle w:val="Hyperlink"/>
          </w:rPr>
          <w:t>Table 18: Biomodel benefits paid by sponsor, by financial year</w:t>
        </w:r>
        <w:r w:rsidR="00330822">
          <w:rPr>
            <w:webHidden/>
          </w:rPr>
          <w:tab/>
        </w:r>
        <w:r w:rsidR="00330822">
          <w:rPr>
            <w:webHidden/>
          </w:rPr>
          <w:fldChar w:fldCharType="begin"/>
        </w:r>
        <w:r w:rsidR="00330822">
          <w:rPr>
            <w:webHidden/>
          </w:rPr>
          <w:instrText xml:space="preserve"> PAGEREF _Toc129954655 \h </w:instrText>
        </w:r>
        <w:r w:rsidR="00330822">
          <w:rPr>
            <w:webHidden/>
          </w:rPr>
        </w:r>
        <w:r w:rsidR="00330822">
          <w:rPr>
            <w:webHidden/>
          </w:rPr>
          <w:fldChar w:fldCharType="separate"/>
        </w:r>
        <w:r w:rsidR="00330822">
          <w:rPr>
            <w:webHidden/>
          </w:rPr>
          <w:t>69</w:t>
        </w:r>
        <w:r w:rsidR="00330822">
          <w:rPr>
            <w:webHidden/>
          </w:rPr>
          <w:fldChar w:fldCharType="end"/>
        </w:r>
      </w:hyperlink>
    </w:p>
    <w:p w14:paraId="35EF6175" w14:textId="2A7F4EE3" w:rsidR="00330822" w:rsidRDefault="0019516A">
      <w:pPr>
        <w:pStyle w:val="TableofFigures"/>
        <w:rPr>
          <w:rFonts w:eastAsiaTheme="minorEastAsia"/>
          <w:szCs w:val="22"/>
        </w:rPr>
      </w:pPr>
      <w:hyperlink w:anchor="_Toc129954656" w:history="1">
        <w:r w:rsidR="00330822" w:rsidRPr="00DD41CE">
          <w:rPr>
            <w:rStyle w:val="Hyperlink"/>
          </w:rPr>
          <w:t>Table 19: Surgical guide benefits paid by sponsor, by financial year</w:t>
        </w:r>
        <w:r w:rsidR="00330822">
          <w:rPr>
            <w:webHidden/>
          </w:rPr>
          <w:tab/>
        </w:r>
        <w:r w:rsidR="00330822">
          <w:rPr>
            <w:webHidden/>
          </w:rPr>
          <w:fldChar w:fldCharType="begin"/>
        </w:r>
        <w:r w:rsidR="00330822">
          <w:rPr>
            <w:webHidden/>
          </w:rPr>
          <w:instrText xml:space="preserve"> PAGEREF _Toc129954656 \h </w:instrText>
        </w:r>
        <w:r w:rsidR="00330822">
          <w:rPr>
            <w:webHidden/>
          </w:rPr>
        </w:r>
        <w:r w:rsidR="00330822">
          <w:rPr>
            <w:webHidden/>
          </w:rPr>
          <w:fldChar w:fldCharType="separate"/>
        </w:r>
        <w:r w:rsidR="00330822">
          <w:rPr>
            <w:webHidden/>
          </w:rPr>
          <w:t>69</w:t>
        </w:r>
        <w:r w:rsidR="00330822">
          <w:rPr>
            <w:webHidden/>
          </w:rPr>
          <w:fldChar w:fldCharType="end"/>
        </w:r>
      </w:hyperlink>
    </w:p>
    <w:p w14:paraId="3B7A8CE9" w14:textId="0CDA05D1" w:rsidR="00330822" w:rsidRDefault="0019516A">
      <w:pPr>
        <w:pStyle w:val="TableofFigures"/>
        <w:rPr>
          <w:rFonts w:eastAsiaTheme="minorEastAsia"/>
          <w:szCs w:val="22"/>
        </w:rPr>
      </w:pPr>
      <w:hyperlink w:anchor="_Toc129954657" w:history="1">
        <w:r w:rsidR="00330822" w:rsidRPr="00DD41CE">
          <w:rPr>
            <w:rStyle w:val="Hyperlink"/>
          </w:rPr>
          <w:t>Table 20: Cranium surgical guides (07.02.02.04)</w:t>
        </w:r>
        <w:r w:rsidR="00330822">
          <w:rPr>
            <w:webHidden/>
          </w:rPr>
          <w:tab/>
        </w:r>
        <w:r w:rsidR="00330822">
          <w:rPr>
            <w:webHidden/>
          </w:rPr>
          <w:fldChar w:fldCharType="begin"/>
        </w:r>
        <w:r w:rsidR="00330822">
          <w:rPr>
            <w:webHidden/>
          </w:rPr>
          <w:instrText xml:space="preserve"> PAGEREF _Toc129954657 \h </w:instrText>
        </w:r>
        <w:r w:rsidR="00330822">
          <w:rPr>
            <w:webHidden/>
          </w:rPr>
        </w:r>
        <w:r w:rsidR="00330822">
          <w:rPr>
            <w:webHidden/>
          </w:rPr>
          <w:fldChar w:fldCharType="separate"/>
        </w:r>
        <w:r w:rsidR="00330822">
          <w:rPr>
            <w:webHidden/>
          </w:rPr>
          <w:t>97</w:t>
        </w:r>
        <w:r w:rsidR="00330822">
          <w:rPr>
            <w:webHidden/>
          </w:rPr>
          <w:fldChar w:fldCharType="end"/>
        </w:r>
      </w:hyperlink>
    </w:p>
    <w:p w14:paraId="677CA474" w14:textId="72E76310" w:rsidR="00330822" w:rsidRDefault="0019516A">
      <w:pPr>
        <w:pStyle w:val="TableofFigures"/>
        <w:rPr>
          <w:rFonts w:eastAsiaTheme="minorEastAsia"/>
          <w:szCs w:val="22"/>
        </w:rPr>
      </w:pPr>
      <w:hyperlink w:anchor="_Toc129954658" w:history="1">
        <w:r w:rsidR="00330822" w:rsidRPr="00DD41CE">
          <w:rPr>
            <w:rStyle w:val="Hyperlink"/>
          </w:rPr>
          <w:t>Table 21: Mandible, Maxilla and Temporomandibular Joint surgical guides (07.02.05.07)</w:t>
        </w:r>
        <w:r w:rsidR="00330822">
          <w:rPr>
            <w:webHidden/>
          </w:rPr>
          <w:tab/>
        </w:r>
        <w:r w:rsidR="00330822">
          <w:rPr>
            <w:webHidden/>
          </w:rPr>
          <w:fldChar w:fldCharType="begin"/>
        </w:r>
        <w:r w:rsidR="00330822">
          <w:rPr>
            <w:webHidden/>
          </w:rPr>
          <w:instrText xml:space="preserve"> PAGEREF _Toc129954658 \h </w:instrText>
        </w:r>
        <w:r w:rsidR="00330822">
          <w:rPr>
            <w:webHidden/>
          </w:rPr>
        </w:r>
        <w:r w:rsidR="00330822">
          <w:rPr>
            <w:webHidden/>
          </w:rPr>
          <w:fldChar w:fldCharType="separate"/>
        </w:r>
        <w:r w:rsidR="00330822">
          <w:rPr>
            <w:webHidden/>
          </w:rPr>
          <w:t>98</w:t>
        </w:r>
        <w:r w:rsidR="00330822">
          <w:rPr>
            <w:webHidden/>
          </w:rPr>
          <w:fldChar w:fldCharType="end"/>
        </w:r>
      </w:hyperlink>
    </w:p>
    <w:p w14:paraId="33BDDFDE" w14:textId="12582186" w:rsidR="00330822" w:rsidRDefault="0019516A">
      <w:pPr>
        <w:pStyle w:val="TableofFigures"/>
        <w:rPr>
          <w:rFonts w:eastAsiaTheme="minorEastAsia"/>
          <w:szCs w:val="22"/>
        </w:rPr>
      </w:pPr>
      <w:hyperlink w:anchor="_Toc129954659" w:history="1">
        <w:r w:rsidR="00330822" w:rsidRPr="00DD41CE">
          <w:rPr>
            <w:rStyle w:val="Hyperlink"/>
          </w:rPr>
          <w:t>Table 22: Anatomical biomodels (07.02.09)</w:t>
        </w:r>
        <w:r w:rsidR="00330822">
          <w:rPr>
            <w:webHidden/>
          </w:rPr>
          <w:tab/>
        </w:r>
        <w:r w:rsidR="00330822">
          <w:rPr>
            <w:webHidden/>
          </w:rPr>
          <w:fldChar w:fldCharType="begin"/>
        </w:r>
        <w:r w:rsidR="00330822">
          <w:rPr>
            <w:webHidden/>
          </w:rPr>
          <w:instrText xml:space="preserve"> PAGEREF _Toc129954659 \h </w:instrText>
        </w:r>
        <w:r w:rsidR="00330822">
          <w:rPr>
            <w:webHidden/>
          </w:rPr>
        </w:r>
        <w:r w:rsidR="00330822">
          <w:rPr>
            <w:webHidden/>
          </w:rPr>
          <w:fldChar w:fldCharType="separate"/>
        </w:r>
        <w:r w:rsidR="00330822">
          <w:rPr>
            <w:webHidden/>
          </w:rPr>
          <w:t>100</w:t>
        </w:r>
        <w:r w:rsidR="00330822">
          <w:rPr>
            <w:webHidden/>
          </w:rPr>
          <w:fldChar w:fldCharType="end"/>
        </w:r>
      </w:hyperlink>
    </w:p>
    <w:p w14:paraId="16420671" w14:textId="54D616CF" w:rsidR="00330822" w:rsidRDefault="0019516A">
      <w:pPr>
        <w:pStyle w:val="TableofFigures"/>
        <w:rPr>
          <w:rFonts w:eastAsiaTheme="minorEastAsia"/>
          <w:szCs w:val="22"/>
        </w:rPr>
      </w:pPr>
      <w:hyperlink w:anchor="_Toc129954660" w:history="1">
        <w:r w:rsidR="00330822" w:rsidRPr="00DD41CE">
          <w:rPr>
            <w:rStyle w:val="Hyperlink"/>
          </w:rPr>
          <w:t>Table 23: Criteria for inclusion/exclusion of studies</w:t>
        </w:r>
        <w:r w:rsidR="00330822">
          <w:rPr>
            <w:webHidden/>
          </w:rPr>
          <w:tab/>
        </w:r>
        <w:r w:rsidR="00330822">
          <w:rPr>
            <w:webHidden/>
          </w:rPr>
          <w:fldChar w:fldCharType="begin"/>
        </w:r>
        <w:r w:rsidR="00330822">
          <w:rPr>
            <w:webHidden/>
          </w:rPr>
          <w:instrText xml:space="preserve"> PAGEREF _Toc129954660 \h </w:instrText>
        </w:r>
        <w:r w:rsidR="00330822">
          <w:rPr>
            <w:webHidden/>
          </w:rPr>
        </w:r>
        <w:r w:rsidR="00330822">
          <w:rPr>
            <w:webHidden/>
          </w:rPr>
          <w:fldChar w:fldCharType="separate"/>
        </w:r>
        <w:r w:rsidR="00330822">
          <w:rPr>
            <w:webHidden/>
          </w:rPr>
          <w:t>104</w:t>
        </w:r>
        <w:r w:rsidR="00330822">
          <w:rPr>
            <w:webHidden/>
          </w:rPr>
          <w:fldChar w:fldCharType="end"/>
        </w:r>
      </w:hyperlink>
    </w:p>
    <w:p w14:paraId="7DFDD8C4" w14:textId="55B63258" w:rsidR="00330822" w:rsidRDefault="0019516A">
      <w:pPr>
        <w:pStyle w:val="TableofFigures"/>
        <w:rPr>
          <w:rFonts w:eastAsiaTheme="minorEastAsia"/>
          <w:szCs w:val="22"/>
        </w:rPr>
      </w:pPr>
      <w:hyperlink w:anchor="_Toc129954661" w:history="1">
        <w:r w:rsidR="00330822" w:rsidRPr="00DD41CE">
          <w:rPr>
            <w:rStyle w:val="Hyperlink"/>
          </w:rPr>
          <w:t>Table 24: NHMRC levels of evidence</w:t>
        </w:r>
        <w:r w:rsidR="00330822">
          <w:rPr>
            <w:webHidden/>
          </w:rPr>
          <w:tab/>
        </w:r>
        <w:r w:rsidR="00330822">
          <w:rPr>
            <w:webHidden/>
          </w:rPr>
          <w:fldChar w:fldCharType="begin"/>
        </w:r>
        <w:r w:rsidR="00330822">
          <w:rPr>
            <w:webHidden/>
          </w:rPr>
          <w:instrText xml:space="preserve"> PAGEREF _Toc129954661 \h </w:instrText>
        </w:r>
        <w:r w:rsidR="00330822">
          <w:rPr>
            <w:webHidden/>
          </w:rPr>
        </w:r>
        <w:r w:rsidR="00330822">
          <w:rPr>
            <w:webHidden/>
          </w:rPr>
          <w:fldChar w:fldCharType="separate"/>
        </w:r>
        <w:r w:rsidR="00330822">
          <w:rPr>
            <w:webHidden/>
          </w:rPr>
          <w:t>106</w:t>
        </w:r>
        <w:r w:rsidR="00330822">
          <w:rPr>
            <w:webHidden/>
          </w:rPr>
          <w:fldChar w:fldCharType="end"/>
        </w:r>
      </w:hyperlink>
    </w:p>
    <w:p w14:paraId="0E71CE7E" w14:textId="32FDF169" w:rsidR="00330822" w:rsidRDefault="0019516A">
      <w:pPr>
        <w:pStyle w:val="TableofFigures"/>
        <w:rPr>
          <w:rFonts w:eastAsiaTheme="minorEastAsia"/>
          <w:szCs w:val="22"/>
        </w:rPr>
      </w:pPr>
      <w:hyperlink w:anchor="_Toc129954662" w:history="1">
        <w:r w:rsidR="00330822" w:rsidRPr="00DD41CE">
          <w:rPr>
            <w:rStyle w:val="Hyperlink"/>
          </w:rPr>
          <w:t>Table 25: Product-specific search terms and results</w:t>
        </w:r>
        <w:r w:rsidR="00330822">
          <w:rPr>
            <w:webHidden/>
          </w:rPr>
          <w:tab/>
        </w:r>
        <w:r w:rsidR="00330822">
          <w:rPr>
            <w:webHidden/>
          </w:rPr>
          <w:fldChar w:fldCharType="begin"/>
        </w:r>
        <w:r w:rsidR="00330822">
          <w:rPr>
            <w:webHidden/>
          </w:rPr>
          <w:instrText xml:space="preserve"> PAGEREF _Toc129954662 \h </w:instrText>
        </w:r>
        <w:r w:rsidR="00330822">
          <w:rPr>
            <w:webHidden/>
          </w:rPr>
        </w:r>
        <w:r w:rsidR="00330822">
          <w:rPr>
            <w:webHidden/>
          </w:rPr>
          <w:fldChar w:fldCharType="separate"/>
        </w:r>
        <w:r w:rsidR="00330822">
          <w:rPr>
            <w:webHidden/>
          </w:rPr>
          <w:t>107</w:t>
        </w:r>
        <w:r w:rsidR="00330822">
          <w:rPr>
            <w:webHidden/>
          </w:rPr>
          <w:fldChar w:fldCharType="end"/>
        </w:r>
      </w:hyperlink>
    </w:p>
    <w:p w14:paraId="3F0B71D8" w14:textId="03514196" w:rsidR="00330822" w:rsidRDefault="0019516A">
      <w:pPr>
        <w:pStyle w:val="TableofFigures"/>
        <w:rPr>
          <w:rFonts w:eastAsiaTheme="minorEastAsia"/>
          <w:szCs w:val="22"/>
        </w:rPr>
      </w:pPr>
      <w:hyperlink w:anchor="_Toc129954663" w:history="1">
        <w:r w:rsidR="00330822" w:rsidRPr="00DD41CE">
          <w:rPr>
            <w:rStyle w:val="Hyperlink"/>
          </w:rPr>
          <w:t>Table 26: Newcastle-Ottawa Scale scores assessing the quality of included studies</w:t>
        </w:r>
        <w:r w:rsidR="00330822">
          <w:rPr>
            <w:webHidden/>
          </w:rPr>
          <w:tab/>
        </w:r>
        <w:r w:rsidR="00330822">
          <w:rPr>
            <w:webHidden/>
          </w:rPr>
          <w:fldChar w:fldCharType="begin"/>
        </w:r>
        <w:r w:rsidR="00330822">
          <w:rPr>
            <w:webHidden/>
          </w:rPr>
          <w:instrText xml:space="preserve"> PAGEREF _Toc129954663 \h </w:instrText>
        </w:r>
        <w:r w:rsidR="00330822">
          <w:rPr>
            <w:webHidden/>
          </w:rPr>
        </w:r>
        <w:r w:rsidR="00330822">
          <w:rPr>
            <w:webHidden/>
          </w:rPr>
          <w:fldChar w:fldCharType="separate"/>
        </w:r>
        <w:r w:rsidR="00330822">
          <w:rPr>
            <w:webHidden/>
          </w:rPr>
          <w:t>125</w:t>
        </w:r>
        <w:r w:rsidR="00330822">
          <w:rPr>
            <w:webHidden/>
          </w:rPr>
          <w:fldChar w:fldCharType="end"/>
        </w:r>
      </w:hyperlink>
    </w:p>
    <w:p w14:paraId="41358C28" w14:textId="351B3C8B" w:rsidR="00FF27A1" w:rsidRPr="005F62F4" w:rsidRDefault="00FF27A1" w:rsidP="00FF27A1">
      <w:r w:rsidRPr="005F62F4">
        <w:fldChar w:fldCharType="end"/>
      </w:r>
    </w:p>
    <w:p w14:paraId="79D8EE10" w14:textId="77777777" w:rsidR="009219DA" w:rsidRPr="005F62F4" w:rsidRDefault="009219DA" w:rsidP="009219DA">
      <w:r w:rsidRPr="005F62F4">
        <w:br w:type="page"/>
      </w:r>
    </w:p>
    <w:p w14:paraId="60D5C350" w14:textId="77777777" w:rsidR="00893A76" w:rsidRPr="005F62F4" w:rsidRDefault="00893A76" w:rsidP="00893A76">
      <w:bookmarkStart w:id="17" w:name="_Toc120178281"/>
    </w:p>
    <w:p w14:paraId="2309B295" w14:textId="47E96BB4" w:rsidR="00FF27A1" w:rsidRPr="005F62F4" w:rsidRDefault="00FF27A1" w:rsidP="002968D5">
      <w:pPr>
        <w:pStyle w:val="TOCHeading2"/>
      </w:pPr>
      <w:r w:rsidRPr="005F62F4">
        <w:t>Figures</w:t>
      </w:r>
      <w:bookmarkEnd w:id="17"/>
    </w:p>
    <w:p w14:paraId="477CC391" w14:textId="0766F4DE" w:rsidR="00330822" w:rsidRDefault="00D03B6C">
      <w:pPr>
        <w:pStyle w:val="TableofFigures"/>
        <w:rPr>
          <w:rFonts w:eastAsiaTheme="minorEastAsia"/>
          <w:szCs w:val="22"/>
        </w:rPr>
      </w:pPr>
      <w:r w:rsidRPr="005F62F4">
        <w:rPr>
          <w:noProof w:val="0"/>
        </w:rPr>
        <w:fldChar w:fldCharType="begin"/>
      </w:r>
      <w:r w:rsidRPr="005F62F4">
        <w:rPr>
          <w:noProof w:val="0"/>
        </w:rPr>
        <w:instrText xml:space="preserve"> TOC \h \z \c "Figure" </w:instrText>
      </w:r>
      <w:r w:rsidRPr="005F62F4">
        <w:rPr>
          <w:noProof w:val="0"/>
        </w:rPr>
        <w:fldChar w:fldCharType="separate"/>
      </w:r>
      <w:hyperlink w:anchor="_Toc129954626" w:history="1">
        <w:r w:rsidR="00330822" w:rsidRPr="001A75FA">
          <w:rPr>
            <w:rStyle w:val="Hyperlink"/>
          </w:rPr>
          <w:t>Figure 1: Process for guided implant surgery (incorporating virtual surgical planning)</w:t>
        </w:r>
        <w:r w:rsidR="00330822">
          <w:rPr>
            <w:webHidden/>
          </w:rPr>
          <w:tab/>
        </w:r>
        <w:r w:rsidR="00330822">
          <w:rPr>
            <w:webHidden/>
          </w:rPr>
          <w:fldChar w:fldCharType="begin"/>
        </w:r>
        <w:r w:rsidR="00330822">
          <w:rPr>
            <w:webHidden/>
          </w:rPr>
          <w:instrText xml:space="preserve"> PAGEREF _Toc129954626 \h </w:instrText>
        </w:r>
        <w:r w:rsidR="00330822">
          <w:rPr>
            <w:webHidden/>
          </w:rPr>
        </w:r>
        <w:r w:rsidR="00330822">
          <w:rPr>
            <w:webHidden/>
          </w:rPr>
          <w:fldChar w:fldCharType="separate"/>
        </w:r>
        <w:r w:rsidR="00330822">
          <w:rPr>
            <w:webHidden/>
          </w:rPr>
          <w:t>21</w:t>
        </w:r>
        <w:r w:rsidR="00330822">
          <w:rPr>
            <w:webHidden/>
          </w:rPr>
          <w:fldChar w:fldCharType="end"/>
        </w:r>
      </w:hyperlink>
    </w:p>
    <w:p w14:paraId="18676094" w14:textId="630B0775" w:rsidR="00330822" w:rsidRDefault="0019516A">
      <w:pPr>
        <w:pStyle w:val="TableofFigures"/>
        <w:rPr>
          <w:rFonts w:eastAsiaTheme="minorEastAsia"/>
          <w:szCs w:val="22"/>
        </w:rPr>
      </w:pPr>
      <w:hyperlink w:anchor="_Toc129954627" w:history="1">
        <w:r w:rsidR="00330822" w:rsidRPr="001A75FA">
          <w:rPr>
            <w:rStyle w:val="Hyperlink"/>
          </w:rPr>
          <w:t>Figure 2: Total number of surgical guides and biomodels used, by financial year</w:t>
        </w:r>
        <w:r w:rsidR="00330822">
          <w:rPr>
            <w:webHidden/>
          </w:rPr>
          <w:tab/>
        </w:r>
        <w:r w:rsidR="00330822">
          <w:rPr>
            <w:webHidden/>
          </w:rPr>
          <w:fldChar w:fldCharType="begin"/>
        </w:r>
        <w:r w:rsidR="00330822">
          <w:rPr>
            <w:webHidden/>
          </w:rPr>
          <w:instrText xml:space="preserve"> PAGEREF _Toc129954627 \h </w:instrText>
        </w:r>
        <w:r w:rsidR="00330822">
          <w:rPr>
            <w:webHidden/>
          </w:rPr>
        </w:r>
        <w:r w:rsidR="00330822">
          <w:rPr>
            <w:webHidden/>
          </w:rPr>
          <w:fldChar w:fldCharType="separate"/>
        </w:r>
        <w:r w:rsidR="00330822">
          <w:rPr>
            <w:webHidden/>
          </w:rPr>
          <w:t>57</w:t>
        </w:r>
        <w:r w:rsidR="00330822">
          <w:rPr>
            <w:webHidden/>
          </w:rPr>
          <w:fldChar w:fldCharType="end"/>
        </w:r>
      </w:hyperlink>
    </w:p>
    <w:p w14:paraId="50F0CB81" w14:textId="46D48EF5" w:rsidR="00330822" w:rsidRDefault="0019516A">
      <w:pPr>
        <w:pStyle w:val="TableofFigures"/>
        <w:rPr>
          <w:rFonts w:eastAsiaTheme="minorEastAsia"/>
          <w:szCs w:val="22"/>
        </w:rPr>
      </w:pPr>
      <w:hyperlink w:anchor="_Toc129954628" w:history="1">
        <w:r w:rsidR="00330822" w:rsidRPr="001A75FA">
          <w:rPr>
            <w:rStyle w:val="Hyperlink"/>
          </w:rPr>
          <w:t>Figure 3: Benefits paid for surgical guides and biomodels, by financial year</w:t>
        </w:r>
        <w:r w:rsidR="00330822">
          <w:rPr>
            <w:webHidden/>
          </w:rPr>
          <w:tab/>
        </w:r>
        <w:r w:rsidR="00330822">
          <w:rPr>
            <w:webHidden/>
          </w:rPr>
          <w:fldChar w:fldCharType="begin"/>
        </w:r>
        <w:r w:rsidR="00330822">
          <w:rPr>
            <w:webHidden/>
          </w:rPr>
          <w:instrText xml:space="preserve"> PAGEREF _Toc129954628 \h </w:instrText>
        </w:r>
        <w:r w:rsidR="00330822">
          <w:rPr>
            <w:webHidden/>
          </w:rPr>
        </w:r>
        <w:r w:rsidR="00330822">
          <w:rPr>
            <w:webHidden/>
          </w:rPr>
          <w:fldChar w:fldCharType="separate"/>
        </w:r>
        <w:r w:rsidR="00330822">
          <w:rPr>
            <w:webHidden/>
          </w:rPr>
          <w:t>66</w:t>
        </w:r>
        <w:r w:rsidR="00330822">
          <w:rPr>
            <w:webHidden/>
          </w:rPr>
          <w:fldChar w:fldCharType="end"/>
        </w:r>
      </w:hyperlink>
    </w:p>
    <w:p w14:paraId="40BC077A" w14:textId="46CEF2FD" w:rsidR="00330822" w:rsidRDefault="0019516A">
      <w:pPr>
        <w:pStyle w:val="TableofFigures"/>
        <w:rPr>
          <w:rFonts w:eastAsiaTheme="minorEastAsia"/>
          <w:szCs w:val="22"/>
        </w:rPr>
      </w:pPr>
      <w:hyperlink w:anchor="_Toc129954629" w:history="1">
        <w:r w:rsidR="00330822" w:rsidRPr="001A75FA">
          <w:rPr>
            <w:rStyle w:val="Hyperlink"/>
          </w:rPr>
          <w:t>Figure 4: Selection process for studies for inclusion in the systematic review</w:t>
        </w:r>
        <w:r w:rsidR="00330822">
          <w:rPr>
            <w:webHidden/>
          </w:rPr>
          <w:tab/>
        </w:r>
        <w:r w:rsidR="00330822">
          <w:rPr>
            <w:webHidden/>
          </w:rPr>
          <w:fldChar w:fldCharType="begin"/>
        </w:r>
        <w:r w:rsidR="00330822">
          <w:rPr>
            <w:webHidden/>
          </w:rPr>
          <w:instrText xml:space="preserve"> PAGEREF _Toc129954629 \h </w:instrText>
        </w:r>
        <w:r w:rsidR="00330822">
          <w:rPr>
            <w:webHidden/>
          </w:rPr>
        </w:r>
        <w:r w:rsidR="00330822">
          <w:rPr>
            <w:webHidden/>
          </w:rPr>
          <w:fldChar w:fldCharType="separate"/>
        </w:r>
        <w:r w:rsidR="00330822">
          <w:rPr>
            <w:webHidden/>
          </w:rPr>
          <w:t>110</w:t>
        </w:r>
        <w:r w:rsidR="00330822">
          <w:rPr>
            <w:webHidden/>
          </w:rPr>
          <w:fldChar w:fldCharType="end"/>
        </w:r>
      </w:hyperlink>
    </w:p>
    <w:p w14:paraId="0877B794" w14:textId="5180FC26" w:rsidR="00330822" w:rsidRDefault="0019516A">
      <w:pPr>
        <w:pStyle w:val="TableofFigures"/>
        <w:rPr>
          <w:rFonts w:eastAsiaTheme="minorEastAsia"/>
          <w:szCs w:val="22"/>
        </w:rPr>
      </w:pPr>
      <w:hyperlink w:anchor="_Toc129954630" w:history="1">
        <w:r w:rsidR="00330822" w:rsidRPr="001A75FA">
          <w:rPr>
            <w:rStyle w:val="Hyperlink"/>
          </w:rPr>
          <w:t>Figure 5: Anatomics biomodel benefits paid, by financial year</w:t>
        </w:r>
        <w:r w:rsidR="00330822">
          <w:rPr>
            <w:webHidden/>
          </w:rPr>
          <w:tab/>
        </w:r>
        <w:r w:rsidR="00330822">
          <w:rPr>
            <w:webHidden/>
          </w:rPr>
          <w:fldChar w:fldCharType="begin"/>
        </w:r>
        <w:r w:rsidR="00330822">
          <w:rPr>
            <w:webHidden/>
          </w:rPr>
          <w:instrText xml:space="preserve"> PAGEREF _Toc129954630 \h </w:instrText>
        </w:r>
        <w:r w:rsidR="00330822">
          <w:rPr>
            <w:webHidden/>
          </w:rPr>
        </w:r>
        <w:r w:rsidR="00330822">
          <w:rPr>
            <w:webHidden/>
          </w:rPr>
          <w:fldChar w:fldCharType="separate"/>
        </w:r>
        <w:r w:rsidR="00330822">
          <w:rPr>
            <w:webHidden/>
          </w:rPr>
          <w:t>140</w:t>
        </w:r>
        <w:r w:rsidR="00330822">
          <w:rPr>
            <w:webHidden/>
          </w:rPr>
          <w:fldChar w:fldCharType="end"/>
        </w:r>
      </w:hyperlink>
    </w:p>
    <w:p w14:paraId="73CA5D96" w14:textId="2DFF1CEF" w:rsidR="00330822" w:rsidRDefault="0019516A">
      <w:pPr>
        <w:pStyle w:val="TableofFigures"/>
        <w:rPr>
          <w:rFonts w:eastAsiaTheme="minorEastAsia"/>
          <w:szCs w:val="22"/>
        </w:rPr>
      </w:pPr>
      <w:hyperlink w:anchor="_Toc129954631" w:history="1">
        <w:r w:rsidR="00330822" w:rsidRPr="001A75FA">
          <w:rPr>
            <w:rStyle w:val="Hyperlink"/>
          </w:rPr>
          <w:t>Figure 6: Johnson &amp; Johnson benefits paid, by financial year</w:t>
        </w:r>
        <w:r w:rsidR="00330822">
          <w:rPr>
            <w:webHidden/>
          </w:rPr>
          <w:tab/>
        </w:r>
        <w:r w:rsidR="00330822">
          <w:rPr>
            <w:webHidden/>
          </w:rPr>
          <w:fldChar w:fldCharType="begin"/>
        </w:r>
        <w:r w:rsidR="00330822">
          <w:rPr>
            <w:webHidden/>
          </w:rPr>
          <w:instrText xml:space="preserve"> PAGEREF _Toc129954631 \h </w:instrText>
        </w:r>
        <w:r w:rsidR="00330822">
          <w:rPr>
            <w:webHidden/>
          </w:rPr>
        </w:r>
        <w:r w:rsidR="00330822">
          <w:rPr>
            <w:webHidden/>
          </w:rPr>
          <w:fldChar w:fldCharType="separate"/>
        </w:r>
        <w:r w:rsidR="00330822">
          <w:rPr>
            <w:webHidden/>
          </w:rPr>
          <w:t>142</w:t>
        </w:r>
        <w:r w:rsidR="00330822">
          <w:rPr>
            <w:webHidden/>
          </w:rPr>
          <w:fldChar w:fldCharType="end"/>
        </w:r>
      </w:hyperlink>
    </w:p>
    <w:p w14:paraId="357545DE" w14:textId="37C33FAE" w:rsidR="00330822" w:rsidRDefault="0019516A">
      <w:pPr>
        <w:pStyle w:val="TableofFigures"/>
        <w:rPr>
          <w:rFonts w:eastAsiaTheme="minorEastAsia"/>
          <w:szCs w:val="22"/>
        </w:rPr>
      </w:pPr>
      <w:hyperlink w:anchor="_Toc129954632" w:history="1">
        <w:r w:rsidR="00330822" w:rsidRPr="001A75FA">
          <w:rPr>
            <w:rStyle w:val="Hyperlink"/>
          </w:rPr>
          <w:t>Figure 7: Stryker biomodel benefits paid, by financial year</w:t>
        </w:r>
        <w:r w:rsidR="00330822">
          <w:rPr>
            <w:webHidden/>
          </w:rPr>
          <w:tab/>
        </w:r>
        <w:r w:rsidR="00330822">
          <w:rPr>
            <w:webHidden/>
          </w:rPr>
          <w:fldChar w:fldCharType="begin"/>
        </w:r>
        <w:r w:rsidR="00330822">
          <w:rPr>
            <w:webHidden/>
          </w:rPr>
          <w:instrText xml:space="preserve"> PAGEREF _Toc129954632 \h </w:instrText>
        </w:r>
        <w:r w:rsidR="00330822">
          <w:rPr>
            <w:webHidden/>
          </w:rPr>
        </w:r>
        <w:r w:rsidR="00330822">
          <w:rPr>
            <w:webHidden/>
          </w:rPr>
          <w:fldChar w:fldCharType="separate"/>
        </w:r>
        <w:r w:rsidR="00330822">
          <w:rPr>
            <w:webHidden/>
          </w:rPr>
          <w:t>145</w:t>
        </w:r>
        <w:r w:rsidR="00330822">
          <w:rPr>
            <w:webHidden/>
          </w:rPr>
          <w:fldChar w:fldCharType="end"/>
        </w:r>
      </w:hyperlink>
    </w:p>
    <w:p w14:paraId="6F063195" w14:textId="59F5BDC0" w:rsidR="00330822" w:rsidRDefault="0019516A">
      <w:pPr>
        <w:pStyle w:val="TableofFigures"/>
        <w:rPr>
          <w:rFonts w:eastAsiaTheme="minorEastAsia"/>
          <w:szCs w:val="22"/>
        </w:rPr>
      </w:pPr>
      <w:hyperlink w:anchor="_Toc129954633" w:history="1">
        <w:r w:rsidR="00330822" w:rsidRPr="001A75FA">
          <w:rPr>
            <w:rStyle w:val="Hyperlink"/>
          </w:rPr>
          <w:t>Figure 8: KLS Martin benefits paid, by financial year</w:t>
        </w:r>
        <w:r w:rsidR="00330822">
          <w:rPr>
            <w:webHidden/>
          </w:rPr>
          <w:tab/>
        </w:r>
        <w:r w:rsidR="00330822">
          <w:rPr>
            <w:webHidden/>
          </w:rPr>
          <w:fldChar w:fldCharType="begin"/>
        </w:r>
        <w:r w:rsidR="00330822">
          <w:rPr>
            <w:webHidden/>
          </w:rPr>
          <w:instrText xml:space="preserve"> PAGEREF _Toc129954633 \h </w:instrText>
        </w:r>
        <w:r w:rsidR="00330822">
          <w:rPr>
            <w:webHidden/>
          </w:rPr>
        </w:r>
        <w:r w:rsidR="00330822">
          <w:rPr>
            <w:webHidden/>
          </w:rPr>
          <w:fldChar w:fldCharType="separate"/>
        </w:r>
        <w:r w:rsidR="00330822">
          <w:rPr>
            <w:webHidden/>
          </w:rPr>
          <w:t>147</w:t>
        </w:r>
        <w:r w:rsidR="00330822">
          <w:rPr>
            <w:webHidden/>
          </w:rPr>
          <w:fldChar w:fldCharType="end"/>
        </w:r>
      </w:hyperlink>
    </w:p>
    <w:p w14:paraId="5BA91C76" w14:textId="2BC4E5C3" w:rsidR="00330822" w:rsidRDefault="0019516A">
      <w:pPr>
        <w:pStyle w:val="TableofFigures"/>
        <w:rPr>
          <w:rFonts w:eastAsiaTheme="minorEastAsia"/>
          <w:szCs w:val="22"/>
        </w:rPr>
      </w:pPr>
      <w:hyperlink w:anchor="_Toc129954634" w:history="1">
        <w:r w:rsidR="00330822" w:rsidRPr="001A75FA">
          <w:rPr>
            <w:rStyle w:val="Hyperlink"/>
          </w:rPr>
          <w:t>Figure 9: More Group surgical guide benefits paid, by financial year</w:t>
        </w:r>
        <w:r w:rsidR="00330822">
          <w:rPr>
            <w:webHidden/>
          </w:rPr>
          <w:tab/>
        </w:r>
        <w:r w:rsidR="00330822">
          <w:rPr>
            <w:webHidden/>
          </w:rPr>
          <w:fldChar w:fldCharType="begin"/>
        </w:r>
        <w:r w:rsidR="00330822">
          <w:rPr>
            <w:webHidden/>
          </w:rPr>
          <w:instrText xml:space="preserve"> PAGEREF _Toc129954634 \h </w:instrText>
        </w:r>
        <w:r w:rsidR="00330822">
          <w:rPr>
            <w:webHidden/>
          </w:rPr>
        </w:r>
        <w:r w:rsidR="00330822">
          <w:rPr>
            <w:webHidden/>
          </w:rPr>
          <w:fldChar w:fldCharType="separate"/>
        </w:r>
        <w:r w:rsidR="00330822">
          <w:rPr>
            <w:webHidden/>
          </w:rPr>
          <w:t>149</w:t>
        </w:r>
        <w:r w:rsidR="00330822">
          <w:rPr>
            <w:webHidden/>
          </w:rPr>
          <w:fldChar w:fldCharType="end"/>
        </w:r>
      </w:hyperlink>
    </w:p>
    <w:p w14:paraId="01B5B41C" w14:textId="3BE245FE" w:rsidR="00330822" w:rsidRDefault="0019516A">
      <w:pPr>
        <w:pStyle w:val="TableofFigures"/>
        <w:rPr>
          <w:rFonts w:eastAsiaTheme="minorEastAsia"/>
          <w:szCs w:val="22"/>
        </w:rPr>
      </w:pPr>
      <w:hyperlink w:anchor="_Toc129954635" w:history="1">
        <w:r w:rsidR="00330822" w:rsidRPr="001A75FA">
          <w:rPr>
            <w:rStyle w:val="Hyperlink"/>
          </w:rPr>
          <w:t>Figure 10: Maxoniq benefits paid, by financial year</w:t>
        </w:r>
        <w:r w:rsidR="00330822">
          <w:rPr>
            <w:webHidden/>
          </w:rPr>
          <w:tab/>
        </w:r>
        <w:r w:rsidR="00330822">
          <w:rPr>
            <w:webHidden/>
          </w:rPr>
          <w:fldChar w:fldCharType="begin"/>
        </w:r>
        <w:r w:rsidR="00330822">
          <w:rPr>
            <w:webHidden/>
          </w:rPr>
          <w:instrText xml:space="preserve"> PAGEREF _Toc129954635 \h </w:instrText>
        </w:r>
        <w:r w:rsidR="00330822">
          <w:rPr>
            <w:webHidden/>
          </w:rPr>
        </w:r>
        <w:r w:rsidR="00330822">
          <w:rPr>
            <w:webHidden/>
          </w:rPr>
          <w:fldChar w:fldCharType="separate"/>
        </w:r>
        <w:r w:rsidR="00330822">
          <w:rPr>
            <w:webHidden/>
          </w:rPr>
          <w:t>151</w:t>
        </w:r>
        <w:r w:rsidR="00330822">
          <w:rPr>
            <w:webHidden/>
          </w:rPr>
          <w:fldChar w:fldCharType="end"/>
        </w:r>
      </w:hyperlink>
    </w:p>
    <w:p w14:paraId="32CB5676" w14:textId="0191C02F" w:rsidR="00330822" w:rsidRDefault="0019516A">
      <w:pPr>
        <w:pStyle w:val="TableofFigures"/>
        <w:rPr>
          <w:rFonts w:eastAsiaTheme="minorEastAsia"/>
          <w:szCs w:val="22"/>
        </w:rPr>
      </w:pPr>
      <w:hyperlink w:anchor="_Toc129954636" w:history="1">
        <w:r w:rsidR="00330822" w:rsidRPr="001A75FA">
          <w:rPr>
            <w:rStyle w:val="Hyperlink"/>
          </w:rPr>
          <w:t>Figure 11: SPECIFICA benefits paid, by financial year</w:t>
        </w:r>
        <w:r w:rsidR="00330822">
          <w:rPr>
            <w:webHidden/>
          </w:rPr>
          <w:tab/>
        </w:r>
        <w:r w:rsidR="00330822">
          <w:rPr>
            <w:webHidden/>
          </w:rPr>
          <w:fldChar w:fldCharType="begin"/>
        </w:r>
        <w:r w:rsidR="00330822">
          <w:rPr>
            <w:webHidden/>
          </w:rPr>
          <w:instrText xml:space="preserve"> PAGEREF _Toc129954636 \h </w:instrText>
        </w:r>
        <w:r w:rsidR="00330822">
          <w:rPr>
            <w:webHidden/>
          </w:rPr>
        </w:r>
        <w:r w:rsidR="00330822">
          <w:rPr>
            <w:webHidden/>
          </w:rPr>
          <w:fldChar w:fldCharType="separate"/>
        </w:r>
        <w:r w:rsidR="00330822">
          <w:rPr>
            <w:webHidden/>
          </w:rPr>
          <w:t>153</w:t>
        </w:r>
        <w:r w:rsidR="00330822">
          <w:rPr>
            <w:webHidden/>
          </w:rPr>
          <w:fldChar w:fldCharType="end"/>
        </w:r>
      </w:hyperlink>
    </w:p>
    <w:p w14:paraId="3DC0C0DD" w14:textId="4D654BAA" w:rsidR="00330822" w:rsidRDefault="0019516A">
      <w:pPr>
        <w:pStyle w:val="TableofFigures"/>
        <w:rPr>
          <w:rFonts w:eastAsiaTheme="minorEastAsia"/>
          <w:szCs w:val="22"/>
        </w:rPr>
      </w:pPr>
      <w:hyperlink w:anchor="_Toc129954637" w:history="1">
        <w:r w:rsidR="00330822" w:rsidRPr="001A75FA">
          <w:rPr>
            <w:rStyle w:val="Hyperlink"/>
          </w:rPr>
          <w:t>Figure 12: AA-Med benefits paid, by financial year</w:t>
        </w:r>
        <w:r w:rsidR="00330822">
          <w:rPr>
            <w:webHidden/>
          </w:rPr>
          <w:tab/>
        </w:r>
        <w:r w:rsidR="00330822">
          <w:rPr>
            <w:webHidden/>
          </w:rPr>
          <w:fldChar w:fldCharType="begin"/>
        </w:r>
        <w:r w:rsidR="00330822">
          <w:rPr>
            <w:webHidden/>
          </w:rPr>
          <w:instrText xml:space="preserve"> PAGEREF _Toc129954637 \h </w:instrText>
        </w:r>
        <w:r w:rsidR="00330822">
          <w:rPr>
            <w:webHidden/>
          </w:rPr>
        </w:r>
        <w:r w:rsidR="00330822">
          <w:rPr>
            <w:webHidden/>
          </w:rPr>
          <w:fldChar w:fldCharType="separate"/>
        </w:r>
        <w:r w:rsidR="00330822">
          <w:rPr>
            <w:webHidden/>
          </w:rPr>
          <w:t>154</w:t>
        </w:r>
        <w:r w:rsidR="00330822">
          <w:rPr>
            <w:webHidden/>
          </w:rPr>
          <w:fldChar w:fldCharType="end"/>
        </w:r>
      </w:hyperlink>
    </w:p>
    <w:p w14:paraId="0514756F" w14:textId="26B3C085" w:rsidR="00573013" w:rsidRPr="005F62F4" w:rsidRDefault="00D03B6C" w:rsidP="00381BE7">
      <w:r w:rsidRPr="005F62F4">
        <w:fldChar w:fldCharType="end"/>
      </w:r>
    </w:p>
    <w:p w14:paraId="1A6E2569" w14:textId="1DB0074A" w:rsidR="00270242" w:rsidRPr="005F62F4" w:rsidRDefault="00270242" w:rsidP="00381BE7">
      <w:pPr>
        <w:sectPr w:rsidR="00270242" w:rsidRPr="005F62F4" w:rsidSect="005C720A">
          <w:headerReference w:type="default" r:id="rId13"/>
          <w:footerReference w:type="default" r:id="rId14"/>
          <w:footerReference w:type="first" r:id="rId15"/>
          <w:pgSz w:w="11906" w:h="16838" w:code="9"/>
          <w:pgMar w:top="851" w:right="1134" w:bottom="1021" w:left="1440" w:header="567" w:footer="709" w:gutter="0"/>
          <w:pgNumType w:fmt="lowerRoman" w:start="1"/>
          <w:cols w:space="708"/>
          <w:titlePg/>
          <w:docGrid w:linePitch="360"/>
        </w:sectPr>
      </w:pPr>
    </w:p>
    <w:p w14:paraId="5F16B725" w14:textId="77777777" w:rsidR="00D73E11" w:rsidRPr="005F62F4" w:rsidRDefault="00D73E11" w:rsidP="00904219">
      <w:pPr>
        <w:pStyle w:val="TOCHeading"/>
      </w:pPr>
      <w:bookmarkStart w:id="18" w:name="_Toc481076737"/>
      <w:bookmarkStart w:id="19" w:name="_Toc120178282"/>
      <w:r w:rsidRPr="005F62F4">
        <w:lastRenderedPageBreak/>
        <w:t>Abbreviations</w:t>
      </w:r>
      <w:bookmarkEnd w:id="18"/>
      <w:bookmarkEnd w:id="19"/>
    </w:p>
    <w:tbl>
      <w:tblPr>
        <w:tblStyle w:val="SGB"/>
        <w:tblW w:w="9072" w:type="dxa"/>
        <w:tblLook w:val="04A0" w:firstRow="1" w:lastRow="0" w:firstColumn="1" w:lastColumn="0" w:noHBand="0" w:noVBand="1"/>
      </w:tblPr>
      <w:tblGrid>
        <w:gridCol w:w="1689"/>
        <w:gridCol w:w="7383"/>
      </w:tblGrid>
      <w:tr w:rsidR="005C51C7" w:rsidRPr="005F62F4" w14:paraId="3368554F" w14:textId="77777777" w:rsidTr="00FE715A">
        <w:trPr>
          <w:cnfStyle w:val="100000000000" w:firstRow="1" w:lastRow="0" w:firstColumn="0" w:lastColumn="0" w:oddVBand="0" w:evenVBand="0" w:oddHBand="0" w:evenHBand="0" w:firstRowFirstColumn="0" w:firstRowLastColumn="0" w:lastRowFirstColumn="0" w:lastRowLastColumn="0"/>
          <w:trHeight w:val="411"/>
        </w:trPr>
        <w:tc>
          <w:tcPr>
            <w:cnfStyle w:val="001000000000" w:firstRow="0" w:lastRow="0" w:firstColumn="1" w:lastColumn="0" w:oddVBand="0" w:evenVBand="0" w:oddHBand="0" w:evenHBand="0" w:firstRowFirstColumn="0" w:firstRowLastColumn="0" w:lastRowFirstColumn="0" w:lastRowLastColumn="0"/>
            <w:tcW w:w="1689" w:type="dxa"/>
          </w:tcPr>
          <w:p w14:paraId="32CA2DA3" w14:textId="77777777" w:rsidR="00270242" w:rsidRPr="005F62F4" w:rsidRDefault="00270242" w:rsidP="000A5D02">
            <w:pPr>
              <w:pStyle w:val="TableText"/>
              <w:rPr>
                <w:b w:val="0"/>
              </w:rPr>
            </w:pPr>
            <w:bookmarkStart w:id="20" w:name="ColumnTitle_1"/>
            <w:r w:rsidRPr="005F62F4">
              <w:t>Abbreviation</w:t>
            </w:r>
          </w:p>
        </w:tc>
        <w:tc>
          <w:tcPr>
            <w:tcW w:w="7383" w:type="dxa"/>
          </w:tcPr>
          <w:p w14:paraId="11458768" w14:textId="3C628F64" w:rsidR="00270242" w:rsidRPr="005F62F4" w:rsidRDefault="002968D5" w:rsidP="000A5D02">
            <w:pPr>
              <w:pStyle w:val="TableText"/>
              <w:cnfStyle w:val="100000000000" w:firstRow="1" w:lastRow="0" w:firstColumn="0" w:lastColumn="0" w:oddVBand="0" w:evenVBand="0" w:oddHBand="0" w:evenHBand="0" w:firstRowFirstColumn="0" w:firstRowLastColumn="0" w:lastRowFirstColumn="0" w:lastRowLastColumn="0"/>
              <w:rPr>
                <w:b w:val="0"/>
              </w:rPr>
            </w:pPr>
            <w:r w:rsidRPr="005F62F4">
              <w:t>Definition</w:t>
            </w:r>
            <w:r w:rsidR="00270242" w:rsidRPr="005F62F4">
              <w:t xml:space="preserve"> </w:t>
            </w:r>
          </w:p>
        </w:tc>
      </w:tr>
      <w:bookmarkEnd w:id="20"/>
      <w:tr w:rsidR="00270242" w:rsidRPr="005F62F4" w14:paraId="0EE564DB" w14:textId="77777777" w:rsidTr="00FE715A">
        <w:trPr>
          <w:trHeight w:val="411"/>
        </w:trPr>
        <w:tc>
          <w:tcPr>
            <w:cnfStyle w:val="001000000000" w:firstRow="0" w:lastRow="0" w:firstColumn="1" w:lastColumn="0" w:oddVBand="0" w:evenVBand="0" w:oddHBand="0" w:evenHBand="0" w:firstRowFirstColumn="0" w:firstRowLastColumn="0" w:lastRowFirstColumn="0" w:lastRowLastColumn="0"/>
            <w:tcW w:w="1689" w:type="dxa"/>
          </w:tcPr>
          <w:p w14:paraId="48736DBF" w14:textId="5F94FD86" w:rsidR="00270242" w:rsidRPr="005F62F4" w:rsidRDefault="00270242" w:rsidP="000A5D02">
            <w:pPr>
              <w:pStyle w:val="TableText"/>
            </w:pPr>
            <w:r w:rsidRPr="005F62F4">
              <w:t>AGR</w:t>
            </w:r>
          </w:p>
        </w:tc>
        <w:tc>
          <w:tcPr>
            <w:tcW w:w="7383" w:type="dxa"/>
          </w:tcPr>
          <w:p w14:paraId="0F4616CD" w14:textId="7B520B58" w:rsidR="00270242" w:rsidRPr="005F62F4" w:rsidRDefault="0011394C" w:rsidP="000A5D02">
            <w:pPr>
              <w:pStyle w:val="TableText"/>
              <w:cnfStyle w:val="000000000000" w:firstRow="0" w:lastRow="0" w:firstColumn="0" w:lastColumn="0" w:oddVBand="0" w:evenVBand="0" w:oddHBand="0" w:evenHBand="0" w:firstRowFirstColumn="0" w:firstRowLastColumn="0" w:lastRowFirstColumn="0" w:lastRowLastColumn="0"/>
            </w:pPr>
            <w:r w:rsidRPr="005F62F4">
              <w:t>a</w:t>
            </w:r>
            <w:r w:rsidR="00270242" w:rsidRPr="005F62F4">
              <w:t>nnual growth rate</w:t>
            </w:r>
          </w:p>
        </w:tc>
      </w:tr>
      <w:tr w:rsidR="00270242" w:rsidRPr="005F62F4" w14:paraId="3271D78F" w14:textId="77777777" w:rsidTr="00FE715A">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689" w:type="dxa"/>
          </w:tcPr>
          <w:p w14:paraId="115AE9BF" w14:textId="77777777" w:rsidR="00270242" w:rsidRPr="005F62F4" w:rsidRDefault="00270242">
            <w:pPr>
              <w:pStyle w:val="TableText"/>
              <w:rPr>
                <w:rFonts w:cstheme="minorHAnsi"/>
                <w:szCs w:val="22"/>
              </w:rPr>
            </w:pPr>
            <w:r w:rsidRPr="005F62F4">
              <w:rPr>
                <w:rFonts w:cstheme="minorHAnsi"/>
                <w:szCs w:val="22"/>
              </w:rPr>
              <w:t>AHA</w:t>
            </w:r>
          </w:p>
        </w:tc>
        <w:tc>
          <w:tcPr>
            <w:tcW w:w="7383" w:type="dxa"/>
          </w:tcPr>
          <w:p w14:paraId="67C60319" w14:textId="77777777" w:rsidR="00270242" w:rsidRPr="005F62F4" w:rsidRDefault="00270242">
            <w:pPr>
              <w:pStyle w:val="TableText"/>
              <w:cnfStyle w:val="000000010000" w:firstRow="0" w:lastRow="0" w:firstColumn="0" w:lastColumn="0" w:oddVBand="0" w:evenVBand="0" w:oddHBand="0" w:evenHBand="1" w:firstRowFirstColumn="0" w:firstRowLastColumn="0" w:lastRowFirstColumn="0" w:lastRowLastColumn="0"/>
              <w:rPr>
                <w:rFonts w:cstheme="minorHAnsi"/>
                <w:szCs w:val="22"/>
              </w:rPr>
            </w:pPr>
            <w:r w:rsidRPr="005F62F4">
              <w:rPr>
                <w:rFonts w:cstheme="minorHAnsi"/>
                <w:szCs w:val="22"/>
              </w:rPr>
              <w:t>Australian Healthcare Associates</w:t>
            </w:r>
          </w:p>
        </w:tc>
      </w:tr>
      <w:tr w:rsidR="00270242" w:rsidRPr="005F62F4" w14:paraId="040BC67A" w14:textId="77777777" w:rsidTr="00FE715A">
        <w:trPr>
          <w:trHeight w:val="170"/>
        </w:trPr>
        <w:tc>
          <w:tcPr>
            <w:cnfStyle w:val="001000000000" w:firstRow="0" w:lastRow="0" w:firstColumn="1" w:lastColumn="0" w:oddVBand="0" w:evenVBand="0" w:oddHBand="0" w:evenHBand="0" w:firstRowFirstColumn="0" w:firstRowLastColumn="0" w:lastRowFirstColumn="0" w:lastRowLastColumn="0"/>
            <w:tcW w:w="1689" w:type="dxa"/>
          </w:tcPr>
          <w:p w14:paraId="54675DFE" w14:textId="77777777" w:rsidR="00270242" w:rsidRPr="005F62F4" w:rsidRDefault="00270242">
            <w:pPr>
              <w:pStyle w:val="TableText"/>
              <w:rPr>
                <w:rFonts w:cstheme="minorHAnsi"/>
                <w:szCs w:val="22"/>
              </w:rPr>
            </w:pPr>
            <w:r w:rsidRPr="005F62F4">
              <w:rPr>
                <w:rFonts w:cstheme="minorHAnsi"/>
                <w:szCs w:val="22"/>
              </w:rPr>
              <w:t>ANZAOMS</w:t>
            </w:r>
          </w:p>
        </w:tc>
        <w:tc>
          <w:tcPr>
            <w:tcW w:w="7383" w:type="dxa"/>
          </w:tcPr>
          <w:p w14:paraId="1C8DB956" w14:textId="77777777" w:rsidR="00270242" w:rsidRPr="005F62F4" w:rsidRDefault="00270242">
            <w:pPr>
              <w:pStyle w:val="TableText"/>
              <w:cnfStyle w:val="000000000000" w:firstRow="0" w:lastRow="0" w:firstColumn="0" w:lastColumn="0" w:oddVBand="0" w:evenVBand="0" w:oddHBand="0" w:evenHBand="0" w:firstRowFirstColumn="0" w:firstRowLastColumn="0" w:lastRowFirstColumn="0" w:lastRowLastColumn="0"/>
              <w:rPr>
                <w:rFonts w:cstheme="minorHAnsi"/>
                <w:szCs w:val="22"/>
              </w:rPr>
            </w:pPr>
            <w:r w:rsidRPr="005F62F4">
              <w:rPr>
                <w:rFonts w:cstheme="minorHAnsi"/>
                <w:szCs w:val="22"/>
              </w:rPr>
              <w:t>Australian and New Zealand Association of Oral and Maxillofacial Surgeons</w:t>
            </w:r>
          </w:p>
        </w:tc>
      </w:tr>
      <w:tr w:rsidR="00270242" w:rsidRPr="005F62F4" w14:paraId="435A0800" w14:textId="77777777" w:rsidTr="00FE715A">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689" w:type="dxa"/>
          </w:tcPr>
          <w:p w14:paraId="52C9EC91" w14:textId="77777777" w:rsidR="00270242" w:rsidRPr="005F62F4" w:rsidRDefault="00270242">
            <w:pPr>
              <w:pStyle w:val="TableText"/>
              <w:rPr>
                <w:rFonts w:cstheme="minorHAnsi"/>
                <w:szCs w:val="22"/>
              </w:rPr>
            </w:pPr>
            <w:r w:rsidRPr="005F62F4">
              <w:rPr>
                <w:rFonts w:cstheme="minorHAnsi"/>
                <w:szCs w:val="22"/>
              </w:rPr>
              <w:t>APRA</w:t>
            </w:r>
          </w:p>
        </w:tc>
        <w:tc>
          <w:tcPr>
            <w:tcW w:w="7383" w:type="dxa"/>
          </w:tcPr>
          <w:p w14:paraId="278563FF" w14:textId="77777777" w:rsidR="00270242" w:rsidRPr="005F62F4" w:rsidRDefault="00270242">
            <w:pPr>
              <w:pStyle w:val="TableText"/>
              <w:cnfStyle w:val="000000010000" w:firstRow="0" w:lastRow="0" w:firstColumn="0" w:lastColumn="0" w:oddVBand="0" w:evenVBand="0" w:oddHBand="0" w:evenHBand="1" w:firstRowFirstColumn="0" w:firstRowLastColumn="0" w:lastRowFirstColumn="0" w:lastRowLastColumn="0"/>
              <w:rPr>
                <w:rFonts w:cstheme="minorHAnsi"/>
                <w:szCs w:val="22"/>
              </w:rPr>
            </w:pPr>
            <w:r w:rsidRPr="005F62F4">
              <w:rPr>
                <w:rFonts w:cstheme="minorHAnsi"/>
                <w:szCs w:val="22"/>
              </w:rPr>
              <w:t>Australian Prudential Regulation Authority</w:t>
            </w:r>
          </w:p>
        </w:tc>
      </w:tr>
      <w:tr w:rsidR="00270242" w:rsidRPr="005F62F4" w14:paraId="756AE266" w14:textId="77777777" w:rsidTr="00FE715A">
        <w:trPr>
          <w:trHeight w:val="170"/>
        </w:trPr>
        <w:tc>
          <w:tcPr>
            <w:cnfStyle w:val="001000000000" w:firstRow="0" w:lastRow="0" w:firstColumn="1" w:lastColumn="0" w:oddVBand="0" w:evenVBand="0" w:oddHBand="0" w:evenHBand="0" w:firstRowFirstColumn="0" w:firstRowLastColumn="0" w:lastRowFirstColumn="0" w:lastRowLastColumn="0"/>
            <w:tcW w:w="1689" w:type="dxa"/>
          </w:tcPr>
          <w:p w14:paraId="6FF1C416" w14:textId="77777777" w:rsidR="00270242" w:rsidRPr="005F62F4" w:rsidRDefault="00270242" w:rsidP="000B163D">
            <w:pPr>
              <w:pStyle w:val="TableText"/>
            </w:pPr>
            <w:r w:rsidRPr="005F62F4">
              <w:t>CMF</w:t>
            </w:r>
          </w:p>
        </w:tc>
        <w:tc>
          <w:tcPr>
            <w:tcW w:w="7383" w:type="dxa"/>
          </w:tcPr>
          <w:p w14:paraId="28FC62E6" w14:textId="477B5D91" w:rsidR="00270242" w:rsidRPr="005F62F4" w:rsidRDefault="0011394C" w:rsidP="000B163D">
            <w:pPr>
              <w:pStyle w:val="TableText"/>
              <w:cnfStyle w:val="000000000000" w:firstRow="0" w:lastRow="0" w:firstColumn="0" w:lastColumn="0" w:oddVBand="0" w:evenVBand="0" w:oddHBand="0" w:evenHBand="0" w:firstRowFirstColumn="0" w:firstRowLastColumn="0" w:lastRowFirstColumn="0" w:lastRowLastColumn="0"/>
            </w:pPr>
            <w:r w:rsidRPr="005F62F4">
              <w:t>c</w:t>
            </w:r>
            <w:r w:rsidR="00270242" w:rsidRPr="005F62F4">
              <w:t>raniomaxillofacial</w:t>
            </w:r>
          </w:p>
        </w:tc>
      </w:tr>
      <w:tr w:rsidR="00270242" w:rsidRPr="005F62F4" w14:paraId="5DA9E3FB" w14:textId="77777777" w:rsidTr="00FE715A">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689" w:type="dxa"/>
          </w:tcPr>
          <w:p w14:paraId="207C62E2" w14:textId="77777777" w:rsidR="00270242" w:rsidRPr="005F62F4" w:rsidRDefault="00270242">
            <w:pPr>
              <w:pStyle w:val="TableText"/>
              <w:rPr>
                <w:rFonts w:cstheme="minorHAnsi"/>
                <w:szCs w:val="22"/>
              </w:rPr>
            </w:pPr>
            <w:r w:rsidRPr="005F62F4">
              <w:rPr>
                <w:rFonts w:cstheme="minorHAnsi"/>
                <w:szCs w:val="22"/>
              </w:rPr>
              <w:t>department</w:t>
            </w:r>
          </w:p>
        </w:tc>
        <w:tc>
          <w:tcPr>
            <w:tcW w:w="7383" w:type="dxa"/>
          </w:tcPr>
          <w:p w14:paraId="5EEA4D71" w14:textId="77777777" w:rsidR="00270242" w:rsidRPr="005F62F4" w:rsidRDefault="00270242">
            <w:pPr>
              <w:pStyle w:val="TableText"/>
              <w:cnfStyle w:val="000000010000" w:firstRow="0" w:lastRow="0" w:firstColumn="0" w:lastColumn="0" w:oddVBand="0" w:evenVBand="0" w:oddHBand="0" w:evenHBand="1" w:firstRowFirstColumn="0" w:firstRowLastColumn="0" w:lastRowFirstColumn="0" w:lastRowLastColumn="0"/>
              <w:rPr>
                <w:rFonts w:cstheme="minorHAnsi"/>
                <w:szCs w:val="22"/>
              </w:rPr>
            </w:pPr>
            <w:r w:rsidRPr="005F62F4">
              <w:rPr>
                <w:rFonts w:cstheme="minorHAnsi"/>
                <w:szCs w:val="22"/>
              </w:rPr>
              <w:t>Australian Government Department of Health and Aged Care</w:t>
            </w:r>
          </w:p>
        </w:tc>
      </w:tr>
      <w:tr w:rsidR="00270242" w:rsidRPr="005F62F4" w14:paraId="2586B150" w14:textId="77777777" w:rsidTr="00FE715A">
        <w:trPr>
          <w:trHeight w:val="170"/>
        </w:trPr>
        <w:tc>
          <w:tcPr>
            <w:cnfStyle w:val="001000000000" w:firstRow="0" w:lastRow="0" w:firstColumn="1" w:lastColumn="0" w:oddVBand="0" w:evenVBand="0" w:oddHBand="0" w:evenHBand="0" w:firstRowFirstColumn="0" w:firstRowLastColumn="0" w:lastRowFirstColumn="0" w:lastRowLastColumn="0"/>
            <w:tcW w:w="1689" w:type="dxa"/>
          </w:tcPr>
          <w:p w14:paraId="599BFEA8" w14:textId="77777777" w:rsidR="00270242" w:rsidRPr="005F62F4" w:rsidRDefault="00270242">
            <w:pPr>
              <w:pStyle w:val="TableText"/>
              <w:rPr>
                <w:rFonts w:cstheme="minorHAnsi"/>
                <w:szCs w:val="22"/>
              </w:rPr>
            </w:pPr>
            <w:r w:rsidRPr="005F62F4">
              <w:rPr>
                <w:rFonts w:cstheme="minorHAnsi"/>
                <w:szCs w:val="22"/>
              </w:rPr>
              <w:t>DRG</w:t>
            </w:r>
          </w:p>
        </w:tc>
        <w:tc>
          <w:tcPr>
            <w:tcW w:w="7383" w:type="dxa"/>
          </w:tcPr>
          <w:p w14:paraId="50855124" w14:textId="2B0A974B" w:rsidR="00270242" w:rsidRPr="005F62F4" w:rsidRDefault="0011394C">
            <w:pPr>
              <w:pStyle w:val="TableText"/>
              <w:cnfStyle w:val="000000000000" w:firstRow="0" w:lastRow="0" w:firstColumn="0" w:lastColumn="0" w:oddVBand="0" w:evenVBand="0" w:oddHBand="0" w:evenHBand="0" w:firstRowFirstColumn="0" w:firstRowLastColumn="0" w:lastRowFirstColumn="0" w:lastRowLastColumn="0"/>
              <w:rPr>
                <w:rFonts w:cstheme="minorHAnsi"/>
                <w:szCs w:val="22"/>
              </w:rPr>
            </w:pPr>
            <w:r w:rsidRPr="005F62F4">
              <w:rPr>
                <w:rFonts w:cstheme="minorHAnsi"/>
                <w:szCs w:val="22"/>
              </w:rPr>
              <w:t>d</w:t>
            </w:r>
            <w:r w:rsidR="00270242" w:rsidRPr="005F62F4">
              <w:rPr>
                <w:rFonts w:cstheme="minorHAnsi"/>
                <w:szCs w:val="22"/>
              </w:rPr>
              <w:t xml:space="preserve">iagnosis </w:t>
            </w:r>
            <w:r w:rsidRPr="005F62F4">
              <w:rPr>
                <w:rFonts w:cstheme="minorHAnsi"/>
                <w:szCs w:val="22"/>
              </w:rPr>
              <w:t>r</w:t>
            </w:r>
            <w:r w:rsidR="00270242" w:rsidRPr="005F62F4">
              <w:rPr>
                <w:rFonts w:cstheme="minorHAnsi"/>
                <w:szCs w:val="22"/>
              </w:rPr>
              <w:t xml:space="preserve">elated </w:t>
            </w:r>
            <w:r w:rsidRPr="005F62F4">
              <w:rPr>
                <w:rFonts w:cstheme="minorHAnsi"/>
                <w:szCs w:val="22"/>
              </w:rPr>
              <w:t>g</w:t>
            </w:r>
            <w:r w:rsidR="00270242" w:rsidRPr="005F62F4">
              <w:rPr>
                <w:rFonts w:cstheme="minorHAnsi"/>
                <w:szCs w:val="22"/>
              </w:rPr>
              <w:t>roup</w:t>
            </w:r>
          </w:p>
        </w:tc>
      </w:tr>
      <w:tr w:rsidR="009768A3" w:rsidRPr="005F62F4" w14:paraId="0BE7AB3A" w14:textId="77777777" w:rsidTr="00FE715A">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689" w:type="dxa"/>
          </w:tcPr>
          <w:p w14:paraId="6A42FE23" w14:textId="1610279D" w:rsidR="009768A3" w:rsidRPr="005F62F4" w:rsidRDefault="009768A3">
            <w:pPr>
              <w:pStyle w:val="TableText"/>
              <w:rPr>
                <w:rFonts w:cstheme="minorHAnsi"/>
                <w:szCs w:val="22"/>
              </w:rPr>
            </w:pPr>
            <w:r w:rsidRPr="005F62F4">
              <w:rPr>
                <w:rFonts w:cstheme="minorHAnsi"/>
                <w:szCs w:val="22"/>
              </w:rPr>
              <w:t>HCP</w:t>
            </w:r>
          </w:p>
        </w:tc>
        <w:tc>
          <w:tcPr>
            <w:tcW w:w="7383" w:type="dxa"/>
          </w:tcPr>
          <w:p w14:paraId="271C8359" w14:textId="4BF0C356" w:rsidR="009768A3" w:rsidRPr="005F62F4" w:rsidRDefault="0011394C">
            <w:pPr>
              <w:pStyle w:val="TableText"/>
              <w:cnfStyle w:val="000000010000" w:firstRow="0" w:lastRow="0" w:firstColumn="0" w:lastColumn="0" w:oddVBand="0" w:evenVBand="0" w:oddHBand="0" w:evenHBand="1" w:firstRowFirstColumn="0" w:firstRowLastColumn="0" w:lastRowFirstColumn="0" w:lastRowLastColumn="0"/>
              <w:rPr>
                <w:rFonts w:cstheme="minorHAnsi"/>
                <w:szCs w:val="22"/>
              </w:rPr>
            </w:pPr>
            <w:r w:rsidRPr="005F62F4">
              <w:rPr>
                <w:rFonts w:cstheme="minorHAnsi"/>
                <w:szCs w:val="22"/>
              </w:rPr>
              <w:t>h</w:t>
            </w:r>
            <w:r w:rsidR="009768A3" w:rsidRPr="005F62F4">
              <w:rPr>
                <w:rFonts w:cstheme="minorHAnsi"/>
                <w:szCs w:val="22"/>
              </w:rPr>
              <w:t xml:space="preserve">ospital </w:t>
            </w:r>
            <w:proofErr w:type="spellStart"/>
            <w:r w:rsidRPr="005F62F4">
              <w:rPr>
                <w:rFonts w:cstheme="minorHAnsi"/>
                <w:szCs w:val="22"/>
              </w:rPr>
              <w:t>c</w:t>
            </w:r>
            <w:r w:rsidR="009768A3" w:rsidRPr="005F62F4">
              <w:rPr>
                <w:rFonts w:cstheme="minorHAnsi"/>
                <w:szCs w:val="22"/>
              </w:rPr>
              <w:t>asemix</w:t>
            </w:r>
            <w:proofErr w:type="spellEnd"/>
            <w:r w:rsidR="009768A3" w:rsidRPr="005F62F4">
              <w:rPr>
                <w:rFonts w:cstheme="minorHAnsi"/>
                <w:szCs w:val="22"/>
              </w:rPr>
              <w:t xml:space="preserve"> </w:t>
            </w:r>
            <w:r w:rsidRPr="005F62F4">
              <w:rPr>
                <w:rFonts w:cstheme="minorHAnsi"/>
                <w:szCs w:val="22"/>
              </w:rPr>
              <w:t>p</w:t>
            </w:r>
            <w:r w:rsidR="009768A3" w:rsidRPr="005F62F4">
              <w:rPr>
                <w:rFonts w:cstheme="minorHAnsi"/>
                <w:szCs w:val="22"/>
              </w:rPr>
              <w:t>rotocol</w:t>
            </w:r>
          </w:p>
        </w:tc>
      </w:tr>
      <w:tr w:rsidR="000A79D7" w:rsidRPr="005F62F4" w14:paraId="03318951" w14:textId="77777777" w:rsidTr="00FE715A">
        <w:trPr>
          <w:trHeight w:val="170"/>
        </w:trPr>
        <w:tc>
          <w:tcPr>
            <w:cnfStyle w:val="001000000000" w:firstRow="0" w:lastRow="0" w:firstColumn="1" w:lastColumn="0" w:oddVBand="0" w:evenVBand="0" w:oddHBand="0" w:evenHBand="0" w:firstRowFirstColumn="0" w:firstRowLastColumn="0" w:lastRowFirstColumn="0" w:lastRowLastColumn="0"/>
            <w:tcW w:w="1689" w:type="dxa"/>
          </w:tcPr>
          <w:p w14:paraId="5C358B71" w14:textId="70AE93C9" w:rsidR="000A79D7" w:rsidRPr="005F62F4" w:rsidRDefault="000A79D7">
            <w:pPr>
              <w:pStyle w:val="TableText"/>
              <w:rPr>
                <w:rFonts w:cstheme="minorHAnsi"/>
                <w:szCs w:val="22"/>
              </w:rPr>
            </w:pPr>
            <w:r w:rsidRPr="005F62F4">
              <w:rPr>
                <w:rFonts w:cstheme="minorHAnsi"/>
                <w:szCs w:val="22"/>
              </w:rPr>
              <w:t>ICD</w:t>
            </w:r>
          </w:p>
        </w:tc>
        <w:tc>
          <w:tcPr>
            <w:tcW w:w="7383" w:type="dxa"/>
          </w:tcPr>
          <w:p w14:paraId="0D3346D8" w14:textId="55AF2A2C" w:rsidR="000A79D7" w:rsidRPr="005F62F4" w:rsidRDefault="000A79D7">
            <w:pPr>
              <w:pStyle w:val="TableText"/>
              <w:cnfStyle w:val="000000000000" w:firstRow="0" w:lastRow="0" w:firstColumn="0" w:lastColumn="0" w:oddVBand="0" w:evenVBand="0" w:oddHBand="0" w:evenHBand="0" w:firstRowFirstColumn="0" w:firstRowLastColumn="0" w:lastRowFirstColumn="0" w:lastRowLastColumn="0"/>
              <w:rPr>
                <w:rFonts w:cstheme="minorHAnsi"/>
                <w:szCs w:val="22"/>
              </w:rPr>
            </w:pPr>
            <w:r w:rsidRPr="005F62F4">
              <w:rPr>
                <w:rFonts w:cstheme="minorHAnsi"/>
                <w:szCs w:val="22"/>
              </w:rPr>
              <w:t>International Classification of Disease</w:t>
            </w:r>
          </w:p>
        </w:tc>
      </w:tr>
      <w:tr w:rsidR="00270242" w:rsidRPr="005F62F4" w14:paraId="7498AD2F" w14:textId="77777777" w:rsidTr="00FE715A">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689" w:type="dxa"/>
          </w:tcPr>
          <w:p w14:paraId="4A8EC91F" w14:textId="77777777" w:rsidR="00270242" w:rsidRPr="005F62F4" w:rsidRDefault="00270242" w:rsidP="000B163D">
            <w:pPr>
              <w:pStyle w:val="TableText"/>
            </w:pPr>
            <w:r w:rsidRPr="005F62F4">
              <w:t>LOS</w:t>
            </w:r>
          </w:p>
        </w:tc>
        <w:tc>
          <w:tcPr>
            <w:tcW w:w="7383" w:type="dxa"/>
          </w:tcPr>
          <w:p w14:paraId="62C682E6" w14:textId="3AB179BE" w:rsidR="00270242" w:rsidRPr="005F62F4" w:rsidRDefault="0011394C" w:rsidP="000B163D">
            <w:pPr>
              <w:pStyle w:val="TableText"/>
              <w:cnfStyle w:val="000000010000" w:firstRow="0" w:lastRow="0" w:firstColumn="0" w:lastColumn="0" w:oddVBand="0" w:evenVBand="0" w:oddHBand="0" w:evenHBand="1" w:firstRowFirstColumn="0" w:firstRowLastColumn="0" w:lastRowFirstColumn="0" w:lastRowLastColumn="0"/>
            </w:pPr>
            <w:r w:rsidRPr="005F62F4">
              <w:t>l</w:t>
            </w:r>
            <w:r w:rsidR="00270242" w:rsidRPr="005F62F4">
              <w:t>ength of stay</w:t>
            </w:r>
          </w:p>
        </w:tc>
      </w:tr>
      <w:tr w:rsidR="00270242" w:rsidRPr="005F62F4" w14:paraId="39C207E4" w14:textId="77777777" w:rsidTr="00FE715A">
        <w:trPr>
          <w:trHeight w:val="170"/>
        </w:trPr>
        <w:tc>
          <w:tcPr>
            <w:cnfStyle w:val="001000000000" w:firstRow="0" w:lastRow="0" w:firstColumn="1" w:lastColumn="0" w:oddVBand="0" w:evenVBand="0" w:oddHBand="0" w:evenHBand="0" w:firstRowFirstColumn="0" w:firstRowLastColumn="0" w:lastRowFirstColumn="0" w:lastRowLastColumn="0"/>
            <w:tcW w:w="1689" w:type="dxa"/>
          </w:tcPr>
          <w:p w14:paraId="2038D90A" w14:textId="77777777" w:rsidR="00270242" w:rsidRPr="005F62F4" w:rsidRDefault="00270242">
            <w:pPr>
              <w:pStyle w:val="TableText"/>
              <w:rPr>
                <w:rFonts w:cstheme="minorHAnsi"/>
                <w:szCs w:val="22"/>
              </w:rPr>
            </w:pPr>
            <w:r w:rsidRPr="005F62F4">
              <w:rPr>
                <w:rFonts w:cstheme="minorHAnsi"/>
                <w:szCs w:val="22"/>
              </w:rPr>
              <w:t>MBS</w:t>
            </w:r>
          </w:p>
        </w:tc>
        <w:tc>
          <w:tcPr>
            <w:tcW w:w="7383" w:type="dxa"/>
          </w:tcPr>
          <w:p w14:paraId="3FEB1CF0" w14:textId="77777777" w:rsidR="00270242" w:rsidRPr="005F62F4" w:rsidRDefault="00270242">
            <w:pPr>
              <w:pStyle w:val="TableText"/>
              <w:cnfStyle w:val="000000000000" w:firstRow="0" w:lastRow="0" w:firstColumn="0" w:lastColumn="0" w:oddVBand="0" w:evenVBand="0" w:oddHBand="0" w:evenHBand="0" w:firstRowFirstColumn="0" w:firstRowLastColumn="0" w:lastRowFirstColumn="0" w:lastRowLastColumn="0"/>
              <w:rPr>
                <w:rFonts w:cstheme="minorHAnsi"/>
                <w:szCs w:val="22"/>
              </w:rPr>
            </w:pPr>
            <w:r w:rsidRPr="005F62F4">
              <w:rPr>
                <w:rFonts w:cstheme="minorHAnsi"/>
                <w:szCs w:val="22"/>
              </w:rPr>
              <w:t>Medicare Benefits Schedule</w:t>
            </w:r>
          </w:p>
        </w:tc>
      </w:tr>
      <w:tr w:rsidR="0055627C" w:rsidRPr="005F62F4" w14:paraId="02BD10D3" w14:textId="77777777" w:rsidTr="00FE715A">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689" w:type="dxa"/>
          </w:tcPr>
          <w:p w14:paraId="14E37E94" w14:textId="33D8E306" w:rsidR="0055627C" w:rsidRPr="005F62F4" w:rsidRDefault="0055627C">
            <w:pPr>
              <w:pStyle w:val="TableText"/>
              <w:rPr>
                <w:rFonts w:cstheme="minorHAnsi"/>
                <w:szCs w:val="22"/>
              </w:rPr>
            </w:pPr>
            <w:r w:rsidRPr="005F62F4">
              <w:t>MDHTAC</w:t>
            </w:r>
          </w:p>
        </w:tc>
        <w:tc>
          <w:tcPr>
            <w:tcW w:w="7383" w:type="dxa"/>
          </w:tcPr>
          <w:p w14:paraId="767BB433" w14:textId="0FE4EEFA" w:rsidR="0055627C" w:rsidRPr="005F62F4" w:rsidRDefault="0055627C">
            <w:pPr>
              <w:pStyle w:val="TableText"/>
              <w:cnfStyle w:val="000000010000" w:firstRow="0" w:lastRow="0" w:firstColumn="0" w:lastColumn="0" w:oddVBand="0" w:evenVBand="0" w:oddHBand="0" w:evenHBand="1" w:firstRowFirstColumn="0" w:firstRowLastColumn="0" w:lastRowFirstColumn="0" w:lastRowLastColumn="0"/>
              <w:rPr>
                <w:rFonts w:cstheme="minorHAnsi"/>
                <w:szCs w:val="22"/>
              </w:rPr>
            </w:pPr>
            <w:r w:rsidRPr="005F62F4">
              <w:t>Medical Devices and Human Tissue Advisory Committee</w:t>
            </w:r>
          </w:p>
        </w:tc>
      </w:tr>
      <w:tr w:rsidR="00270242" w:rsidRPr="005F62F4" w14:paraId="43A31223" w14:textId="77777777" w:rsidTr="00FE715A">
        <w:trPr>
          <w:trHeight w:val="170"/>
        </w:trPr>
        <w:tc>
          <w:tcPr>
            <w:cnfStyle w:val="001000000000" w:firstRow="0" w:lastRow="0" w:firstColumn="1" w:lastColumn="0" w:oddVBand="0" w:evenVBand="0" w:oddHBand="0" w:evenHBand="0" w:firstRowFirstColumn="0" w:firstRowLastColumn="0" w:lastRowFirstColumn="0" w:lastRowLastColumn="0"/>
            <w:tcW w:w="1689" w:type="dxa"/>
          </w:tcPr>
          <w:p w14:paraId="63B59476" w14:textId="77777777" w:rsidR="00270242" w:rsidRPr="005F62F4" w:rsidRDefault="00270242">
            <w:pPr>
              <w:pStyle w:val="TableText"/>
              <w:rPr>
                <w:rFonts w:cstheme="minorHAnsi"/>
                <w:szCs w:val="22"/>
              </w:rPr>
            </w:pPr>
            <w:r w:rsidRPr="005F62F4">
              <w:rPr>
                <w:rFonts w:cstheme="minorHAnsi"/>
                <w:szCs w:val="22"/>
              </w:rPr>
              <w:t>NHMRC</w:t>
            </w:r>
          </w:p>
        </w:tc>
        <w:tc>
          <w:tcPr>
            <w:tcW w:w="7383" w:type="dxa"/>
          </w:tcPr>
          <w:p w14:paraId="480D5C84" w14:textId="77777777" w:rsidR="00270242" w:rsidRPr="005F62F4" w:rsidRDefault="00270242">
            <w:pPr>
              <w:pStyle w:val="TableText"/>
              <w:cnfStyle w:val="000000000000" w:firstRow="0" w:lastRow="0" w:firstColumn="0" w:lastColumn="0" w:oddVBand="0" w:evenVBand="0" w:oddHBand="0" w:evenHBand="0" w:firstRowFirstColumn="0" w:firstRowLastColumn="0" w:lastRowFirstColumn="0" w:lastRowLastColumn="0"/>
              <w:rPr>
                <w:rFonts w:cstheme="minorHAnsi"/>
                <w:szCs w:val="22"/>
              </w:rPr>
            </w:pPr>
            <w:r w:rsidRPr="005F62F4">
              <w:rPr>
                <w:rFonts w:cstheme="minorHAnsi"/>
                <w:szCs w:val="22"/>
              </w:rPr>
              <w:t>National Health and Medical Research Council</w:t>
            </w:r>
          </w:p>
        </w:tc>
      </w:tr>
      <w:tr w:rsidR="00270242" w:rsidRPr="005F62F4" w14:paraId="2CBE4454" w14:textId="77777777" w:rsidTr="00FE715A">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689" w:type="dxa"/>
          </w:tcPr>
          <w:p w14:paraId="61FBAEEA" w14:textId="77777777" w:rsidR="00270242" w:rsidRPr="005F62F4" w:rsidRDefault="00270242">
            <w:pPr>
              <w:pStyle w:val="TableText"/>
              <w:rPr>
                <w:rFonts w:cstheme="minorHAnsi"/>
                <w:szCs w:val="22"/>
              </w:rPr>
            </w:pPr>
            <w:r w:rsidRPr="005F62F4">
              <w:rPr>
                <w:rFonts w:cstheme="minorHAnsi"/>
                <w:szCs w:val="22"/>
              </w:rPr>
              <w:t>PBS</w:t>
            </w:r>
          </w:p>
        </w:tc>
        <w:tc>
          <w:tcPr>
            <w:tcW w:w="7383" w:type="dxa"/>
          </w:tcPr>
          <w:p w14:paraId="0F723DEC" w14:textId="77777777" w:rsidR="00270242" w:rsidRPr="005F62F4" w:rsidRDefault="00270242">
            <w:pPr>
              <w:pStyle w:val="TableText"/>
              <w:cnfStyle w:val="000000010000" w:firstRow="0" w:lastRow="0" w:firstColumn="0" w:lastColumn="0" w:oddVBand="0" w:evenVBand="0" w:oddHBand="0" w:evenHBand="1" w:firstRowFirstColumn="0" w:firstRowLastColumn="0" w:lastRowFirstColumn="0" w:lastRowLastColumn="0"/>
              <w:rPr>
                <w:rFonts w:cstheme="minorHAnsi"/>
                <w:szCs w:val="22"/>
              </w:rPr>
            </w:pPr>
            <w:r w:rsidRPr="005F62F4">
              <w:rPr>
                <w:rFonts w:cstheme="minorHAnsi"/>
                <w:szCs w:val="22"/>
              </w:rPr>
              <w:t>Pharmaceutical Benefits Scheme</w:t>
            </w:r>
          </w:p>
        </w:tc>
      </w:tr>
      <w:tr w:rsidR="00270242" w:rsidRPr="005F62F4" w14:paraId="131EDA08" w14:textId="77777777" w:rsidTr="00FE715A">
        <w:trPr>
          <w:trHeight w:val="170"/>
        </w:trPr>
        <w:tc>
          <w:tcPr>
            <w:cnfStyle w:val="001000000000" w:firstRow="0" w:lastRow="0" w:firstColumn="1" w:lastColumn="0" w:oddVBand="0" w:evenVBand="0" w:oddHBand="0" w:evenHBand="0" w:firstRowFirstColumn="0" w:firstRowLastColumn="0" w:lastRowFirstColumn="0" w:lastRowLastColumn="0"/>
            <w:tcW w:w="1689" w:type="dxa"/>
          </w:tcPr>
          <w:p w14:paraId="1A5009D5" w14:textId="77777777" w:rsidR="00270242" w:rsidRPr="005F62F4" w:rsidRDefault="00270242">
            <w:pPr>
              <w:pStyle w:val="TableText"/>
              <w:rPr>
                <w:rFonts w:cstheme="minorHAnsi"/>
                <w:szCs w:val="22"/>
              </w:rPr>
            </w:pPr>
            <w:r w:rsidRPr="005F62F4">
              <w:rPr>
                <w:rFonts w:cstheme="minorHAnsi"/>
                <w:szCs w:val="22"/>
              </w:rPr>
              <w:t>PICO</w:t>
            </w:r>
          </w:p>
        </w:tc>
        <w:tc>
          <w:tcPr>
            <w:tcW w:w="7383" w:type="dxa"/>
          </w:tcPr>
          <w:p w14:paraId="0B95F684" w14:textId="57588341" w:rsidR="00270242" w:rsidRPr="005F62F4" w:rsidRDefault="0011394C">
            <w:pPr>
              <w:pStyle w:val="TableText"/>
              <w:cnfStyle w:val="000000000000" w:firstRow="0" w:lastRow="0" w:firstColumn="0" w:lastColumn="0" w:oddVBand="0" w:evenVBand="0" w:oddHBand="0" w:evenHBand="0" w:firstRowFirstColumn="0" w:firstRowLastColumn="0" w:lastRowFirstColumn="0" w:lastRowLastColumn="0"/>
              <w:rPr>
                <w:rFonts w:cstheme="minorHAnsi"/>
                <w:szCs w:val="22"/>
              </w:rPr>
            </w:pPr>
            <w:r w:rsidRPr="005F62F4">
              <w:rPr>
                <w:rFonts w:cstheme="minorHAnsi"/>
                <w:szCs w:val="22"/>
              </w:rPr>
              <w:t>p</w:t>
            </w:r>
            <w:r w:rsidR="00270242" w:rsidRPr="005F62F4">
              <w:rPr>
                <w:rFonts w:cstheme="minorHAnsi"/>
                <w:szCs w:val="22"/>
              </w:rPr>
              <w:t>opulation, intervention, comparator, outcome</w:t>
            </w:r>
          </w:p>
        </w:tc>
      </w:tr>
      <w:tr w:rsidR="00270242" w:rsidRPr="005F62F4" w14:paraId="47B1EC5F" w14:textId="77777777" w:rsidTr="00FE715A">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689" w:type="dxa"/>
          </w:tcPr>
          <w:p w14:paraId="219F219A" w14:textId="77777777" w:rsidR="00270242" w:rsidRPr="005F62F4" w:rsidRDefault="00270242">
            <w:pPr>
              <w:pStyle w:val="TableText"/>
              <w:rPr>
                <w:rFonts w:cstheme="minorHAnsi"/>
                <w:szCs w:val="22"/>
              </w:rPr>
            </w:pPr>
            <w:r w:rsidRPr="005F62F4">
              <w:rPr>
                <w:rFonts w:cstheme="minorHAnsi"/>
                <w:szCs w:val="22"/>
              </w:rPr>
              <w:t>PL</w:t>
            </w:r>
          </w:p>
        </w:tc>
        <w:tc>
          <w:tcPr>
            <w:tcW w:w="7383" w:type="dxa"/>
          </w:tcPr>
          <w:p w14:paraId="70D8C95D" w14:textId="77777777" w:rsidR="00270242" w:rsidRPr="005F62F4" w:rsidRDefault="00270242">
            <w:pPr>
              <w:pStyle w:val="TableText"/>
              <w:cnfStyle w:val="000000010000" w:firstRow="0" w:lastRow="0" w:firstColumn="0" w:lastColumn="0" w:oddVBand="0" w:evenVBand="0" w:oddHBand="0" w:evenHBand="1" w:firstRowFirstColumn="0" w:firstRowLastColumn="0" w:lastRowFirstColumn="0" w:lastRowLastColumn="0"/>
              <w:rPr>
                <w:rFonts w:cstheme="minorHAnsi"/>
                <w:szCs w:val="22"/>
              </w:rPr>
            </w:pPr>
            <w:r w:rsidRPr="005F62F4">
              <w:rPr>
                <w:rFonts w:cstheme="minorHAnsi"/>
                <w:szCs w:val="22"/>
              </w:rPr>
              <w:t>Prostheses List</w:t>
            </w:r>
          </w:p>
        </w:tc>
      </w:tr>
      <w:tr w:rsidR="00270242" w:rsidRPr="005F62F4" w14:paraId="114BA53A" w14:textId="77777777" w:rsidTr="00FE715A">
        <w:trPr>
          <w:trHeight w:val="170"/>
        </w:trPr>
        <w:tc>
          <w:tcPr>
            <w:cnfStyle w:val="001000000000" w:firstRow="0" w:lastRow="0" w:firstColumn="1" w:lastColumn="0" w:oddVBand="0" w:evenVBand="0" w:oddHBand="0" w:evenHBand="0" w:firstRowFirstColumn="0" w:firstRowLastColumn="0" w:lastRowFirstColumn="0" w:lastRowLastColumn="0"/>
            <w:tcW w:w="1689" w:type="dxa"/>
          </w:tcPr>
          <w:p w14:paraId="0FC5CE75" w14:textId="77777777" w:rsidR="00270242" w:rsidRPr="005F62F4" w:rsidRDefault="00270242">
            <w:pPr>
              <w:pStyle w:val="TableText"/>
              <w:rPr>
                <w:rFonts w:cstheme="minorHAnsi"/>
                <w:szCs w:val="22"/>
              </w:rPr>
            </w:pPr>
            <w:r w:rsidRPr="005F62F4">
              <w:rPr>
                <w:rFonts w:cstheme="minorHAnsi"/>
                <w:szCs w:val="22"/>
              </w:rPr>
              <w:t>PLAC</w:t>
            </w:r>
          </w:p>
        </w:tc>
        <w:tc>
          <w:tcPr>
            <w:tcW w:w="7383" w:type="dxa"/>
          </w:tcPr>
          <w:p w14:paraId="328E1F18" w14:textId="77777777" w:rsidR="00270242" w:rsidRPr="005F62F4" w:rsidRDefault="00270242">
            <w:pPr>
              <w:pStyle w:val="TableText"/>
              <w:cnfStyle w:val="000000000000" w:firstRow="0" w:lastRow="0" w:firstColumn="0" w:lastColumn="0" w:oddVBand="0" w:evenVBand="0" w:oddHBand="0" w:evenHBand="0" w:firstRowFirstColumn="0" w:firstRowLastColumn="0" w:lastRowFirstColumn="0" w:lastRowLastColumn="0"/>
              <w:rPr>
                <w:rFonts w:cstheme="minorHAnsi"/>
                <w:szCs w:val="22"/>
              </w:rPr>
            </w:pPr>
            <w:r w:rsidRPr="005F62F4">
              <w:rPr>
                <w:rFonts w:cstheme="minorHAnsi"/>
                <w:szCs w:val="22"/>
              </w:rPr>
              <w:t>Prostheses List Advisory Committee</w:t>
            </w:r>
          </w:p>
        </w:tc>
      </w:tr>
      <w:tr w:rsidR="004661BA" w:rsidRPr="005F62F4" w14:paraId="6A97D786" w14:textId="77777777" w:rsidTr="00FE715A">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689" w:type="dxa"/>
          </w:tcPr>
          <w:p w14:paraId="4B081B9D" w14:textId="2106ABD1" w:rsidR="004661BA" w:rsidRPr="005F62F4" w:rsidRDefault="004661BA">
            <w:pPr>
              <w:pStyle w:val="TableText"/>
              <w:rPr>
                <w:rFonts w:cstheme="minorHAnsi"/>
                <w:szCs w:val="22"/>
              </w:rPr>
            </w:pPr>
            <w:r w:rsidRPr="005F62F4">
              <w:rPr>
                <w:rFonts w:cstheme="minorHAnsi"/>
                <w:szCs w:val="22"/>
              </w:rPr>
              <w:t>PSI</w:t>
            </w:r>
          </w:p>
        </w:tc>
        <w:tc>
          <w:tcPr>
            <w:tcW w:w="7383" w:type="dxa"/>
          </w:tcPr>
          <w:p w14:paraId="1118418F" w14:textId="1915C39B" w:rsidR="004661BA" w:rsidRPr="005F62F4" w:rsidRDefault="0011394C">
            <w:pPr>
              <w:pStyle w:val="TableText"/>
              <w:cnfStyle w:val="000000010000" w:firstRow="0" w:lastRow="0" w:firstColumn="0" w:lastColumn="0" w:oddVBand="0" w:evenVBand="0" w:oddHBand="0" w:evenHBand="1" w:firstRowFirstColumn="0" w:firstRowLastColumn="0" w:lastRowFirstColumn="0" w:lastRowLastColumn="0"/>
              <w:rPr>
                <w:rFonts w:cstheme="minorHAnsi"/>
                <w:szCs w:val="22"/>
              </w:rPr>
            </w:pPr>
            <w:r w:rsidRPr="005F62F4">
              <w:t>p</w:t>
            </w:r>
            <w:r w:rsidR="004661BA" w:rsidRPr="005F62F4">
              <w:t>atient</w:t>
            </w:r>
            <w:r w:rsidRPr="005F62F4">
              <w:t>-s</w:t>
            </w:r>
            <w:r w:rsidR="004661BA" w:rsidRPr="005F62F4">
              <w:t xml:space="preserve">pecific </w:t>
            </w:r>
            <w:r w:rsidRPr="005F62F4">
              <w:t>i</w:t>
            </w:r>
            <w:r w:rsidR="004661BA" w:rsidRPr="005F62F4">
              <w:t>mplant</w:t>
            </w:r>
          </w:p>
        </w:tc>
      </w:tr>
      <w:tr w:rsidR="006D5E2A" w:rsidRPr="005F62F4" w14:paraId="3C9B7895" w14:textId="77777777" w:rsidTr="00FE715A">
        <w:trPr>
          <w:trHeight w:val="170"/>
        </w:trPr>
        <w:tc>
          <w:tcPr>
            <w:cnfStyle w:val="001000000000" w:firstRow="0" w:lastRow="0" w:firstColumn="1" w:lastColumn="0" w:oddVBand="0" w:evenVBand="0" w:oddHBand="0" w:evenHBand="0" w:firstRowFirstColumn="0" w:firstRowLastColumn="0" w:lastRowFirstColumn="0" w:lastRowLastColumn="0"/>
            <w:tcW w:w="1689" w:type="dxa"/>
          </w:tcPr>
          <w:p w14:paraId="1E6B4BD8" w14:textId="6C1D43B4" w:rsidR="006D5E2A" w:rsidRPr="005F62F4" w:rsidRDefault="006D5E2A" w:rsidP="000B163D">
            <w:pPr>
              <w:pStyle w:val="TableText"/>
              <w:rPr>
                <w:rFonts w:cstheme="minorHAnsi"/>
                <w:szCs w:val="22"/>
              </w:rPr>
            </w:pPr>
            <w:r w:rsidRPr="005F62F4">
              <w:rPr>
                <w:rFonts w:cstheme="minorHAnsi"/>
                <w:szCs w:val="22"/>
              </w:rPr>
              <w:t>RCT</w:t>
            </w:r>
          </w:p>
        </w:tc>
        <w:tc>
          <w:tcPr>
            <w:tcW w:w="7383" w:type="dxa"/>
          </w:tcPr>
          <w:p w14:paraId="15496B06" w14:textId="42CBE60D" w:rsidR="006D5E2A" w:rsidRPr="005F62F4" w:rsidRDefault="006D5E2A" w:rsidP="000B163D">
            <w:pPr>
              <w:pStyle w:val="TableText"/>
              <w:cnfStyle w:val="000000000000" w:firstRow="0" w:lastRow="0" w:firstColumn="0" w:lastColumn="0" w:oddVBand="0" w:evenVBand="0" w:oddHBand="0" w:evenHBand="0" w:firstRowFirstColumn="0" w:firstRowLastColumn="0" w:lastRowFirstColumn="0" w:lastRowLastColumn="0"/>
              <w:rPr>
                <w:rFonts w:cstheme="minorHAnsi"/>
                <w:szCs w:val="22"/>
              </w:rPr>
            </w:pPr>
            <w:r w:rsidRPr="005F62F4">
              <w:rPr>
                <w:rFonts w:cstheme="minorHAnsi"/>
                <w:szCs w:val="22"/>
              </w:rPr>
              <w:t>Randomised controlled trial</w:t>
            </w:r>
          </w:p>
        </w:tc>
      </w:tr>
      <w:tr w:rsidR="00270242" w:rsidRPr="005F62F4" w14:paraId="575B518A" w14:textId="77777777" w:rsidTr="00FE715A">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689" w:type="dxa"/>
          </w:tcPr>
          <w:p w14:paraId="7198AB00" w14:textId="77777777" w:rsidR="00270242" w:rsidRPr="005F62F4" w:rsidRDefault="00270242" w:rsidP="000B163D">
            <w:pPr>
              <w:pStyle w:val="TableText"/>
              <w:rPr>
                <w:rFonts w:cstheme="minorHAnsi"/>
                <w:szCs w:val="22"/>
              </w:rPr>
            </w:pPr>
            <w:proofErr w:type="spellStart"/>
            <w:r w:rsidRPr="005F62F4">
              <w:rPr>
                <w:rFonts w:cstheme="minorHAnsi"/>
                <w:szCs w:val="22"/>
              </w:rPr>
              <w:t>RoB</w:t>
            </w:r>
            <w:proofErr w:type="spellEnd"/>
          </w:p>
        </w:tc>
        <w:tc>
          <w:tcPr>
            <w:tcW w:w="7383" w:type="dxa"/>
          </w:tcPr>
          <w:p w14:paraId="08E514CA" w14:textId="016238CB" w:rsidR="00270242" w:rsidRPr="005F62F4" w:rsidRDefault="0011394C" w:rsidP="000B163D">
            <w:pPr>
              <w:pStyle w:val="TableText"/>
              <w:cnfStyle w:val="000000010000" w:firstRow="0" w:lastRow="0" w:firstColumn="0" w:lastColumn="0" w:oddVBand="0" w:evenVBand="0" w:oddHBand="0" w:evenHBand="1" w:firstRowFirstColumn="0" w:firstRowLastColumn="0" w:lastRowFirstColumn="0" w:lastRowLastColumn="0"/>
              <w:rPr>
                <w:rFonts w:cstheme="minorHAnsi"/>
                <w:szCs w:val="22"/>
              </w:rPr>
            </w:pPr>
            <w:r w:rsidRPr="005F62F4">
              <w:rPr>
                <w:rFonts w:cstheme="minorHAnsi"/>
                <w:szCs w:val="22"/>
              </w:rPr>
              <w:t>r</w:t>
            </w:r>
            <w:r w:rsidR="00270242" w:rsidRPr="005F62F4">
              <w:rPr>
                <w:rFonts w:cstheme="minorHAnsi"/>
                <w:szCs w:val="22"/>
              </w:rPr>
              <w:t>isk of bias</w:t>
            </w:r>
          </w:p>
        </w:tc>
      </w:tr>
      <w:tr w:rsidR="00270242" w:rsidRPr="005F62F4" w14:paraId="5A1BC3DC" w14:textId="77777777" w:rsidTr="00FE715A">
        <w:trPr>
          <w:trHeight w:val="170"/>
        </w:trPr>
        <w:tc>
          <w:tcPr>
            <w:cnfStyle w:val="001000000000" w:firstRow="0" w:lastRow="0" w:firstColumn="1" w:lastColumn="0" w:oddVBand="0" w:evenVBand="0" w:oddHBand="0" w:evenHBand="0" w:firstRowFirstColumn="0" w:firstRowLastColumn="0" w:lastRowFirstColumn="0" w:lastRowLastColumn="0"/>
            <w:tcW w:w="1689" w:type="dxa"/>
          </w:tcPr>
          <w:p w14:paraId="6553F1E6" w14:textId="77777777" w:rsidR="00270242" w:rsidRPr="005F62F4" w:rsidRDefault="00270242" w:rsidP="000B163D">
            <w:pPr>
              <w:pStyle w:val="TableText"/>
              <w:rPr>
                <w:rFonts w:cstheme="minorHAnsi"/>
                <w:szCs w:val="22"/>
              </w:rPr>
            </w:pPr>
            <w:r w:rsidRPr="005F62F4">
              <w:rPr>
                <w:rFonts w:cstheme="minorHAnsi"/>
                <w:szCs w:val="22"/>
              </w:rPr>
              <w:t>SGB</w:t>
            </w:r>
          </w:p>
        </w:tc>
        <w:tc>
          <w:tcPr>
            <w:tcW w:w="7383" w:type="dxa"/>
          </w:tcPr>
          <w:p w14:paraId="6073EB6E" w14:textId="663F2046" w:rsidR="00270242" w:rsidRPr="005F62F4" w:rsidRDefault="0011394C" w:rsidP="000B163D">
            <w:pPr>
              <w:pStyle w:val="TableText"/>
              <w:cnfStyle w:val="000000000000" w:firstRow="0" w:lastRow="0" w:firstColumn="0" w:lastColumn="0" w:oddVBand="0" w:evenVBand="0" w:oddHBand="0" w:evenHBand="0" w:firstRowFirstColumn="0" w:firstRowLastColumn="0" w:lastRowFirstColumn="0" w:lastRowLastColumn="0"/>
              <w:rPr>
                <w:rFonts w:cstheme="minorHAnsi"/>
                <w:szCs w:val="22"/>
              </w:rPr>
            </w:pPr>
            <w:r w:rsidRPr="005F62F4">
              <w:rPr>
                <w:rFonts w:cstheme="minorHAnsi"/>
                <w:szCs w:val="22"/>
              </w:rPr>
              <w:t>s</w:t>
            </w:r>
            <w:r w:rsidR="00270242" w:rsidRPr="005F62F4">
              <w:rPr>
                <w:rFonts w:cstheme="minorHAnsi"/>
                <w:szCs w:val="22"/>
              </w:rPr>
              <w:t xml:space="preserve">urgical guides and </w:t>
            </w:r>
            <w:proofErr w:type="spellStart"/>
            <w:r w:rsidR="00270242" w:rsidRPr="005F62F4">
              <w:rPr>
                <w:rFonts w:cstheme="minorHAnsi"/>
                <w:szCs w:val="22"/>
              </w:rPr>
              <w:t>biomodels</w:t>
            </w:r>
            <w:proofErr w:type="spellEnd"/>
          </w:p>
        </w:tc>
      </w:tr>
      <w:tr w:rsidR="00270242" w:rsidRPr="005F62F4" w14:paraId="75D9E482" w14:textId="77777777" w:rsidTr="00FE715A">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689" w:type="dxa"/>
          </w:tcPr>
          <w:p w14:paraId="7635B426" w14:textId="0947FD65" w:rsidR="00270242" w:rsidRPr="005F62F4" w:rsidRDefault="00270242" w:rsidP="000B163D">
            <w:pPr>
              <w:pStyle w:val="TableText"/>
              <w:rPr>
                <w:rFonts w:cstheme="minorHAnsi"/>
                <w:szCs w:val="22"/>
              </w:rPr>
            </w:pPr>
            <w:r w:rsidRPr="005F62F4">
              <w:rPr>
                <w:rFonts w:cstheme="minorHAnsi"/>
                <w:szCs w:val="22"/>
              </w:rPr>
              <w:t>TGA</w:t>
            </w:r>
          </w:p>
        </w:tc>
        <w:tc>
          <w:tcPr>
            <w:tcW w:w="7383" w:type="dxa"/>
          </w:tcPr>
          <w:p w14:paraId="054CFEDC" w14:textId="0E488943" w:rsidR="00270242" w:rsidRPr="005F62F4" w:rsidRDefault="00270242" w:rsidP="000B163D">
            <w:pPr>
              <w:pStyle w:val="TableText"/>
              <w:cnfStyle w:val="000000010000" w:firstRow="0" w:lastRow="0" w:firstColumn="0" w:lastColumn="0" w:oddVBand="0" w:evenVBand="0" w:oddHBand="0" w:evenHBand="1" w:firstRowFirstColumn="0" w:firstRowLastColumn="0" w:lastRowFirstColumn="0" w:lastRowLastColumn="0"/>
              <w:rPr>
                <w:rFonts w:cstheme="minorHAnsi"/>
                <w:szCs w:val="22"/>
              </w:rPr>
            </w:pPr>
            <w:r w:rsidRPr="005F62F4">
              <w:rPr>
                <w:rFonts w:cstheme="minorHAnsi"/>
                <w:szCs w:val="22"/>
              </w:rPr>
              <w:t>Therapeutic Goods Administration</w:t>
            </w:r>
          </w:p>
        </w:tc>
      </w:tr>
      <w:tr w:rsidR="00A90C13" w:rsidRPr="005F62F4" w14:paraId="21D688B0" w14:textId="77777777" w:rsidTr="00FE715A">
        <w:trPr>
          <w:trHeight w:val="170"/>
        </w:trPr>
        <w:tc>
          <w:tcPr>
            <w:cnfStyle w:val="001000000000" w:firstRow="0" w:lastRow="0" w:firstColumn="1" w:lastColumn="0" w:oddVBand="0" w:evenVBand="0" w:oddHBand="0" w:evenHBand="0" w:firstRowFirstColumn="0" w:firstRowLastColumn="0" w:lastRowFirstColumn="0" w:lastRowLastColumn="0"/>
            <w:tcW w:w="1689" w:type="dxa"/>
          </w:tcPr>
          <w:p w14:paraId="72362A92" w14:textId="593DCF45" w:rsidR="00A90C13" w:rsidRPr="005F62F4" w:rsidRDefault="00A90C13" w:rsidP="000B163D">
            <w:pPr>
              <w:pStyle w:val="TableText"/>
              <w:rPr>
                <w:rFonts w:cstheme="minorHAnsi"/>
                <w:szCs w:val="22"/>
              </w:rPr>
            </w:pPr>
            <w:r w:rsidRPr="005F62F4">
              <w:rPr>
                <w:rFonts w:cstheme="minorHAnsi"/>
                <w:szCs w:val="22"/>
              </w:rPr>
              <w:t>TMJ</w:t>
            </w:r>
          </w:p>
        </w:tc>
        <w:tc>
          <w:tcPr>
            <w:tcW w:w="7383" w:type="dxa"/>
          </w:tcPr>
          <w:p w14:paraId="230C16E1" w14:textId="173505A7" w:rsidR="00A90C13" w:rsidRPr="005F62F4" w:rsidRDefault="00E54AF1" w:rsidP="000B163D">
            <w:pPr>
              <w:pStyle w:val="TableText"/>
              <w:cnfStyle w:val="000000000000" w:firstRow="0" w:lastRow="0" w:firstColumn="0" w:lastColumn="0" w:oddVBand="0" w:evenVBand="0" w:oddHBand="0" w:evenHBand="0" w:firstRowFirstColumn="0" w:firstRowLastColumn="0" w:lastRowFirstColumn="0" w:lastRowLastColumn="0"/>
              <w:rPr>
                <w:rFonts w:cstheme="minorHAnsi"/>
                <w:szCs w:val="22"/>
              </w:rPr>
            </w:pPr>
            <w:r w:rsidRPr="005F62F4">
              <w:rPr>
                <w:rFonts w:cstheme="minorHAnsi"/>
                <w:szCs w:val="22"/>
              </w:rPr>
              <w:t>t</w:t>
            </w:r>
            <w:r w:rsidR="00D56081" w:rsidRPr="005F62F4">
              <w:rPr>
                <w:rFonts w:cstheme="minorHAnsi"/>
                <w:szCs w:val="22"/>
              </w:rPr>
              <w:t>emporomandibular joint</w:t>
            </w:r>
          </w:p>
        </w:tc>
      </w:tr>
      <w:tr w:rsidR="00270242" w:rsidRPr="005F62F4" w14:paraId="6FD87F75" w14:textId="77777777" w:rsidTr="00FE715A">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689" w:type="dxa"/>
          </w:tcPr>
          <w:p w14:paraId="43203DF9" w14:textId="77777777" w:rsidR="00270242" w:rsidRPr="005F62F4" w:rsidRDefault="00270242" w:rsidP="000B163D">
            <w:pPr>
              <w:pStyle w:val="TableText"/>
              <w:rPr>
                <w:rFonts w:cstheme="minorHAnsi"/>
                <w:szCs w:val="22"/>
              </w:rPr>
            </w:pPr>
            <w:r w:rsidRPr="005F62F4">
              <w:rPr>
                <w:rFonts w:cstheme="minorHAnsi"/>
                <w:szCs w:val="22"/>
              </w:rPr>
              <w:t>the review</w:t>
            </w:r>
          </w:p>
        </w:tc>
        <w:tc>
          <w:tcPr>
            <w:tcW w:w="7383" w:type="dxa"/>
          </w:tcPr>
          <w:p w14:paraId="46F63EEA" w14:textId="2CDBD278" w:rsidR="00270242" w:rsidRPr="005F62F4" w:rsidRDefault="0011394C" w:rsidP="000B163D">
            <w:pPr>
              <w:pStyle w:val="TableText"/>
              <w:cnfStyle w:val="000000010000" w:firstRow="0" w:lastRow="0" w:firstColumn="0" w:lastColumn="0" w:oddVBand="0" w:evenVBand="0" w:oddHBand="0" w:evenHBand="1" w:firstRowFirstColumn="0" w:firstRowLastColumn="0" w:lastRowFirstColumn="0" w:lastRowLastColumn="0"/>
              <w:rPr>
                <w:rFonts w:cstheme="minorHAnsi"/>
                <w:szCs w:val="22"/>
              </w:rPr>
            </w:pPr>
            <w:r w:rsidRPr="005F62F4">
              <w:rPr>
                <w:rFonts w:cstheme="minorHAnsi"/>
                <w:szCs w:val="22"/>
              </w:rPr>
              <w:t>r</w:t>
            </w:r>
            <w:r w:rsidR="00270242" w:rsidRPr="005F62F4">
              <w:rPr>
                <w:rFonts w:cstheme="minorHAnsi"/>
                <w:szCs w:val="22"/>
              </w:rPr>
              <w:t xml:space="preserve">eview of surgical guides and </w:t>
            </w:r>
            <w:proofErr w:type="spellStart"/>
            <w:r w:rsidR="00270242" w:rsidRPr="005F62F4">
              <w:rPr>
                <w:rFonts w:cstheme="minorHAnsi"/>
                <w:szCs w:val="22"/>
              </w:rPr>
              <w:t>biomodels</w:t>
            </w:r>
            <w:proofErr w:type="spellEnd"/>
            <w:r w:rsidR="00270242" w:rsidRPr="005F62F4">
              <w:rPr>
                <w:rFonts w:cstheme="minorHAnsi"/>
                <w:szCs w:val="22"/>
              </w:rPr>
              <w:t xml:space="preserve"> </w:t>
            </w:r>
            <w:r w:rsidRPr="005F62F4">
              <w:rPr>
                <w:rFonts w:cstheme="minorHAnsi"/>
                <w:szCs w:val="22"/>
              </w:rPr>
              <w:t>(this review)</w:t>
            </w:r>
          </w:p>
        </w:tc>
      </w:tr>
      <w:tr w:rsidR="00270242" w:rsidRPr="005F62F4" w14:paraId="4F8FEF3F" w14:textId="77777777" w:rsidTr="00FE715A">
        <w:trPr>
          <w:trHeight w:val="170"/>
        </w:trPr>
        <w:tc>
          <w:tcPr>
            <w:cnfStyle w:val="001000000000" w:firstRow="0" w:lastRow="0" w:firstColumn="1" w:lastColumn="0" w:oddVBand="0" w:evenVBand="0" w:oddHBand="0" w:evenHBand="0" w:firstRowFirstColumn="0" w:firstRowLastColumn="0" w:lastRowFirstColumn="0" w:lastRowLastColumn="0"/>
            <w:tcW w:w="1689" w:type="dxa"/>
          </w:tcPr>
          <w:p w14:paraId="5F9E8D49" w14:textId="3819FD51" w:rsidR="00270242" w:rsidRPr="005F62F4" w:rsidRDefault="00270242" w:rsidP="000B163D">
            <w:pPr>
              <w:pStyle w:val="TableText"/>
              <w:rPr>
                <w:rFonts w:cstheme="minorHAnsi"/>
                <w:szCs w:val="22"/>
              </w:rPr>
            </w:pPr>
            <w:proofErr w:type="spellStart"/>
            <w:r w:rsidRPr="005F62F4">
              <w:rPr>
                <w:rFonts w:cstheme="minorHAnsi"/>
                <w:szCs w:val="22"/>
              </w:rPr>
              <w:t>T</w:t>
            </w:r>
            <w:r w:rsidR="00220CA1" w:rsidRPr="005F62F4">
              <w:rPr>
                <w:rFonts w:cstheme="minorHAnsi"/>
                <w:szCs w:val="22"/>
              </w:rPr>
              <w:t>o</w:t>
            </w:r>
            <w:r w:rsidRPr="005F62F4">
              <w:rPr>
                <w:rFonts w:cstheme="minorHAnsi"/>
                <w:szCs w:val="22"/>
              </w:rPr>
              <w:t>R</w:t>
            </w:r>
            <w:proofErr w:type="spellEnd"/>
          </w:p>
        </w:tc>
        <w:tc>
          <w:tcPr>
            <w:tcW w:w="7383" w:type="dxa"/>
          </w:tcPr>
          <w:p w14:paraId="609F0501" w14:textId="78F0173D" w:rsidR="00270242" w:rsidRPr="005F62F4" w:rsidRDefault="0011394C" w:rsidP="000B163D">
            <w:pPr>
              <w:pStyle w:val="TableText"/>
              <w:cnfStyle w:val="000000000000" w:firstRow="0" w:lastRow="0" w:firstColumn="0" w:lastColumn="0" w:oddVBand="0" w:evenVBand="0" w:oddHBand="0" w:evenHBand="0" w:firstRowFirstColumn="0" w:firstRowLastColumn="0" w:lastRowFirstColumn="0" w:lastRowLastColumn="0"/>
              <w:rPr>
                <w:rFonts w:cstheme="minorHAnsi"/>
                <w:szCs w:val="22"/>
              </w:rPr>
            </w:pPr>
            <w:r w:rsidRPr="005F62F4">
              <w:rPr>
                <w:rFonts w:cstheme="minorHAnsi"/>
                <w:szCs w:val="22"/>
              </w:rPr>
              <w:t>t</w:t>
            </w:r>
            <w:r w:rsidR="00270242" w:rsidRPr="005F62F4">
              <w:rPr>
                <w:rFonts w:cstheme="minorHAnsi"/>
                <w:szCs w:val="22"/>
              </w:rPr>
              <w:t>erm of reference</w:t>
            </w:r>
          </w:p>
        </w:tc>
      </w:tr>
      <w:tr w:rsidR="00270242" w:rsidRPr="005F62F4" w14:paraId="47D292ED" w14:textId="77777777" w:rsidTr="00FE715A">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689" w:type="dxa"/>
          </w:tcPr>
          <w:p w14:paraId="5FDA35B4" w14:textId="77777777" w:rsidR="00270242" w:rsidRPr="005F62F4" w:rsidRDefault="00270242" w:rsidP="000B163D">
            <w:pPr>
              <w:pStyle w:val="TableText"/>
            </w:pPr>
            <w:r w:rsidRPr="005F62F4">
              <w:t>VSP</w:t>
            </w:r>
          </w:p>
        </w:tc>
        <w:tc>
          <w:tcPr>
            <w:tcW w:w="7383" w:type="dxa"/>
          </w:tcPr>
          <w:p w14:paraId="514B10DB" w14:textId="238B2507" w:rsidR="00270242" w:rsidRPr="005F62F4" w:rsidRDefault="0011394C" w:rsidP="000B163D">
            <w:pPr>
              <w:pStyle w:val="TableText"/>
              <w:cnfStyle w:val="000000010000" w:firstRow="0" w:lastRow="0" w:firstColumn="0" w:lastColumn="0" w:oddVBand="0" w:evenVBand="0" w:oddHBand="0" w:evenHBand="1" w:firstRowFirstColumn="0" w:firstRowLastColumn="0" w:lastRowFirstColumn="0" w:lastRowLastColumn="0"/>
            </w:pPr>
            <w:r w:rsidRPr="005F62F4">
              <w:t>v</w:t>
            </w:r>
            <w:r w:rsidR="00270242" w:rsidRPr="005F62F4">
              <w:t xml:space="preserve">irtual </w:t>
            </w:r>
            <w:r w:rsidRPr="005F62F4">
              <w:t>s</w:t>
            </w:r>
            <w:r w:rsidR="00270242" w:rsidRPr="005F62F4">
              <w:t xml:space="preserve">urgical </w:t>
            </w:r>
            <w:r w:rsidRPr="005F62F4">
              <w:t>p</w:t>
            </w:r>
            <w:r w:rsidR="00270242" w:rsidRPr="005F62F4">
              <w:t xml:space="preserve">lanning </w:t>
            </w:r>
          </w:p>
        </w:tc>
      </w:tr>
    </w:tbl>
    <w:p w14:paraId="15EA7979" w14:textId="64E9A699" w:rsidR="00D8346E" w:rsidRPr="005F62F4" w:rsidRDefault="00D8346E" w:rsidP="00261AF0"/>
    <w:p w14:paraId="12E73464" w14:textId="77777777" w:rsidR="00A15BC1" w:rsidRPr="005F62F4" w:rsidRDefault="00A15BC1" w:rsidP="00261AF0">
      <w:pPr>
        <w:sectPr w:rsidR="00A15BC1" w:rsidRPr="005F62F4" w:rsidSect="006653A9">
          <w:pgSz w:w="11906" w:h="16838"/>
          <w:pgMar w:top="1134" w:right="1134" w:bottom="1134" w:left="1440" w:header="708" w:footer="708" w:gutter="0"/>
          <w:pgNumType w:fmt="lowerRoman"/>
          <w:cols w:space="708"/>
          <w:titlePg/>
          <w:docGrid w:linePitch="360"/>
        </w:sectPr>
      </w:pPr>
    </w:p>
    <w:p w14:paraId="0992B5D9" w14:textId="1D41A9FB" w:rsidR="00B14CBF" w:rsidRPr="005F62F4" w:rsidRDefault="00904D22" w:rsidP="00904219">
      <w:pPr>
        <w:pStyle w:val="TOCHeading"/>
      </w:pPr>
      <w:bookmarkStart w:id="21" w:name="_Toc120178283"/>
      <w:r w:rsidRPr="005F62F4">
        <w:lastRenderedPageBreak/>
        <w:t>Glossary</w:t>
      </w:r>
      <w:bookmarkEnd w:id="21"/>
    </w:p>
    <w:tbl>
      <w:tblPr>
        <w:tblStyle w:val="SGB"/>
        <w:tblW w:w="9296" w:type="dxa"/>
        <w:tblLook w:val="01E0" w:firstRow="1" w:lastRow="1" w:firstColumn="1" w:lastColumn="1" w:noHBand="0" w:noVBand="0"/>
      </w:tblPr>
      <w:tblGrid>
        <w:gridCol w:w="2552"/>
        <w:gridCol w:w="6744"/>
      </w:tblGrid>
      <w:tr w:rsidR="00E762D9" w:rsidRPr="005F62F4" w14:paraId="0707B17A" w14:textId="77777777" w:rsidTr="008B2B11">
        <w:trPr>
          <w:cnfStyle w:val="100000000000" w:firstRow="1" w:lastRow="0" w:firstColumn="0" w:lastColumn="0" w:oddVBand="0" w:evenVBand="0" w:oddHBand="0" w:evenHBand="0" w:firstRowFirstColumn="0" w:firstRowLastColumn="0" w:lastRowFirstColumn="0" w:lastRowLastColumn="0"/>
          <w:trHeight w:val="411"/>
        </w:trPr>
        <w:tc>
          <w:tcPr>
            <w:cnfStyle w:val="001000000000" w:firstRow="0" w:lastRow="0" w:firstColumn="1" w:lastColumn="0" w:oddVBand="0" w:evenVBand="0" w:oddHBand="0" w:evenHBand="0" w:firstRowFirstColumn="0" w:firstRowLastColumn="0" w:lastRowFirstColumn="0" w:lastRowLastColumn="0"/>
            <w:tcW w:w="2552" w:type="dxa"/>
          </w:tcPr>
          <w:p w14:paraId="5C5707FE" w14:textId="14CBCF72" w:rsidR="009B56EE" w:rsidRPr="005F62F4" w:rsidRDefault="00D8346E" w:rsidP="00270242">
            <w:pPr>
              <w:pStyle w:val="TableText"/>
              <w:rPr>
                <w:rFonts w:cstheme="minorHAnsi"/>
                <w:sz w:val="22"/>
                <w:szCs w:val="28"/>
              </w:rPr>
            </w:pPr>
            <w:bookmarkStart w:id="22" w:name="ColumnTitle_2"/>
            <w:r w:rsidRPr="005F62F4">
              <w:rPr>
                <w:rFonts w:cstheme="minorHAnsi"/>
                <w:sz w:val="22"/>
                <w:szCs w:val="28"/>
              </w:rPr>
              <w:t>Term</w:t>
            </w:r>
          </w:p>
        </w:tc>
        <w:tc>
          <w:tcPr>
            <w:cnfStyle w:val="000100000000" w:firstRow="0" w:lastRow="0" w:firstColumn="0" w:lastColumn="1" w:oddVBand="0" w:evenVBand="0" w:oddHBand="0" w:evenHBand="0" w:firstRowFirstColumn="0" w:firstRowLastColumn="0" w:lastRowFirstColumn="0" w:lastRowLastColumn="0"/>
            <w:tcW w:w="6744" w:type="dxa"/>
          </w:tcPr>
          <w:p w14:paraId="11DA8407" w14:textId="1235B146" w:rsidR="009B56EE" w:rsidRPr="005F62F4" w:rsidRDefault="00D8346E" w:rsidP="00270242">
            <w:pPr>
              <w:pStyle w:val="TableText"/>
              <w:rPr>
                <w:rFonts w:cstheme="minorHAnsi"/>
                <w:sz w:val="22"/>
                <w:szCs w:val="28"/>
              </w:rPr>
            </w:pPr>
            <w:r w:rsidRPr="005F62F4">
              <w:rPr>
                <w:rFonts w:cstheme="minorHAnsi"/>
                <w:sz w:val="22"/>
                <w:szCs w:val="28"/>
              </w:rPr>
              <w:t>Meaning</w:t>
            </w:r>
            <w:r w:rsidR="00777386" w:rsidRPr="005F62F4">
              <w:rPr>
                <w:rFonts w:cstheme="minorHAnsi"/>
                <w:sz w:val="22"/>
                <w:szCs w:val="28"/>
              </w:rPr>
              <w:t xml:space="preserve"> </w:t>
            </w:r>
          </w:p>
        </w:tc>
      </w:tr>
      <w:bookmarkEnd w:id="22"/>
      <w:tr w:rsidR="00DA75A4" w:rsidRPr="005F62F4" w14:paraId="64EE9031" w14:textId="77777777" w:rsidTr="008B2B11">
        <w:tblPrEx>
          <w:tblLook w:val="0620" w:firstRow="1" w:lastRow="0" w:firstColumn="0" w:lastColumn="0" w:noHBand="1" w:noVBand="1"/>
        </w:tblPrEx>
        <w:trPr>
          <w:trHeight w:val="170"/>
        </w:trPr>
        <w:tc>
          <w:tcPr>
            <w:tcW w:w="2552" w:type="dxa"/>
          </w:tcPr>
          <w:p w14:paraId="1F2F9E18" w14:textId="594BE208" w:rsidR="00DA75A4" w:rsidRPr="005F62F4" w:rsidRDefault="00DA75A4" w:rsidP="00270242">
            <w:pPr>
              <w:pStyle w:val="TableText"/>
              <w:rPr>
                <w:rFonts w:cstheme="minorHAnsi"/>
                <w:sz w:val="22"/>
                <w:szCs w:val="28"/>
              </w:rPr>
            </w:pPr>
            <w:r w:rsidRPr="005F62F4">
              <w:rPr>
                <w:rFonts w:cstheme="minorHAnsi"/>
                <w:sz w:val="22"/>
                <w:szCs w:val="28"/>
              </w:rPr>
              <w:t>Additive manufacturing</w:t>
            </w:r>
          </w:p>
        </w:tc>
        <w:tc>
          <w:tcPr>
            <w:tcW w:w="6744" w:type="dxa"/>
          </w:tcPr>
          <w:p w14:paraId="00D0CA53" w14:textId="139455AA" w:rsidR="00DA75A4" w:rsidRPr="005F62F4" w:rsidRDefault="00CA7EDE" w:rsidP="00270242">
            <w:pPr>
              <w:pStyle w:val="TableText"/>
              <w:rPr>
                <w:rFonts w:cstheme="minorHAnsi"/>
                <w:sz w:val="22"/>
                <w:szCs w:val="28"/>
              </w:rPr>
            </w:pPr>
            <w:r w:rsidRPr="005F62F4">
              <w:rPr>
                <w:sz w:val="22"/>
                <w:szCs w:val="28"/>
              </w:rPr>
              <w:t xml:space="preserve">Additive manufacturing or </w:t>
            </w:r>
            <w:r w:rsidR="00300ADE" w:rsidRPr="005F62F4">
              <w:rPr>
                <w:sz w:val="22"/>
                <w:szCs w:val="28"/>
              </w:rPr>
              <w:t>3-dimensional</w:t>
            </w:r>
            <w:r w:rsidR="00083023" w:rsidRPr="005F62F4">
              <w:rPr>
                <w:sz w:val="22"/>
                <w:szCs w:val="28"/>
              </w:rPr>
              <w:t xml:space="preserve"> (</w:t>
            </w:r>
            <w:r w:rsidRPr="005F62F4">
              <w:rPr>
                <w:sz w:val="22"/>
                <w:szCs w:val="28"/>
              </w:rPr>
              <w:t>3D</w:t>
            </w:r>
            <w:r w:rsidR="00083023" w:rsidRPr="005F62F4">
              <w:rPr>
                <w:sz w:val="22"/>
                <w:szCs w:val="28"/>
              </w:rPr>
              <w:t>)</w:t>
            </w:r>
            <w:r w:rsidRPr="005F62F4">
              <w:rPr>
                <w:sz w:val="22"/>
                <w:szCs w:val="28"/>
              </w:rPr>
              <w:t xml:space="preserve"> </w:t>
            </w:r>
            <w:r w:rsidR="009D5EFD" w:rsidRPr="005F62F4">
              <w:rPr>
                <w:sz w:val="22"/>
                <w:szCs w:val="28"/>
              </w:rPr>
              <w:t>printing</w:t>
            </w:r>
            <w:r w:rsidRPr="005F62F4">
              <w:rPr>
                <w:sz w:val="22"/>
                <w:szCs w:val="28"/>
              </w:rPr>
              <w:t xml:space="preserve"> is the process by which </w:t>
            </w:r>
            <w:r w:rsidR="00BB4C7E" w:rsidRPr="005F62F4">
              <w:rPr>
                <w:sz w:val="22"/>
                <w:szCs w:val="28"/>
              </w:rPr>
              <w:t>3D</w:t>
            </w:r>
            <w:r w:rsidRPr="005F62F4">
              <w:rPr>
                <w:sz w:val="22"/>
                <w:szCs w:val="28"/>
              </w:rPr>
              <w:t xml:space="preserve"> objects are created, layer by layer, from raw materials guided by a digital file.</w:t>
            </w:r>
            <w:r w:rsidR="00AC4334" w:rsidRPr="005F62F4">
              <w:rPr>
                <w:sz w:val="22"/>
                <w:szCs w:val="28"/>
              </w:rPr>
              <w:t xml:space="preserve"> Although there is some disagreement in </w:t>
            </w:r>
            <w:r w:rsidR="00BB4C7E" w:rsidRPr="005F62F4">
              <w:rPr>
                <w:sz w:val="22"/>
                <w:szCs w:val="28"/>
              </w:rPr>
              <w:t>3D</w:t>
            </w:r>
            <w:r w:rsidR="00586FB2" w:rsidRPr="005F62F4">
              <w:rPr>
                <w:sz w:val="22"/>
                <w:szCs w:val="28"/>
              </w:rPr>
              <w:t xml:space="preserve"> printing </w:t>
            </w:r>
            <w:r w:rsidR="00AC4334" w:rsidRPr="005F62F4">
              <w:rPr>
                <w:sz w:val="22"/>
                <w:szCs w:val="28"/>
              </w:rPr>
              <w:t>terminology,</w:t>
            </w:r>
            <w:r w:rsidR="00AC4334" w:rsidRPr="005F62F4">
              <w:rPr>
                <w:rStyle w:val="A4"/>
                <w:rFonts w:cs="Tahoma"/>
                <w:color w:val="auto"/>
                <w:sz w:val="22"/>
                <w:szCs w:val="28"/>
              </w:rPr>
              <w:t xml:space="preserve"> </w:t>
            </w:r>
            <w:r w:rsidR="00AC4334" w:rsidRPr="005F62F4">
              <w:rPr>
                <w:sz w:val="22"/>
                <w:szCs w:val="28"/>
              </w:rPr>
              <w:t xml:space="preserve">generally, additive manufacturing describes large-scale, industrial-grade printers used to print at a commercial scale, whereas </w:t>
            </w:r>
            <w:r w:rsidR="00BB4C7E" w:rsidRPr="005F62F4">
              <w:rPr>
                <w:sz w:val="22"/>
                <w:szCs w:val="28"/>
              </w:rPr>
              <w:t>3D</w:t>
            </w:r>
            <w:r w:rsidR="00586FB2" w:rsidRPr="005F62F4">
              <w:rPr>
                <w:sz w:val="22"/>
                <w:szCs w:val="28"/>
              </w:rPr>
              <w:t xml:space="preserve"> printing</w:t>
            </w:r>
            <w:r w:rsidR="00AC4334" w:rsidRPr="005F62F4">
              <w:rPr>
                <w:sz w:val="22"/>
                <w:szCs w:val="28"/>
              </w:rPr>
              <w:t xml:space="preserve"> describes smaller printing, using consumer-grade printers (e.g. for rapid prototyping or models)</w:t>
            </w:r>
            <w:r w:rsidR="00636837" w:rsidRPr="005F62F4">
              <w:rPr>
                <w:sz w:val="22"/>
                <w:szCs w:val="28"/>
              </w:rPr>
              <w:t xml:space="preserve"> </w:t>
            </w:r>
            <w:r w:rsidR="0098000E" w:rsidRPr="005F62F4">
              <w:rPr>
                <w:sz w:val="22"/>
                <w:szCs w:val="28"/>
              </w:rPr>
              <w:fldChar w:fldCharType="begin" w:fldLock="1"/>
            </w:r>
            <w:r w:rsidR="0027319B" w:rsidRPr="005F62F4">
              <w:rPr>
                <w:sz w:val="22"/>
                <w:szCs w:val="28"/>
              </w:rPr>
              <w:instrText>ADDIN CSL_CITATION {"citationItems":[{"id":"ITEM-1","itemData":{"DOI":"10.1007/s00405-016-4246-4","ISSN":"14344726","PMID":"27501991","abstract":"The purpose of the study was to compare the accuracy of computer-assisted surgery (CAS) and the traditional freehand technique for fibular free flap mandibular reconstruction as well as to evaluate the accuracy of the CAS planning. The medical records of 18 patients who underwent mandibular reconstruction with fibular free flap were reviewed. The CAS group (n = 7) benefited from virtual surgical planning and custom patient-specific plates and surgical cutting guides. The Control group (n = 11) was treated by conventional surgery. Morphometric comparison was done by calculating the differences in specific linear and angular parameters on pre- and postoperative CT-scans for both groups by using ProPlan CMF® software. Symmetry was also assessed by calculating the ratio of the affected versus the nonaffected side. In the CAS group, planned and postoperative CT-scans were compared to evaluate accuracy. The morphometric comparison showed no statistically significant differences between the groups except for the axial angle on the nonaffected side (mean difference 1.0° in the CAS group versus 2.9° in the Control group; p = 0.03). Ratios of the affected side over the nonaffected side showed no differences between the two groups. In the CAS group, the accuracy assessment showed a mean distance deviation of 2.3 mm for mandibular osteotomies and 1.9 mm for fibular osteotomies. Our results indicated that CAS and the conventional freehand techniques were comparable in their ability to provide a satisfactory morphological fibular free flap mandibular reconstruction. Moreover, the accuracy of the CAS technique was within the range reported in the literature.","author":[{"dropping-particle":"","family":"Maesschalck","given":"Thibault","non-dropping-particle":"De","parse-names":false,"suffix":""},{"dropping-particle":"","family":"Courvoisier","given":"Delphine S.","non-dropping-particle":"","parse-names":false,"suffix":""},{"dropping-particle":"","family":"Scolozzi","given":"Paolo","non-dropping-particle":"","parse-names":false,"suffix":""}],"container-title":"European Archives of Oto-Rhino-Laryngology","id":"ITEM-1","issue":"1","issued":{"date-parts":[["2017"]]},"page":"517-526","publisher":"Springer Berlin Heidelberg","title":"Computer-assisted versus traditional freehand technique in fibular free flap mandibular reconstruction: a morphological comparative study","type":"article-journal","volume":"274"},"uris":["http://www.mendeley.com/documents/?uuid=64051382-fd8e-4a81-b12e-d47b7dfb4632"]},{"id":"ITEM-2","itemData":{"DOI":"10.1016/j.ijom.2016.06.015","ISSN":"13990020","PMID":"27427546","abstract":"This study evaluated the accuracy of mandibular reconstruction and assessed clinical outcomes in both virtual planning and conventional surgery patients. ProPlan CMF surgical planning software was used preoperatively in the virtual planning group. In the virtual planning group, fibula flaps were harvested and osteotomized, and the mandibles were resected and reconstructed assisted by the prefabricated cutting guides and templates. The main outcome measures included the operative time, postoperative computed tomography (CT) scans, facial appearance, and occlusal function. The ischemia time and total operation time were shorter in the virtual planning group than in the conventional surgery group. High precision with the use of the cutting guides and templates was found for both the fibula and mandible, and a good fit was noted among the pre-bent plate, mandible, and fibula segments in the virtual planning group. Postoperative CT scans also showed excellent mandibular contours of the fibula flaps in accordance with virtual plans in the virtual planning group. This study demonstrated that virtual surgical planning was able to achieve more accurate mandibular reconstruction than conventional surgery. The use of prefabricated cutting guides and plates makes fibula flap moulding and placement easier, minimizes the operating time, and improves clinical outcomes.","author":[{"dropping-particle":"","family":"Wang","given":"YY","non-dropping-particle":"","parse-names":false,"suffix":""},{"dropping-particle":"","family":"Zhang","given":"HQ","non-dropping-particle":"","parse-names":false,"suffix":""},{"dropping-particle":"","family":"Fan","given":"S","non-dropping-particle":"","parse-names":false,"suffix":""},{"dropping-particle":"","family":"Zhang","given":"DM","non-dropping-particle":"","parse-names":false,"suffix":""},{"dropping-particle":"","family":"Huang","given":"ZQ","non-dropping-particle":"","parse-names":false,"suffix":""},{"dropping-particle":"","family":"Chen","given":"WL","non-dropping-particle":"","parse-names":false,"suffix":""},{"dropping-particle":"","family":"Ye","given":"JT","non-dropping-particle":"","parse-names":false,"suffix":""},{"dropping-particle":"","family":"Li","given":"JS","non-dropping-particle":"","parse-names":false,"suffix":""}],"container-title":"International Journal of Oral and Maxillofacial Surgery","id":"ITEM-2","issue":"11","issued":{"date-parts":[["2016"]]},"page":"1400-1405","title":"Mandibular reconstruction with the vascularized fibula flap: comparison of virtual planning surgery and conventional surgery","type":"article-journal","volume":"45"},"uris":["http://www.mendeley.com/documents/?uuid=e87eedd3-61ff-461b-b132-cf6d306f1d27"]},{"id":"ITEM-3","itemData":{"DOI":"10.1016/j.jcms.2016.08.014","ISSN":"18784119","PMID":"27713054","abstract":"While vascularized iliac crest flap is widely used for mandibular reconstruction, it is often challenging to predict the clinical outcome in a conventional operation based solely on the surgeon's experience. Herein, we aimed to improve this procedure by using computer-assisted techniques. We retrospectively reviewed records of 45 patients with mandibular tumor who underwent mandibulectomy and reconstruction with vascularized iliac crest flap from January 2008 to June 2015. Computer-assisted techniques including virtual plan, stereomodel, pre-bending individual reconstruction plate, and surgical navigation were used in 15 patients. The other 30 patients underwent conventional surgery based on the surgeon's experience. Condyle position and reconstructed mandible contour were evaluated based on post-operative computed tomography. Complications were also evaluated during the follow-up. Flap success rate of the patients was 95.6% (43/45). Those in the computer-assisted group presented with better outcomes of the mandibular contour (p = 0.001) and condyle position (p = 0.026). Further, they also experienced beneficial dental restoration (p = 0.011) and postoperative appearance (p = 0.028). The difference between postoperative effect and virtual plan was within the acceptable error margin. There is no significant difference in the incidence of post-operative complications. Thus, computer-assisted techniques can improve the clinical outcomes of mandibular reconstruction with vascularized iliac crest flap.","author":[{"dropping-particle":"","family":"Zhang","given":"Wen Bo","non-dropping-particle":"","parse-names":false,"suffix":""},{"dropping-particle":"","family":"Yu","given":"Yao","non-dropping-particle":"","parse-names":false,"suffix":""},{"dropping-particle":"","family":"Wang","given":"Yang","non-dropping-particle":"","parse-names":false,"suffix":""},{"dropping-particle":"","family":"Mao","given":"Chi","non-dropping-particle":"","parse-names":false,"suffix":""},{"dropping-particle":"","family":"Liu","given":"Xiao Jing","non-dropping-particle":"","parse-names":false,"suffix":""},{"dropping-particle":"Bin","family":"Guo","given":"Chuan","non-dropping-particle":"","parse-names":false,"suffix":""},{"dropping-particle":"","family":"Yu","given":"Guang Yan","non-dropping-particle":"","parse-names":false,"suffix":""},{"dropping-particle":"","family":"Peng","given":"Xin","non-dropping-particle":"","parse-names":false,"suffix":""}],"container-title":"Journal of Cranio-Maxillofacial Surgery","id":"ITEM-3","issue":"11","issued":{"date-parts":[["2016"]]},"page":"1819-1827","publisher":"Elsevier Ltd","title":"Improving the accuracy of mandibular reconstruction with vascularized iliac crest flap: role of computer-assisted techniques","type":"article-journal","volume":"44"},"uris":["http://www.mendeley.com/documents/?uuid=b6c1247a-92eb-4842-a3cd-812e1d7fe7e0"]},{"id":"ITEM-4","itemData":{"PMID":"31211545","author":[{"dropping-particle":"","family":"Mason","given":"Jeff","non-dropping-particle":"","parse-names":false,"suffix":""},{"dropping-particle":"","family":"Visintini","given":"Sarah","non-dropping-particle":"","parse-names":false,"suffix":""},{"dropping-particle":"","family":"Quay","given":"Teo","non-dropping-particle":"","parse-names":false,"suffix":""}],"collection-title":"CADTH Issues in Emerging Health Technologies","container-title":"CADTH Issues in Emerging Health Technologies","id":"ITEM-4","issued":{"date-parts":[["2019"]]},"publisher":"Issue 175","publisher-place":"Ottawa","title":"An overview of clinical applications of 3-D printing and bioprinting","type":"book","volume":"175"},"uris":["http://www.mendeley.com/documents/?uuid=caf06370-867f-43ad-a104-c884404f81ee"]}],"mendeley":{"formattedCitation":"(De Maesschalck et al. 2017; Mason et al. 2019; Wang, Zhang, et al. 2016; Zhang et al. 2016)","manualFormatting":"(e.g. De Maesschalck et al. 2017; Mason et al. 2019; Wang, Zhang, et al. 2016; Zhang et al. 2016)","plainTextFormattedCitation":"(De Maesschalck et al. 2017; Mason et al. 2019; Wang, Zhang, et al. 2016; Zhang et al. 2016)","previouslyFormattedCitation":"(De Maesschalck et al. 2017; Mason et al. 2019; Wang, Zhang, et al. 2016; Zhang et al. 2016)"},"properties":{"noteIndex":0},"schema":"https://github.com/citation-style-language/schema/raw/master/csl-citation.json"}</w:instrText>
            </w:r>
            <w:r w:rsidR="0098000E" w:rsidRPr="005F62F4">
              <w:rPr>
                <w:sz w:val="22"/>
                <w:szCs w:val="28"/>
              </w:rPr>
              <w:fldChar w:fldCharType="separate"/>
            </w:r>
            <w:r w:rsidR="0098000E" w:rsidRPr="005F62F4">
              <w:rPr>
                <w:noProof/>
                <w:sz w:val="22"/>
                <w:szCs w:val="28"/>
              </w:rPr>
              <w:t>(e.g. De Maesschalck et al. 2017; Mason et al. 2019; Wang, Zhang, et al. 2016; Zhang et al. 2016)</w:t>
            </w:r>
            <w:r w:rsidR="0098000E" w:rsidRPr="005F62F4">
              <w:rPr>
                <w:sz w:val="22"/>
                <w:szCs w:val="28"/>
              </w:rPr>
              <w:fldChar w:fldCharType="end"/>
            </w:r>
            <w:r w:rsidR="00B10A05" w:rsidRPr="005F62F4">
              <w:rPr>
                <w:sz w:val="22"/>
                <w:szCs w:val="28"/>
              </w:rPr>
              <w:t>.</w:t>
            </w:r>
            <w:r w:rsidR="009D7B86" w:rsidRPr="005F62F4">
              <w:rPr>
                <w:sz w:val="22"/>
                <w:szCs w:val="28"/>
              </w:rPr>
              <w:t xml:space="preserve"> </w:t>
            </w:r>
          </w:p>
        </w:tc>
      </w:tr>
      <w:tr w:rsidR="00771B76" w:rsidRPr="005F62F4" w14:paraId="2012F387" w14:textId="77777777" w:rsidTr="008B2B11">
        <w:tblPrEx>
          <w:tblLook w:val="0620" w:firstRow="1" w:lastRow="0" w:firstColumn="0" w:lastColumn="0" w:noHBand="1" w:noVBand="1"/>
        </w:tblPrEx>
        <w:trPr>
          <w:trHeight w:val="170"/>
        </w:trPr>
        <w:tc>
          <w:tcPr>
            <w:tcW w:w="2552" w:type="dxa"/>
          </w:tcPr>
          <w:p w14:paraId="60A54555" w14:textId="3BC20783" w:rsidR="00771B76" w:rsidRPr="005F62F4" w:rsidRDefault="00771B76" w:rsidP="00270242">
            <w:pPr>
              <w:pStyle w:val="TableText"/>
              <w:rPr>
                <w:rFonts w:cstheme="minorHAnsi"/>
                <w:sz w:val="22"/>
                <w:szCs w:val="28"/>
              </w:rPr>
            </w:pPr>
            <w:r w:rsidRPr="005F62F4">
              <w:rPr>
                <w:rFonts w:cstheme="minorHAnsi"/>
                <w:sz w:val="22"/>
                <w:szCs w:val="28"/>
              </w:rPr>
              <w:t>Alveolar ridge augmentation</w:t>
            </w:r>
          </w:p>
        </w:tc>
        <w:tc>
          <w:tcPr>
            <w:tcW w:w="6744" w:type="dxa"/>
          </w:tcPr>
          <w:p w14:paraId="3F61A565" w14:textId="6070333F" w:rsidR="00771B76" w:rsidRPr="005F62F4" w:rsidRDefault="00771B76" w:rsidP="00270242">
            <w:pPr>
              <w:pStyle w:val="TableText"/>
              <w:rPr>
                <w:sz w:val="22"/>
                <w:szCs w:val="28"/>
              </w:rPr>
            </w:pPr>
            <w:r w:rsidRPr="005F62F4">
              <w:rPr>
                <w:sz w:val="22"/>
                <w:szCs w:val="28"/>
              </w:rPr>
              <w:t xml:space="preserve">Surgical procedure to adjust the alveolar ridge </w:t>
            </w:r>
            <w:r w:rsidR="00A55EBD" w:rsidRPr="005F62F4">
              <w:rPr>
                <w:sz w:val="22"/>
                <w:szCs w:val="28"/>
              </w:rPr>
              <w:t>(</w:t>
            </w:r>
            <w:r w:rsidRPr="005F62F4">
              <w:rPr>
                <w:sz w:val="22"/>
                <w:szCs w:val="28"/>
              </w:rPr>
              <w:t>i.e. the bony ridge of the upper and lower jaws</w:t>
            </w:r>
            <w:r w:rsidR="00A55EBD" w:rsidRPr="005F62F4">
              <w:rPr>
                <w:sz w:val="22"/>
                <w:szCs w:val="28"/>
              </w:rPr>
              <w:t>)</w:t>
            </w:r>
            <w:r w:rsidRPr="005F62F4">
              <w:rPr>
                <w:sz w:val="22"/>
                <w:szCs w:val="28"/>
              </w:rPr>
              <w:t>, to help improve the size and shape of the ridge in preparation for a dental implant</w:t>
            </w:r>
            <w:r w:rsidR="00ED6103" w:rsidRPr="005F62F4">
              <w:rPr>
                <w:sz w:val="22"/>
                <w:szCs w:val="28"/>
              </w:rPr>
              <w:t xml:space="preserve"> </w:t>
            </w:r>
            <w:r w:rsidR="00ED6103" w:rsidRPr="005F62F4">
              <w:rPr>
                <w:sz w:val="22"/>
                <w:szCs w:val="28"/>
              </w:rPr>
              <w:fldChar w:fldCharType="begin" w:fldLock="1"/>
            </w:r>
            <w:r w:rsidR="00F7188B" w:rsidRPr="005F62F4">
              <w:rPr>
                <w:sz w:val="22"/>
                <w:szCs w:val="28"/>
              </w:rPr>
              <w:instrText>ADDIN CSL_CITATION {"citationItems":[{"id":"ITEM-1","itemData":{"URL":"https://www.icoi.org/glossary/alveolar-ridge-augmentation/","accessed":{"date-parts":[["2022","11","11"]]},"author":[{"dropping-particle":"","family":"International Congress of Oral Implantologists","given":"","non-dropping-particle":"","parse-names":false,"suffix":""}],"id":"ITEM-1","issued":{"date-parts":[["0"]]},"title":"Alveolar ridge augmentation","type":"webpage"},"uris":["http://www.mendeley.com/documents/?uuid=40c2b469-4e76-312f-a084-df759c64f51c"]}],"mendeley":{"formattedCitation":"(International Congress of Oral Implantologists n.d.)","plainTextFormattedCitation":"(International Congress of Oral Implantologists n.d.)","previouslyFormattedCitation":"(International Congress of Oral Implantologists n.d.)"},"properties":{"noteIndex":0},"schema":"https://github.com/citation-style-language/schema/raw/master/csl-citation.json"}</w:instrText>
            </w:r>
            <w:r w:rsidR="00ED6103" w:rsidRPr="005F62F4">
              <w:rPr>
                <w:sz w:val="22"/>
                <w:szCs w:val="28"/>
              </w:rPr>
              <w:fldChar w:fldCharType="separate"/>
            </w:r>
            <w:r w:rsidR="00ED6103" w:rsidRPr="005F62F4">
              <w:rPr>
                <w:noProof/>
                <w:sz w:val="22"/>
                <w:szCs w:val="28"/>
              </w:rPr>
              <w:t>(International Congress of Oral Implantologists n.d.)</w:t>
            </w:r>
            <w:r w:rsidR="00ED6103" w:rsidRPr="005F62F4">
              <w:rPr>
                <w:sz w:val="22"/>
                <w:szCs w:val="28"/>
              </w:rPr>
              <w:fldChar w:fldCharType="end"/>
            </w:r>
            <w:r w:rsidR="00B10A05" w:rsidRPr="005F62F4">
              <w:rPr>
                <w:sz w:val="22"/>
                <w:szCs w:val="28"/>
              </w:rPr>
              <w:t>.</w:t>
            </w:r>
          </w:p>
        </w:tc>
      </w:tr>
      <w:tr w:rsidR="004D6DDD" w:rsidRPr="005F62F4" w14:paraId="498A0AF4" w14:textId="77777777" w:rsidTr="008B2B11">
        <w:tblPrEx>
          <w:tblLook w:val="0620" w:firstRow="1" w:lastRow="0" w:firstColumn="0" w:lastColumn="0" w:noHBand="1" w:noVBand="1"/>
        </w:tblPrEx>
        <w:trPr>
          <w:trHeight w:val="170"/>
        </w:trPr>
        <w:tc>
          <w:tcPr>
            <w:tcW w:w="2552" w:type="dxa"/>
          </w:tcPr>
          <w:p w14:paraId="258A856F" w14:textId="1C51B6D9" w:rsidR="004D6DDD" w:rsidRPr="005F62F4" w:rsidRDefault="00D8346E" w:rsidP="00270242">
            <w:pPr>
              <w:pStyle w:val="TableText"/>
              <w:rPr>
                <w:rFonts w:cstheme="minorHAnsi"/>
                <w:sz w:val="22"/>
                <w:szCs w:val="28"/>
              </w:rPr>
            </w:pPr>
            <w:proofErr w:type="spellStart"/>
            <w:r w:rsidRPr="005F62F4">
              <w:rPr>
                <w:rFonts w:cstheme="minorHAnsi"/>
                <w:sz w:val="22"/>
                <w:szCs w:val="28"/>
              </w:rPr>
              <w:t>Biomodel</w:t>
            </w:r>
            <w:proofErr w:type="spellEnd"/>
          </w:p>
        </w:tc>
        <w:tc>
          <w:tcPr>
            <w:tcW w:w="6744" w:type="dxa"/>
          </w:tcPr>
          <w:p w14:paraId="4E2DAE71" w14:textId="28A94A1B" w:rsidR="004D6DDD" w:rsidRPr="005F62F4" w:rsidRDefault="00B61D5D" w:rsidP="00270242">
            <w:pPr>
              <w:pStyle w:val="TableText"/>
              <w:rPr>
                <w:rFonts w:cstheme="minorHAnsi"/>
                <w:sz w:val="22"/>
                <w:szCs w:val="28"/>
              </w:rPr>
            </w:pPr>
            <w:r w:rsidRPr="005F62F4">
              <w:rPr>
                <w:sz w:val="22"/>
                <w:szCs w:val="28"/>
              </w:rPr>
              <w:t>Derived from patient imaging data to replicate the geometry or morphology (i.e.</w:t>
            </w:r>
            <w:r w:rsidR="006E319F" w:rsidRPr="005F62F4">
              <w:rPr>
                <w:sz w:val="22"/>
                <w:szCs w:val="28"/>
              </w:rPr>
              <w:t> </w:t>
            </w:r>
            <w:r w:rsidRPr="005F62F4">
              <w:rPr>
                <w:sz w:val="22"/>
                <w:szCs w:val="28"/>
              </w:rPr>
              <w:t xml:space="preserve">the form or shape) of a biological structure </w:t>
            </w:r>
            <w:r w:rsidRPr="005F62F4">
              <w:rPr>
                <w:sz w:val="22"/>
                <w:szCs w:val="28"/>
              </w:rPr>
              <w:fldChar w:fldCharType="begin" w:fldLock="1"/>
            </w:r>
            <w:r w:rsidR="00F7188B" w:rsidRPr="005F62F4">
              <w:rPr>
                <w:sz w:val="22"/>
                <w:szCs w:val="28"/>
              </w:rPr>
              <w:instrText>ADDIN CSL_CITATION {"citationItems":[{"id":"ITEM-1","itemData":{"DOI":"10.1007/S10439-005-5873-X","ISSN":"00906964","PMID":"16240079","abstract":"In this paper, a definition of a biomodel is presented, based on which different specific types of biomodels are identified, viz., virtual biomodels, computational biomodels, and physical biomodels. The paper then focuses on both physical and virtual biomodels of bone, and presents a review of model generation methodologies, giving examples of typical biomodel applications. The use of macroscale biomodels for such issues as the design and preclinical testing of surgical implants and preoperative planning is discussed. At the microscale, biomodels of trabecular bone are examined and the link with scaffolds for tissue engineering is established. Conclusions are drawn on the state of the art, and the major developments necessary for the continued expansion of the field are identified. Finally, arguments are given on the benefits of integrating the use of the different types of biomodels reviewed in this paper, for the benefit of future research in biomechanics and biomaterials. © 2005 Biomedical Engineering Society.","author":[{"dropping-particle":"","family":"Lohfeld","given":"S.","non-dropping-particle":"","parse-names":false,"suffix":""},{"dropping-particle":"","family":"Barron","given":"V.","non-dropping-particle":"","parse-names":false,"suffix":""},{"dropping-particle":"","family":"McHugh","given":"P. E.","non-dropping-particle":"","parse-names":false,"suffix":""}],"container-title":"Annals of Biomedical Engineering","id":"ITEM-1","issue":"10","issued":{"date-parts":[["2005","10"]]},"page":"1295-1311","title":"Biomodels of bone: a review","type":"article-journal","volume":"33"},"uris":["http://www.mendeley.com/documents/?uuid=91096577-ac72-34e2-bbb9-e7911b331ffc"]}],"mendeley":{"formattedCitation":"(Lohfeld et al. 2005)","plainTextFormattedCitation":"(Lohfeld et al. 2005)","previouslyFormattedCitation":"(Lohfeld et al. 2005)"},"properties":{"noteIndex":0},"schema":"https://github.com/citation-style-language/schema/raw/master/csl-citation.json"}</w:instrText>
            </w:r>
            <w:r w:rsidRPr="005F62F4">
              <w:rPr>
                <w:sz w:val="22"/>
                <w:szCs w:val="28"/>
              </w:rPr>
              <w:fldChar w:fldCharType="separate"/>
            </w:r>
            <w:r w:rsidRPr="005F62F4">
              <w:rPr>
                <w:noProof/>
                <w:sz w:val="22"/>
                <w:szCs w:val="28"/>
              </w:rPr>
              <w:t>(Lohfeld et al. 2005)</w:t>
            </w:r>
            <w:r w:rsidRPr="005F62F4">
              <w:rPr>
                <w:sz w:val="22"/>
                <w:szCs w:val="28"/>
              </w:rPr>
              <w:fldChar w:fldCharType="end"/>
            </w:r>
            <w:r w:rsidRPr="005F62F4">
              <w:rPr>
                <w:sz w:val="22"/>
                <w:szCs w:val="28"/>
              </w:rPr>
              <w:t>.</w:t>
            </w:r>
            <w:r w:rsidR="00E6371E" w:rsidRPr="005F62F4">
              <w:rPr>
                <w:sz w:val="22"/>
                <w:szCs w:val="28"/>
              </w:rPr>
              <w:t xml:space="preserve"> </w:t>
            </w:r>
            <w:proofErr w:type="spellStart"/>
            <w:r w:rsidR="00E6371E" w:rsidRPr="005F62F4">
              <w:rPr>
                <w:sz w:val="22"/>
                <w:szCs w:val="28"/>
              </w:rPr>
              <w:t>Biomodels</w:t>
            </w:r>
            <w:proofErr w:type="spellEnd"/>
            <w:r w:rsidR="00E6371E" w:rsidRPr="005F62F4">
              <w:rPr>
                <w:sz w:val="22"/>
                <w:szCs w:val="28"/>
              </w:rPr>
              <w:t xml:space="preserve"> are used to replicate a patient’s anatomical structures </w:t>
            </w:r>
            <w:r w:rsidR="00F81744" w:rsidRPr="005F62F4">
              <w:rPr>
                <w:sz w:val="22"/>
                <w:szCs w:val="28"/>
              </w:rPr>
              <w:t>which, in a clinical setting, can aid in visualising abnormal or disturbed anatomy, diagnosis, surgical treatment planning and simulation, patient education, designing and fabricating patient-specific prostheses, and can serve as an intra-operative anatomical reference, including for surgeries involving the placement of an implant or prosthesis. They</w:t>
            </w:r>
            <w:r w:rsidR="00F34A88" w:rsidRPr="005F62F4">
              <w:rPr>
                <w:sz w:val="22"/>
                <w:szCs w:val="28"/>
              </w:rPr>
              <w:t xml:space="preserve"> can be</w:t>
            </w:r>
            <w:r w:rsidR="00E6371E" w:rsidRPr="005F62F4">
              <w:rPr>
                <w:sz w:val="22"/>
                <w:szCs w:val="28"/>
              </w:rPr>
              <w:t xml:space="preserve"> either digital representations, or physical 3D-printed models.</w:t>
            </w:r>
          </w:p>
        </w:tc>
      </w:tr>
      <w:tr w:rsidR="009D7B86" w:rsidRPr="005F62F4" w14:paraId="5010830F" w14:textId="77777777" w:rsidTr="008B2B11">
        <w:tblPrEx>
          <w:tblLook w:val="0620" w:firstRow="1" w:lastRow="0" w:firstColumn="0" w:lastColumn="0" w:noHBand="1" w:noVBand="1"/>
        </w:tblPrEx>
        <w:trPr>
          <w:trHeight w:val="170"/>
        </w:trPr>
        <w:tc>
          <w:tcPr>
            <w:tcW w:w="2552" w:type="dxa"/>
          </w:tcPr>
          <w:p w14:paraId="20486830" w14:textId="4B6AE415" w:rsidR="009D7B86" w:rsidRPr="005F62F4" w:rsidRDefault="009D7B86" w:rsidP="00270242">
            <w:pPr>
              <w:pStyle w:val="TableText"/>
              <w:rPr>
                <w:rFonts w:cstheme="minorHAnsi"/>
                <w:sz w:val="22"/>
                <w:szCs w:val="28"/>
              </w:rPr>
            </w:pPr>
            <w:r w:rsidRPr="005F62F4">
              <w:rPr>
                <w:rFonts w:cstheme="minorHAnsi"/>
                <w:sz w:val="22"/>
                <w:szCs w:val="28"/>
              </w:rPr>
              <w:t>Computer</w:t>
            </w:r>
            <w:r w:rsidR="00702721" w:rsidRPr="005F62F4">
              <w:rPr>
                <w:rFonts w:cstheme="minorHAnsi"/>
                <w:sz w:val="22"/>
                <w:szCs w:val="28"/>
              </w:rPr>
              <w:t>-</w:t>
            </w:r>
            <w:r w:rsidR="00E93EBC" w:rsidRPr="005F62F4">
              <w:rPr>
                <w:rFonts w:cstheme="minorHAnsi"/>
                <w:sz w:val="22"/>
                <w:szCs w:val="28"/>
              </w:rPr>
              <w:t xml:space="preserve">assisted </w:t>
            </w:r>
            <w:r w:rsidRPr="005F62F4">
              <w:rPr>
                <w:rFonts w:cstheme="minorHAnsi"/>
                <w:sz w:val="22"/>
                <w:szCs w:val="28"/>
              </w:rPr>
              <w:t>surgery</w:t>
            </w:r>
          </w:p>
        </w:tc>
        <w:tc>
          <w:tcPr>
            <w:tcW w:w="6744" w:type="dxa"/>
          </w:tcPr>
          <w:p w14:paraId="14D1CF75" w14:textId="1B4844E5" w:rsidR="009D7B86" w:rsidRPr="005F62F4" w:rsidRDefault="00546F8C" w:rsidP="00270242">
            <w:pPr>
              <w:pStyle w:val="TableText"/>
              <w:rPr>
                <w:rFonts w:cstheme="minorHAnsi"/>
                <w:sz w:val="22"/>
                <w:szCs w:val="28"/>
              </w:rPr>
            </w:pPr>
            <w:r w:rsidRPr="005F62F4">
              <w:rPr>
                <w:rFonts w:cstheme="minorHAnsi"/>
                <w:sz w:val="22"/>
                <w:szCs w:val="28"/>
              </w:rPr>
              <w:t>The use of computers for planning, performing or assessing surgery</w:t>
            </w:r>
            <w:r w:rsidR="00735C34" w:rsidRPr="005F62F4">
              <w:rPr>
                <w:rFonts w:cstheme="minorHAnsi"/>
                <w:sz w:val="22"/>
                <w:szCs w:val="28"/>
              </w:rPr>
              <w:t>. T</w:t>
            </w:r>
            <w:r w:rsidR="00F507D3" w:rsidRPr="005F62F4">
              <w:rPr>
                <w:rFonts w:cstheme="minorHAnsi"/>
                <w:sz w:val="22"/>
                <w:szCs w:val="28"/>
              </w:rPr>
              <w:t>his can include intraoperati</w:t>
            </w:r>
            <w:r w:rsidR="00735C34" w:rsidRPr="005F62F4">
              <w:rPr>
                <w:rFonts w:cstheme="minorHAnsi"/>
                <w:sz w:val="22"/>
                <w:szCs w:val="28"/>
              </w:rPr>
              <w:t>ve n</w:t>
            </w:r>
            <w:r w:rsidR="00F507D3" w:rsidRPr="005F62F4">
              <w:rPr>
                <w:rFonts w:cstheme="minorHAnsi"/>
                <w:sz w:val="22"/>
                <w:szCs w:val="28"/>
              </w:rPr>
              <w:t xml:space="preserve">avigation, the production of </w:t>
            </w:r>
            <w:r w:rsidR="00735C34" w:rsidRPr="005F62F4">
              <w:rPr>
                <w:rFonts w:cstheme="minorHAnsi"/>
                <w:sz w:val="22"/>
                <w:szCs w:val="28"/>
              </w:rPr>
              <w:t xml:space="preserve">cutting and drill </w:t>
            </w:r>
            <w:r w:rsidR="0097175E" w:rsidRPr="005F62F4">
              <w:rPr>
                <w:rFonts w:cstheme="minorHAnsi"/>
                <w:sz w:val="22"/>
                <w:szCs w:val="28"/>
              </w:rPr>
              <w:t xml:space="preserve">guides </w:t>
            </w:r>
            <w:r w:rsidR="00735C34" w:rsidRPr="005F62F4">
              <w:rPr>
                <w:rFonts w:cstheme="minorHAnsi"/>
                <w:sz w:val="22"/>
                <w:szCs w:val="28"/>
              </w:rPr>
              <w:t>and 3D</w:t>
            </w:r>
            <w:r w:rsidR="006E319F" w:rsidRPr="005F62F4">
              <w:rPr>
                <w:rFonts w:cstheme="minorHAnsi"/>
                <w:sz w:val="22"/>
                <w:szCs w:val="28"/>
              </w:rPr>
              <w:noBreakHyphen/>
            </w:r>
            <w:r w:rsidR="00735C34" w:rsidRPr="005F62F4">
              <w:rPr>
                <w:rFonts w:cstheme="minorHAnsi"/>
                <w:sz w:val="22"/>
                <w:szCs w:val="28"/>
              </w:rPr>
              <w:t xml:space="preserve">printed models, as well as patient-specific implants </w:t>
            </w:r>
            <w:r w:rsidR="00141D1F" w:rsidRPr="005F62F4">
              <w:rPr>
                <w:rFonts w:cstheme="minorHAnsi"/>
                <w:sz w:val="22"/>
                <w:szCs w:val="28"/>
              </w:rPr>
              <w:fldChar w:fldCharType="begin" w:fldLock="1"/>
            </w:r>
            <w:r w:rsidR="00F7188B" w:rsidRPr="005F62F4">
              <w:rPr>
                <w:rFonts w:cstheme="minorHAnsi"/>
                <w:sz w:val="22"/>
                <w:szCs w:val="28"/>
              </w:rPr>
              <w:instrText>ADDIN CSL_CITATION {"citationItems":[{"id":"ITEM-1","itemData":{"URL":"https://surgeryreference.aofoundation.org/cmf/further-reading/cas-computer-assisted-surgery","accessed":{"date-parts":[["2022","11","18"]]},"author":[{"dropping-particle":"","family":"Schramm","given":"Alexander","non-dropping-particle":"","parse-names":false,"suffix":""},{"dropping-particle":"","family":"Metzger","given":"Marc","non-dropping-particle":"","parse-names":false,"suffix":""},{"dropping-particle":"","family":"Gellrich","given":"Nils","non-dropping-particle":"","parse-names":false,"suffix":""},{"dropping-particle":"","family":"Strong","given":"Bradley","non-dropping-particle":"","parse-names":false,"suffix":""}],"container-title":"AO Surgery Reference","id":"ITEM-1","issued":{"date-parts":[["0"]]},"title":"Computer assisted surgery","type":"webpage"},"uris":["http://www.mendeley.com/documents/?uuid=e77d5443-3640-4bcd-9c47-f95d57b71c85"]}],"mendeley":{"formattedCitation":"(Schramm et al. n.d.)","plainTextFormattedCitation":"(Schramm et al. n.d.)","previouslyFormattedCitation":"(Schramm et al. n.d.)"},"properties":{"noteIndex":0},"schema":"https://github.com/citation-style-language/schema/raw/master/csl-citation.json"}</w:instrText>
            </w:r>
            <w:r w:rsidR="00141D1F" w:rsidRPr="005F62F4">
              <w:rPr>
                <w:rFonts w:cstheme="minorHAnsi"/>
                <w:sz w:val="22"/>
                <w:szCs w:val="28"/>
              </w:rPr>
              <w:fldChar w:fldCharType="separate"/>
            </w:r>
            <w:r w:rsidR="00141D1F" w:rsidRPr="005F62F4">
              <w:rPr>
                <w:rFonts w:cstheme="minorHAnsi"/>
                <w:noProof/>
                <w:sz w:val="22"/>
                <w:szCs w:val="28"/>
              </w:rPr>
              <w:t>(Schramm et al. n.d.)</w:t>
            </w:r>
            <w:r w:rsidR="00141D1F" w:rsidRPr="005F62F4">
              <w:rPr>
                <w:rFonts w:cstheme="minorHAnsi"/>
                <w:sz w:val="22"/>
                <w:szCs w:val="28"/>
              </w:rPr>
              <w:fldChar w:fldCharType="end"/>
            </w:r>
            <w:r w:rsidR="00735C34" w:rsidRPr="005F62F4">
              <w:rPr>
                <w:rFonts w:cstheme="minorHAnsi"/>
                <w:sz w:val="22"/>
                <w:szCs w:val="28"/>
              </w:rPr>
              <w:t xml:space="preserve">. </w:t>
            </w:r>
          </w:p>
        </w:tc>
      </w:tr>
      <w:tr w:rsidR="004D6DDD" w:rsidRPr="005F62F4" w14:paraId="6DEBC6B2" w14:textId="77777777" w:rsidTr="008B2B11">
        <w:tblPrEx>
          <w:tblLook w:val="0620" w:firstRow="1" w:lastRow="0" w:firstColumn="0" w:lastColumn="0" w:noHBand="1" w:noVBand="1"/>
        </w:tblPrEx>
        <w:trPr>
          <w:trHeight w:val="170"/>
        </w:trPr>
        <w:tc>
          <w:tcPr>
            <w:tcW w:w="2552" w:type="dxa"/>
          </w:tcPr>
          <w:p w14:paraId="4FD30DAE" w14:textId="15E62683" w:rsidR="004D6DDD" w:rsidRPr="005F62F4" w:rsidRDefault="00964B12" w:rsidP="00270242">
            <w:pPr>
              <w:pStyle w:val="TableText"/>
              <w:rPr>
                <w:rFonts w:cstheme="minorHAnsi"/>
                <w:sz w:val="22"/>
                <w:szCs w:val="28"/>
              </w:rPr>
            </w:pPr>
            <w:r w:rsidRPr="005F62F4">
              <w:rPr>
                <w:rFonts w:cstheme="minorHAnsi"/>
                <w:sz w:val="22"/>
                <w:szCs w:val="28"/>
              </w:rPr>
              <w:t>Cutting guide</w:t>
            </w:r>
          </w:p>
        </w:tc>
        <w:tc>
          <w:tcPr>
            <w:tcW w:w="6744" w:type="dxa"/>
          </w:tcPr>
          <w:p w14:paraId="6EC09A49" w14:textId="5EBCDE8E" w:rsidR="004D6DDD" w:rsidRPr="005F62F4" w:rsidRDefault="00F36846" w:rsidP="00270242">
            <w:pPr>
              <w:pStyle w:val="TableText"/>
              <w:rPr>
                <w:rFonts w:cstheme="minorHAnsi"/>
                <w:sz w:val="22"/>
                <w:szCs w:val="28"/>
              </w:rPr>
            </w:pPr>
            <w:r w:rsidRPr="005F62F4">
              <w:rPr>
                <w:rFonts w:cstheme="minorHAnsi"/>
                <w:sz w:val="22"/>
                <w:szCs w:val="28"/>
              </w:rPr>
              <w:t xml:space="preserve">A surgical guide </w:t>
            </w:r>
            <w:r w:rsidR="00216153" w:rsidRPr="005F62F4">
              <w:rPr>
                <w:rFonts w:cstheme="minorHAnsi"/>
                <w:sz w:val="22"/>
                <w:szCs w:val="28"/>
              </w:rPr>
              <w:t xml:space="preserve">which </w:t>
            </w:r>
            <w:r w:rsidRPr="005F62F4">
              <w:rPr>
                <w:rFonts w:cstheme="minorHAnsi"/>
                <w:sz w:val="22"/>
                <w:szCs w:val="28"/>
              </w:rPr>
              <w:t>is customised to a</w:t>
            </w:r>
            <w:r w:rsidR="00216153" w:rsidRPr="005F62F4">
              <w:rPr>
                <w:rFonts w:cstheme="minorHAnsi"/>
                <w:sz w:val="22"/>
                <w:szCs w:val="28"/>
              </w:rPr>
              <w:t xml:space="preserve"> patient’s anatomy </w:t>
            </w:r>
            <w:r w:rsidRPr="005F62F4">
              <w:rPr>
                <w:rFonts w:cstheme="minorHAnsi"/>
                <w:sz w:val="22"/>
                <w:szCs w:val="28"/>
              </w:rPr>
              <w:t>to enable</w:t>
            </w:r>
            <w:r w:rsidR="00216153" w:rsidRPr="005F62F4">
              <w:rPr>
                <w:rFonts w:cstheme="minorHAnsi"/>
                <w:sz w:val="22"/>
                <w:szCs w:val="28"/>
              </w:rPr>
              <w:t xml:space="preserve"> ‘intra-operative reproduction of pre-planned osteotomy cuts’</w:t>
            </w:r>
            <w:r w:rsidRPr="005F62F4">
              <w:rPr>
                <w:rFonts w:cstheme="minorHAnsi"/>
                <w:sz w:val="22"/>
                <w:szCs w:val="28"/>
              </w:rPr>
              <w:t xml:space="preserve"> </w:t>
            </w:r>
            <w:r w:rsidR="00535C2C" w:rsidRPr="005F62F4">
              <w:rPr>
                <w:rFonts w:cstheme="minorHAnsi"/>
                <w:sz w:val="22"/>
                <w:szCs w:val="28"/>
              </w:rPr>
              <w:fldChar w:fldCharType="begin" w:fldLock="1"/>
            </w:r>
            <w:r w:rsidR="00354D54" w:rsidRPr="005F62F4">
              <w:rPr>
                <w:rFonts w:cstheme="minorHAnsi"/>
                <w:sz w:val="22"/>
                <w:szCs w:val="28"/>
              </w:rPr>
              <w:instrText>ADDIN CSL_CITATION {"citationItems":[{"id":"ITEM-1","itemData":{"DOI":"10.1007/s12663-017-1067-y","abstract":"Introduction Technological advances in 3D printing can dramatically improve orthognathic surgical planning workflow. Custom positioning and cutting guides enable intraoperative reproduction of pre-planned osteotomy cuts and can result in greater surgical accuracy and patient safety. Objectives This short paper describes the use of freeware (some with open-source) combined with in-house 3D printing facilities to produce reliable, affordable osteotomy cutting guides. Methods Open-source software (3D Slicer) is used to visualise and segment three-dimensional planning models from imported conventional computed tomography (CT) scans. Freeware (Autodesk Meshmixer Ó) allows digital manipulation of maxillary and mandibular components to plan precise osteotomy cuts. Bespoke cutting guides allow exact intraoperative positioning. These are printed in polylactic acid (PLA) using a fused-filament fabrication 3D printer. Fixation of the osteotomised segments is achieved using plating templates and four pre-adapted plates with planned screw holes over the thickest bone. We print maxilla/ mandible models with desired movements incorporated to use as a plating template. Results A 3D printer capable of reproducing a complete skull can be procured for £1000, with material costs in the region of £10 per case. Our production of models and guides typically takes less than 24 hours of total print time. The entire production process is frequently less than three days. Externally sourced models and guides cost significantly more, frequently encountering costs totalling £1500-£2000 for models and guides for a bimaxillary osteotomy. Conclusion Three-dimensional guided surgical planning utilising custom cutting guides enables the surgeon to determine optimal orientation of osteotomy cuts and better predict the skeletal maxilla/mandible relationship following surgery. The learning curve to develop proficiency using planning software and printer settings is offset by increased surgical predictability and reduced theatre time, making this form of planning a worthy investment.","author":[{"dropping-particle":"","family":"Mcallister","given":"Peter","non-dropping-particle":"","parse-names":false,"suffix":""},{"dropping-particle":"","family":"Watson","given":"Melanie","non-dropping-particle":"","parse-names":false,"suffix":""},{"dropping-particle":"","family":"Burke","given":"Ezra","non-dropping-particle":"","parse-names":false,"suffix":""}],"container-title":"Journal Maxillofacial Oral Surgery","id":"ITEM-1","issue":"1","issued":{"date-parts":[["2018"]]},"page":"112-114","title":"A cost-effective, in-house, positioning and cutting guide system for orthognathic surgery","type":"article-journal","volume":"17"},"uris":["http://www.mendeley.com/documents/?uuid=b9fe269f-a331-37fa-a0e8-52f7426cf4f2","http://www.mendeley.com/documents/?uuid=c116e875-44e2-439b-8615-3a5b3ed551ee"]}],"mendeley":{"formattedCitation":"(Mcallister et al. 2018)","plainTextFormattedCitation":"(Mcallister et al. 2018)","previouslyFormattedCitation":"(Mcallister et al. 2018)"},"properties":{"noteIndex":0},"schema":"https://github.com/citation-style-language/schema/raw/master/csl-citation.json"}</w:instrText>
            </w:r>
            <w:r w:rsidR="00535C2C" w:rsidRPr="005F62F4">
              <w:rPr>
                <w:rFonts w:cstheme="minorHAnsi"/>
                <w:sz w:val="22"/>
                <w:szCs w:val="28"/>
              </w:rPr>
              <w:fldChar w:fldCharType="separate"/>
            </w:r>
            <w:r w:rsidR="00535C2C" w:rsidRPr="005F62F4">
              <w:rPr>
                <w:rFonts w:cstheme="minorHAnsi"/>
                <w:noProof/>
                <w:sz w:val="22"/>
                <w:szCs w:val="28"/>
              </w:rPr>
              <w:t>(Mcallister et al. 2018)</w:t>
            </w:r>
            <w:r w:rsidR="00535C2C" w:rsidRPr="005F62F4">
              <w:rPr>
                <w:rFonts w:cstheme="minorHAnsi"/>
                <w:sz w:val="22"/>
                <w:szCs w:val="28"/>
              </w:rPr>
              <w:fldChar w:fldCharType="end"/>
            </w:r>
            <w:r w:rsidR="00B10A05" w:rsidRPr="005F62F4">
              <w:rPr>
                <w:rFonts w:cstheme="minorHAnsi"/>
                <w:sz w:val="22"/>
                <w:szCs w:val="28"/>
              </w:rPr>
              <w:t>.</w:t>
            </w:r>
          </w:p>
        </w:tc>
      </w:tr>
      <w:tr w:rsidR="00D84F28" w:rsidRPr="005F62F4" w14:paraId="5658D86A" w14:textId="77777777" w:rsidTr="008B2B11">
        <w:tblPrEx>
          <w:tblLook w:val="0620" w:firstRow="1" w:lastRow="0" w:firstColumn="0" w:lastColumn="0" w:noHBand="1" w:noVBand="1"/>
        </w:tblPrEx>
        <w:trPr>
          <w:trHeight w:val="170"/>
        </w:trPr>
        <w:tc>
          <w:tcPr>
            <w:tcW w:w="2552" w:type="dxa"/>
          </w:tcPr>
          <w:p w14:paraId="0358F061" w14:textId="4F28618A" w:rsidR="00D84F28" w:rsidRPr="005F62F4" w:rsidRDefault="00D84F28" w:rsidP="00270242">
            <w:pPr>
              <w:pStyle w:val="TableText"/>
              <w:rPr>
                <w:rFonts w:cstheme="minorHAnsi"/>
                <w:sz w:val="22"/>
                <w:szCs w:val="28"/>
              </w:rPr>
            </w:pPr>
            <w:r w:rsidRPr="005F62F4">
              <w:rPr>
                <w:rFonts w:cstheme="minorHAnsi"/>
                <w:sz w:val="22"/>
                <w:szCs w:val="28"/>
              </w:rPr>
              <w:t xml:space="preserve">Hospital </w:t>
            </w:r>
            <w:proofErr w:type="spellStart"/>
            <w:r w:rsidRPr="005F62F4">
              <w:rPr>
                <w:rFonts w:cstheme="minorHAnsi"/>
                <w:sz w:val="22"/>
                <w:szCs w:val="28"/>
              </w:rPr>
              <w:t>Casemix</w:t>
            </w:r>
            <w:proofErr w:type="spellEnd"/>
            <w:r w:rsidRPr="005F62F4">
              <w:rPr>
                <w:rFonts w:cstheme="minorHAnsi"/>
                <w:sz w:val="22"/>
                <w:szCs w:val="28"/>
              </w:rPr>
              <w:t xml:space="preserve"> Protocol</w:t>
            </w:r>
            <w:r w:rsidR="007A32FF" w:rsidRPr="005F62F4">
              <w:rPr>
                <w:rFonts w:cstheme="minorHAnsi"/>
                <w:sz w:val="22"/>
                <w:szCs w:val="28"/>
              </w:rPr>
              <w:t> </w:t>
            </w:r>
            <w:r w:rsidRPr="005F62F4">
              <w:rPr>
                <w:rFonts w:cstheme="minorHAnsi"/>
                <w:sz w:val="22"/>
                <w:szCs w:val="28"/>
              </w:rPr>
              <w:t>1 Data</w:t>
            </w:r>
          </w:p>
        </w:tc>
        <w:tc>
          <w:tcPr>
            <w:tcW w:w="6744" w:type="dxa"/>
          </w:tcPr>
          <w:p w14:paraId="060A5B2F" w14:textId="3A2B4C1F" w:rsidR="00D84F28" w:rsidRPr="005F62F4" w:rsidRDefault="00C254DA" w:rsidP="00270242">
            <w:pPr>
              <w:pStyle w:val="TableText"/>
              <w:rPr>
                <w:rFonts w:cstheme="minorHAnsi"/>
                <w:sz w:val="22"/>
                <w:szCs w:val="28"/>
              </w:rPr>
            </w:pPr>
            <w:r w:rsidRPr="005F62F4">
              <w:rPr>
                <w:rFonts w:cstheme="minorHAnsi"/>
                <w:sz w:val="22"/>
                <w:szCs w:val="28"/>
              </w:rPr>
              <w:t xml:space="preserve">The Hospital </w:t>
            </w:r>
            <w:proofErr w:type="spellStart"/>
            <w:r w:rsidRPr="005F62F4">
              <w:rPr>
                <w:rFonts w:cstheme="minorHAnsi"/>
                <w:sz w:val="22"/>
                <w:szCs w:val="28"/>
              </w:rPr>
              <w:t>Casemix</w:t>
            </w:r>
            <w:proofErr w:type="spellEnd"/>
            <w:r w:rsidRPr="005F62F4">
              <w:rPr>
                <w:rFonts w:cstheme="minorHAnsi"/>
                <w:sz w:val="22"/>
                <w:szCs w:val="28"/>
              </w:rPr>
              <w:t xml:space="preserve"> Protocol 1 specified the financial, clinical and demographic data that hospitals must provide private health insurers and private health insurers must provide the Department, in respect of each episode of admitted hospital treatment for which a benefit has been paid. </w:t>
            </w:r>
          </w:p>
        </w:tc>
      </w:tr>
      <w:tr w:rsidR="00B9736C" w:rsidRPr="005F62F4" w14:paraId="09231E1A" w14:textId="77777777" w:rsidTr="008B2B11">
        <w:tblPrEx>
          <w:tblLook w:val="0620" w:firstRow="1" w:lastRow="0" w:firstColumn="0" w:lastColumn="0" w:noHBand="1" w:noVBand="1"/>
        </w:tblPrEx>
        <w:trPr>
          <w:trHeight w:val="170"/>
        </w:trPr>
        <w:tc>
          <w:tcPr>
            <w:tcW w:w="2552" w:type="dxa"/>
          </w:tcPr>
          <w:p w14:paraId="2AA279DF" w14:textId="2AB82307" w:rsidR="00B9736C" w:rsidRPr="005F62F4" w:rsidRDefault="00B9736C" w:rsidP="00270242">
            <w:pPr>
              <w:pStyle w:val="TableText"/>
              <w:rPr>
                <w:rFonts w:cstheme="minorHAnsi"/>
                <w:sz w:val="22"/>
                <w:szCs w:val="28"/>
              </w:rPr>
            </w:pPr>
            <w:r w:rsidRPr="005F62F4">
              <w:rPr>
                <w:rFonts w:cstheme="minorHAnsi"/>
                <w:sz w:val="22"/>
                <w:szCs w:val="28"/>
              </w:rPr>
              <w:t>Hospital separation</w:t>
            </w:r>
          </w:p>
        </w:tc>
        <w:tc>
          <w:tcPr>
            <w:tcW w:w="6744" w:type="dxa"/>
          </w:tcPr>
          <w:p w14:paraId="362A203A" w14:textId="72DA8F66" w:rsidR="00B9736C" w:rsidRPr="005F62F4" w:rsidRDefault="00971B7C" w:rsidP="00270242">
            <w:pPr>
              <w:pStyle w:val="TableText"/>
              <w:rPr>
                <w:rFonts w:cstheme="minorHAnsi"/>
                <w:sz w:val="22"/>
                <w:szCs w:val="28"/>
              </w:rPr>
            </w:pPr>
            <w:r w:rsidRPr="005F62F4">
              <w:rPr>
                <w:color w:val="212529"/>
                <w:sz w:val="22"/>
                <w:szCs w:val="28"/>
              </w:rPr>
              <w:t xml:space="preserve">The administrative process by which a hospital records the cessation of an episode of care for a patient within one hospital stay </w:t>
            </w:r>
            <w:r w:rsidR="00F47C90" w:rsidRPr="005F62F4">
              <w:rPr>
                <w:color w:val="212529"/>
                <w:sz w:val="22"/>
                <w:szCs w:val="28"/>
              </w:rPr>
              <w:fldChar w:fldCharType="begin" w:fldLock="1"/>
            </w:r>
            <w:r w:rsidR="003C7ED8" w:rsidRPr="005F62F4">
              <w:rPr>
                <w:color w:val="212529"/>
                <w:sz w:val="22"/>
                <w:szCs w:val="28"/>
              </w:rPr>
              <w:instrText>ADDIN CSL_CITATION {"citationItems":[{"id":"ITEM-1","itemData":{"URL":"https://meteor.aihw.gov.au/content/327268","accessed":{"date-parts":[["2022","11","25"]]},"author":[{"dropping-particle":"","family":"Australian Institute of Health and Welfare","given":"","non-dropping-particle":"","parse-names":false,"suffix":""}],"id":"ITEM-1","issued":{"date-parts":[["0"]]},"title":"Separation","type":"webpage"},"uris":["http://www.mendeley.com/documents/?uuid=c377a076-f19b-359d-93ec-e1822f74934e"]}],"mendeley":{"formattedCitation":"(Australian Institute of Health and Welfare n.d.)","plainTextFormattedCitation":"(Australian Institute of Health and Welfare n.d.)","previouslyFormattedCitation":"(Australian Institute of Health and Welfare n.d.)"},"properties":{"noteIndex":0},"schema":"https://github.com/citation-style-language/schema/raw/master/csl-citation.json"}</w:instrText>
            </w:r>
            <w:r w:rsidR="00F47C90" w:rsidRPr="005F62F4">
              <w:rPr>
                <w:color w:val="212529"/>
                <w:sz w:val="22"/>
                <w:szCs w:val="28"/>
              </w:rPr>
              <w:fldChar w:fldCharType="separate"/>
            </w:r>
            <w:r w:rsidR="00F47C90" w:rsidRPr="005F62F4">
              <w:rPr>
                <w:noProof/>
                <w:color w:val="212529"/>
                <w:sz w:val="22"/>
                <w:szCs w:val="28"/>
              </w:rPr>
              <w:t>(Australian Institute of Health and Welfare n.d.)</w:t>
            </w:r>
            <w:r w:rsidR="00F47C90" w:rsidRPr="005F62F4">
              <w:rPr>
                <w:color w:val="212529"/>
                <w:sz w:val="22"/>
                <w:szCs w:val="28"/>
              </w:rPr>
              <w:fldChar w:fldCharType="end"/>
            </w:r>
            <w:r w:rsidRPr="005F62F4">
              <w:rPr>
                <w:color w:val="212529"/>
                <w:sz w:val="22"/>
                <w:szCs w:val="28"/>
              </w:rPr>
              <w:t>.</w:t>
            </w:r>
          </w:p>
        </w:tc>
      </w:tr>
      <w:tr w:rsidR="00610C16" w:rsidRPr="005F62F4" w14:paraId="67EEED06" w14:textId="77777777" w:rsidTr="008B2B11">
        <w:tblPrEx>
          <w:tblLook w:val="0620" w:firstRow="1" w:lastRow="0" w:firstColumn="0" w:lastColumn="0" w:noHBand="1" w:noVBand="1"/>
        </w:tblPrEx>
        <w:trPr>
          <w:trHeight w:val="170"/>
        </w:trPr>
        <w:tc>
          <w:tcPr>
            <w:tcW w:w="2552" w:type="dxa"/>
          </w:tcPr>
          <w:p w14:paraId="131A5B21" w14:textId="7822AA9A" w:rsidR="00610C16" w:rsidRPr="005F62F4" w:rsidRDefault="00610C16" w:rsidP="00270242">
            <w:pPr>
              <w:pStyle w:val="TableText"/>
              <w:rPr>
                <w:rFonts w:cstheme="minorHAnsi"/>
                <w:sz w:val="22"/>
                <w:szCs w:val="28"/>
              </w:rPr>
            </w:pPr>
            <w:r w:rsidRPr="005F62F4">
              <w:rPr>
                <w:rFonts w:cstheme="minorHAnsi"/>
                <w:sz w:val="22"/>
                <w:szCs w:val="28"/>
              </w:rPr>
              <w:t>International Classification of Disease</w:t>
            </w:r>
          </w:p>
        </w:tc>
        <w:tc>
          <w:tcPr>
            <w:tcW w:w="6744" w:type="dxa"/>
          </w:tcPr>
          <w:p w14:paraId="7526AE05" w14:textId="09227B90" w:rsidR="00610C16" w:rsidRPr="005F62F4" w:rsidRDefault="006A5F2F" w:rsidP="00270242">
            <w:pPr>
              <w:pStyle w:val="TableText"/>
              <w:rPr>
                <w:rFonts w:cstheme="minorHAnsi"/>
                <w:sz w:val="22"/>
                <w:szCs w:val="28"/>
              </w:rPr>
            </w:pPr>
            <w:r w:rsidRPr="005F62F4">
              <w:rPr>
                <w:rFonts w:cstheme="minorHAnsi"/>
                <w:sz w:val="22"/>
                <w:szCs w:val="28"/>
              </w:rPr>
              <w:t>ICD provides a method of classifying diseases, injuries and causes of death</w:t>
            </w:r>
            <w:r w:rsidR="00493399" w:rsidRPr="005F62F4">
              <w:rPr>
                <w:rFonts w:cstheme="minorHAnsi"/>
                <w:sz w:val="22"/>
                <w:szCs w:val="28"/>
              </w:rPr>
              <w:t>. It</w:t>
            </w:r>
            <w:r w:rsidR="00D8093F" w:rsidRPr="005F62F4">
              <w:rPr>
                <w:rFonts w:cstheme="minorHAnsi"/>
                <w:sz w:val="22"/>
                <w:szCs w:val="28"/>
              </w:rPr>
              <w:t xml:space="preserve"> is the main basis for health recording and statistics in primary, secondary and tertiary care.</w:t>
            </w:r>
          </w:p>
        </w:tc>
      </w:tr>
      <w:tr w:rsidR="00233F8C" w:rsidRPr="005F62F4" w14:paraId="31E8C2EF" w14:textId="77777777" w:rsidTr="008B2B11">
        <w:tblPrEx>
          <w:tblLook w:val="0620" w:firstRow="1" w:lastRow="0" w:firstColumn="0" w:lastColumn="0" w:noHBand="1" w:noVBand="1"/>
        </w:tblPrEx>
        <w:trPr>
          <w:trHeight w:val="170"/>
        </w:trPr>
        <w:tc>
          <w:tcPr>
            <w:tcW w:w="2552" w:type="dxa"/>
          </w:tcPr>
          <w:p w14:paraId="48B029E5" w14:textId="7CE497F4" w:rsidR="00233F8C" w:rsidRPr="005F62F4" w:rsidRDefault="00233F8C" w:rsidP="00270242">
            <w:pPr>
              <w:pStyle w:val="TableText"/>
              <w:rPr>
                <w:rFonts w:cstheme="minorHAnsi"/>
                <w:sz w:val="22"/>
                <w:szCs w:val="28"/>
              </w:rPr>
            </w:pPr>
            <w:r w:rsidRPr="005F62F4">
              <w:rPr>
                <w:rFonts w:cstheme="minorHAnsi"/>
                <w:sz w:val="22"/>
                <w:szCs w:val="28"/>
              </w:rPr>
              <w:lastRenderedPageBreak/>
              <w:t>Orthognathic surgery</w:t>
            </w:r>
          </w:p>
        </w:tc>
        <w:tc>
          <w:tcPr>
            <w:tcW w:w="6744" w:type="dxa"/>
          </w:tcPr>
          <w:p w14:paraId="294407B7" w14:textId="036FE5FA" w:rsidR="00233F8C" w:rsidRPr="005F62F4" w:rsidRDefault="00233F8C" w:rsidP="00270242">
            <w:pPr>
              <w:pStyle w:val="TableText"/>
              <w:rPr>
                <w:rFonts w:cstheme="minorHAnsi"/>
                <w:sz w:val="22"/>
                <w:szCs w:val="28"/>
              </w:rPr>
            </w:pPr>
            <w:r w:rsidRPr="005F62F4">
              <w:rPr>
                <w:rFonts w:cstheme="minorHAnsi"/>
                <w:sz w:val="22"/>
                <w:szCs w:val="28"/>
              </w:rPr>
              <w:t xml:space="preserve">Corrective jaw surgery to </w:t>
            </w:r>
            <w:r w:rsidR="001E614E" w:rsidRPr="005F62F4">
              <w:rPr>
                <w:rFonts w:cstheme="minorHAnsi"/>
                <w:sz w:val="22"/>
                <w:szCs w:val="28"/>
              </w:rPr>
              <w:t>‘</w:t>
            </w:r>
            <w:r w:rsidRPr="005F62F4">
              <w:rPr>
                <w:rFonts w:cstheme="minorHAnsi"/>
                <w:sz w:val="22"/>
                <w:szCs w:val="28"/>
              </w:rPr>
              <w:t>realign disproportioned jaw bones to enable the best possible bite for mastication, speech and to balance the facial profile</w:t>
            </w:r>
            <w:r w:rsidR="001E614E" w:rsidRPr="005F62F4">
              <w:rPr>
                <w:rFonts w:cstheme="minorHAnsi"/>
                <w:sz w:val="22"/>
                <w:szCs w:val="28"/>
              </w:rPr>
              <w:t>’</w:t>
            </w:r>
            <w:r w:rsidRPr="005F62F4">
              <w:rPr>
                <w:rFonts w:cstheme="minorHAnsi"/>
                <w:sz w:val="22"/>
                <w:szCs w:val="28"/>
              </w:rPr>
              <w:t xml:space="preserve"> </w:t>
            </w:r>
            <w:r w:rsidR="00EE315B" w:rsidRPr="005F62F4">
              <w:rPr>
                <w:rFonts w:cstheme="minorHAnsi"/>
                <w:sz w:val="22"/>
                <w:szCs w:val="28"/>
              </w:rPr>
              <w:fldChar w:fldCharType="begin" w:fldLock="1"/>
            </w:r>
            <w:r w:rsidR="0030648F" w:rsidRPr="005F62F4">
              <w:rPr>
                <w:rFonts w:cstheme="minorHAnsi"/>
                <w:sz w:val="22"/>
                <w:szCs w:val="28"/>
              </w:rPr>
              <w:instrText>ADDIN CSL_CITATION {"citationItems":[{"id":"ITEM-1","itemData":{"URL":"https://www.anzaoms.org/procedures/corrective-jaw-surgery/","accessed":{"date-parts":[["2022","11","9"]]},"author":[{"dropping-particle":"","family":"Australian and New Zealand Association of Oral and Maxillofacial Surgeons","given":"","non-dropping-particle":"","parse-names":false,"suffix":""}],"id":"ITEM-1","issued":{"date-parts":[["0"]]},"title":"Corrective Jaw Surgery - ANZAOMS","type":"webpage"},"uris":["http://www.mendeley.com/documents/?uuid=e72914ca-cbd7-336c-8564-c70be3bc3cf3"]}],"mendeley":{"formattedCitation":"(Australian and New Zealand Association of Oral and Maxillofacial Surgeons n.d.)","plainTextFormattedCitation":"(Australian and New Zealand Association of Oral and Maxillofacial Surgeons n.d.)","previouslyFormattedCitation":"(Australian and New Zealand Association of Oral and Maxillofacial Surgeons n.d.)"},"properties":{"noteIndex":0},"schema":"https://github.com/citation-style-language/schema/raw/master/csl-citation.json"}</w:instrText>
            </w:r>
            <w:r w:rsidR="00EE315B" w:rsidRPr="005F62F4">
              <w:rPr>
                <w:rFonts w:cstheme="minorHAnsi"/>
                <w:sz w:val="22"/>
                <w:szCs w:val="28"/>
              </w:rPr>
              <w:fldChar w:fldCharType="separate"/>
            </w:r>
            <w:r w:rsidR="00EE315B" w:rsidRPr="005F62F4">
              <w:rPr>
                <w:rFonts w:cstheme="minorHAnsi"/>
                <w:noProof/>
                <w:sz w:val="22"/>
                <w:szCs w:val="28"/>
              </w:rPr>
              <w:t>(Australian and New Zealand Association of Oral and Maxillofacial Surgeons n.d.)</w:t>
            </w:r>
            <w:r w:rsidR="00EE315B" w:rsidRPr="005F62F4">
              <w:rPr>
                <w:rFonts w:cstheme="minorHAnsi"/>
                <w:sz w:val="22"/>
                <w:szCs w:val="28"/>
              </w:rPr>
              <w:fldChar w:fldCharType="end"/>
            </w:r>
            <w:r w:rsidRPr="005F62F4">
              <w:rPr>
                <w:rFonts w:cstheme="minorHAnsi"/>
                <w:sz w:val="22"/>
                <w:szCs w:val="28"/>
              </w:rPr>
              <w:t xml:space="preserve"> Can be single or double jaw surgery.</w:t>
            </w:r>
          </w:p>
        </w:tc>
      </w:tr>
      <w:tr w:rsidR="00535C2C" w:rsidRPr="005F62F4" w14:paraId="545272E3" w14:textId="77777777" w:rsidTr="008B2B11">
        <w:tblPrEx>
          <w:tblLook w:val="0620" w:firstRow="1" w:lastRow="0" w:firstColumn="0" w:lastColumn="0" w:noHBand="1" w:noVBand="1"/>
        </w:tblPrEx>
        <w:trPr>
          <w:trHeight w:val="170"/>
        </w:trPr>
        <w:tc>
          <w:tcPr>
            <w:tcW w:w="2552" w:type="dxa"/>
          </w:tcPr>
          <w:p w14:paraId="744B93A4" w14:textId="7A6E0C1A" w:rsidR="00535C2C" w:rsidRPr="005F62F4" w:rsidRDefault="00535C2C" w:rsidP="00270242">
            <w:pPr>
              <w:pStyle w:val="TableText"/>
              <w:rPr>
                <w:rFonts w:cstheme="minorHAnsi"/>
                <w:sz w:val="22"/>
                <w:szCs w:val="28"/>
              </w:rPr>
            </w:pPr>
            <w:r w:rsidRPr="005F62F4">
              <w:rPr>
                <w:rFonts w:cstheme="minorHAnsi"/>
                <w:sz w:val="22"/>
                <w:szCs w:val="28"/>
              </w:rPr>
              <w:t>Physical model</w:t>
            </w:r>
          </w:p>
        </w:tc>
        <w:tc>
          <w:tcPr>
            <w:tcW w:w="6744" w:type="dxa"/>
          </w:tcPr>
          <w:p w14:paraId="126C0041" w14:textId="7E9F3DDA" w:rsidR="00535C2C" w:rsidRPr="005F62F4" w:rsidRDefault="00212AAB" w:rsidP="00270242">
            <w:pPr>
              <w:pStyle w:val="TableText"/>
              <w:rPr>
                <w:rFonts w:cstheme="minorHAnsi"/>
                <w:sz w:val="22"/>
                <w:szCs w:val="28"/>
              </w:rPr>
            </w:pPr>
            <w:r w:rsidRPr="005F62F4">
              <w:rPr>
                <w:rFonts w:cstheme="minorHAnsi"/>
                <w:sz w:val="22"/>
                <w:szCs w:val="28"/>
              </w:rPr>
              <w:t xml:space="preserve">Models which are </w:t>
            </w:r>
            <w:r w:rsidR="00C44341" w:rsidRPr="005F62F4">
              <w:rPr>
                <w:rFonts w:cstheme="minorHAnsi"/>
                <w:sz w:val="22"/>
                <w:szCs w:val="28"/>
              </w:rPr>
              <w:t>in solid physical form</w:t>
            </w:r>
            <w:r w:rsidR="0045370D" w:rsidRPr="005F62F4">
              <w:rPr>
                <w:rFonts w:cstheme="minorHAnsi"/>
                <w:sz w:val="22"/>
                <w:szCs w:val="28"/>
              </w:rPr>
              <w:t>. These models</w:t>
            </w:r>
            <w:r w:rsidR="00E413AB" w:rsidRPr="005F62F4">
              <w:rPr>
                <w:rFonts w:cstheme="minorHAnsi"/>
                <w:sz w:val="22"/>
                <w:szCs w:val="28"/>
              </w:rPr>
              <w:t xml:space="preserve"> often originate from virtual models and are</w:t>
            </w:r>
            <w:r w:rsidR="00C44341" w:rsidRPr="005F62F4">
              <w:rPr>
                <w:rFonts w:cstheme="minorHAnsi"/>
                <w:sz w:val="22"/>
                <w:szCs w:val="28"/>
              </w:rPr>
              <w:t xml:space="preserve"> </w:t>
            </w:r>
            <w:r w:rsidR="001B5830" w:rsidRPr="005F62F4">
              <w:rPr>
                <w:rFonts w:cstheme="minorHAnsi"/>
                <w:sz w:val="22"/>
                <w:szCs w:val="28"/>
              </w:rPr>
              <w:t xml:space="preserve">produced through engineering technologies such as </w:t>
            </w:r>
            <w:r w:rsidR="008E390F" w:rsidRPr="005F62F4">
              <w:rPr>
                <w:rFonts w:cstheme="minorHAnsi"/>
                <w:sz w:val="22"/>
                <w:szCs w:val="28"/>
              </w:rPr>
              <w:t>rapid prototyping</w:t>
            </w:r>
            <w:r w:rsidR="006203DB" w:rsidRPr="005F62F4">
              <w:rPr>
                <w:rFonts w:cstheme="minorHAnsi"/>
                <w:sz w:val="22"/>
                <w:szCs w:val="28"/>
              </w:rPr>
              <w:t xml:space="preserve"> </w:t>
            </w:r>
            <w:r w:rsidR="006203DB" w:rsidRPr="005F62F4">
              <w:rPr>
                <w:sz w:val="22"/>
                <w:szCs w:val="28"/>
              </w:rPr>
              <w:fldChar w:fldCharType="begin" w:fldLock="1"/>
            </w:r>
            <w:r w:rsidR="00F7188B" w:rsidRPr="005F62F4">
              <w:rPr>
                <w:sz w:val="22"/>
                <w:szCs w:val="28"/>
              </w:rPr>
              <w:instrText>ADDIN CSL_CITATION {"citationItems":[{"id":"ITEM-1","itemData":{"DOI":"10.1007/S10439-005-5873-X","ISSN":"00906964","PMID":"16240079","abstract":"In this paper, a definition of a biomodel is presented, based on which different specific types of biomodels are identified, viz., virtual biomodels, computational biomodels, and physical biomodels. The paper then focuses on both physical and virtual biomodels of bone, and presents a review of model generation methodologies, giving examples of typical biomodel applications. The use of macroscale biomodels for such issues as the design and preclinical testing of surgical implants and preoperative planning is discussed. At the microscale, biomodels of trabecular bone are examined and the link with scaffolds for tissue engineering is established. Conclusions are drawn on the state of the art, and the major developments necessary for the continued expansion of the field are identified. Finally, arguments are given on the benefits of integrating the use of the different types of biomodels reviewed in this paper, for the benefit of future research in biomechanics and biomaterials. © 2005 Biomedical Engineering Society.","author":[{"dropping-particle":"","family":"Lohfeld","given":"S.","non-dropping-particle":"","parse-names":false,"suffix":""},{"dropping-particle":"","family":"Barron","given":"V.","non-dropping-particle":"","parse-names":false,"suffix":""},{"dropping-particle":"","family":"McHugh","given":"P. E.","non-dropping-particle":"","parse-names":false,"suffix":""}],"container-title":"Annals of Biomedical Engineering","id":"ITEM-1","issue":"10","issued":{"date-parts":[["2005","10"]]},"page":"1295-1311","title":"Biomodels of bone: a review","type":"article-journal","volume":"33"},"uris":["http://www.mendeley.com/documents/?uuid=91096577-ac72-34e2-bbb9-e7911b331ffc"]}],"mendeley":{"formattedCitation":"(Lohfeld et al. 2005)","plainTextFormattedCitation":"(Lohfeld et al. 2005)","previouslyFormattedCitation":"(Lohfeld et al. 2005)"},"properties":{"noteIndex":0},"schema":"https://github.com/citation-style-language/schema/raw/master/csl-citation.json"}</w:instrText>
            </w:r>
            <w:r w:rsidR="006203DB" w:rsidRPr="005F62F4">
              <w:rPr>
                <w:sz w:val="22"/>
                <w:szCs w:val="28"/>
              </w:rPr>
              <w:fldChar w:fldCharType="separate"/>
            </w:r>
            <w:r w:rsidR="006203DB" w:rsidRPr="005F62F4">
              <w:rPr>
                <w:noProof/>
                <w:sz w:val="22"/>
                <w:szCs w:val="28"/>
              </w:rPr>
              <w:t>(Lohfeld et al. 2005)</w:t>
            </w:r>
            <w:r w:rsidR="006203DB" w:rsidRPr="005F62F4">
              <w:rPr>
                <w:sz w:val="22"/>
                <w:szCs w:val="28"/>
              </w:rPr>
              <w:fldChar w:fldCharType="end"/>
            </w:r>
            <w:r w:rsidR="008E390F" w:rsidRPr="005F62F4">
              <w:rPr>
                <w:rFonts w:cstheme="minorHAnsi"/>
                <w:sz w:val="22"/>
                <w:szCs w:val="28"/>
              </w:rPr>
              <w:t xml:space="preserve">. </w:t>
            </w:r>
          </w:p>
        </w:tc>
      </w:tr>
      <w:tr w:rsidR="00AB6E40" w:rsidRPr="005F62F4" w14:paraId="2763A0BF" w14:textId="77777777" w:rsidTr="008B2B11">
        <w:tblPrEx>
          <w:tblLook w:val="0620" w:firstRow="1" w:lastRow="0" w:firstColumn="0" w:lastColumn="0" w:noHBand="1" w:noVBand="1"/>
        </w:tblPrEx>
        <w:trPr>
          <w:trHeight w:val="170"/>
        </w:trPr>
        <w:tc>
          <w:tcPr>
            <w:tcW w:w="2552" w:type="dxa"/>
          </w:tcPr>
          <w:p w14:paraId="7C51B725" w14:textId="44F3CF22" w:rsidR="00AB6E40" w:rsidRPr="005F62F4" w:rsidRDefault="00AB6E40" w:rsidP="00270242">
            <w:pPr>
              <w:pStyle w:val="TableText"/>
              <w:rPr>
                <w:rFonts w:cstheme="minorHAnsi"/>
                <w:sz w:val="22"/>
                <w:szCs w:val="28"/>
              </w:rPr>
            </w:pPr>
            <w:r w:rsidRPr="005F62F4">
              <w:rPr>
                <w:rFonts w:cstheme="minorHAnsi"/>
                <w:sz w:val="22"/>
                <w:szCs w:val="28"/>
              </w:rPr>
              <w:t>Rapid prototyping</w:t>
            </w:r>
          </w:p>
        </w:tc>
        <w:tc>
          <w:tcPr>
            <w:tcW w:w="6744" w:type="dxa"/>
          </w:tcPr>
          <w:p w14:paraId="65EBF003" w14:textId="115D585F" w:rsidR="00AB6E40" w:rsidRPr="005F62F4" w:rsidRDefault="0000409E" w:rsidP="0000409E">
            <w:pPr>
              <w:pStyle w:val="TableText"/>
              <w:rPr>
                <w:rFonts w:cstheme="minorHAnsi"/>
                <w:sz w:val="22"/>
                <w:szCs w:val="28"/>
              </w:rPr>
            </w:pPr>
            <w:r w:rsidRPr="005F62F4">
              <w:rPr>
                <w:sz w:val="22"/>
                <w:szCs w:val="28"/>
              </w:rPr>
              <w:t>Rapid prototyping is the “fast fabrication of a physical part, model or assembly using 3D computer</w:t>
            </w:r>
            <w:r w:rsidR="00F01741" w:rsidRPr="005F62F4">
              <w:rPr>
                <w:sz w:val="22"/>
                <w:szCs w:val="28"/>
              </w:rPr>
              <w:t>-</w:t>
            </w:r>
            <w:r w:rsidRPr="005F62F4">
              <w:rPr>
                <w:sz w:val="22"/>
                <w:szCs w:val="28"/>
              </w:rPr>
              <w:t>aided design (CAD). The part, model or assembly is usually completed using additive manufacturing, or more commonly known as 3D printing. Where the design closely matches the proposed finished product it is said to be a high fidelity prototype, as opposed to a low fidelity prototype, where there is a marked difference between the prototype and the final product”</w:t>
            </w:r>
            <w:r w:rsidR="0067496A" w:rsidRPr="005F62F4">
              <w:rPr>
                <w:sz w:val="22"/>
                <w:szCs w:val="28"/>
              </w:rPr>
              <w:t xml:space="preserve"> </w:t>
            </w:r>
            <w:r w:rsidRPr="005F62F4">
              <w:rPr>
                <w:sz w:val="22"/>
                <w:szCs w:val="28"/>
              </w:rPr>
              <w:fldChar w:fldCharType="begin" w:fldLock="1"/>
            </w:r>
            <w:r w:rsidRPr="005F62F4">
              <w:rPr>
                <w:sz w:val="22"/>
                <w:szCs w:val="28"/>
              </w:rPr>
              <w:instrText>ADDIN CSL_CITATION {"citationItems":[{"id":"ITEM-1","itemData":{"URL":"https://www.twi-global.com/technical-knowledge/faqs/faq-manufacturing-what-is-rapid-prototyping","accessed":{"date-parts":[["2022","11","11"]]},"author":[{"dropping-particle":"","family":"TWI","given":"","non-dropping-particle":"","parse-names":false,"suffix":""}],"id":"ITEM-1","issued":{"date-parts":[["0"]]},"title":"What is Rapid Prototyping? - Definition, Methods and Advantages - TWI","type":"webpage"},"uris":["http://www.mendeley.com/documents/?uuid=ef7abb7c-39a3-3742-ab5a-e7a0e179a814"]}],"mendeley":{"formattedCitation":"(TWI n.d.)","plainTextFormattedCitation":"(TWI n.d.)","previouslyFormattedCitation":"(TWI n.d.)"},"properties":{"noteIndex":0},"schema":"https://github.com/citation-style-language/schema/raw/master/csl-citation.json"}</w:instrText>
            </w:r>
            <w:r w:rsidRPr="005F62F4">
              <w:rPr>
                <w:sz w:val="22"/>
                <w:szCs w:val="28"/>
              </w:rPr>
              <w:fldChar w:fldCharType="separate"/>
            </w:r>
            <w:r w:rsidRPr="005F62F4">
              <w:rPr>
                <w:noProof/>
                <w:sz w:val="22"/>
                <w:szCs w:val="28"/>
              </w:rPr>
              <w:t>(TWI n.d.)</w:t>
            </w:r>
            <w:r w:rsidRPr="005F62F4">
              <w:rPr>
                <w:sz w:val="22"/>
                <w:szCs w:val="28"/>
              </w:rPr>
              <w:fldChar w:fldCharType="end"/>
            </w:r>
            <w:r w:rsidR="00B10A05" w:rsidRPr="005F62F4">
              <w:rPr>
                <w:sz w:val="22"/>
                <w:szCs w:val="28"/>
              </w:rPr>
              <w:t>.</w:t>
            </w:r>
          </w:p>
        </w:tc>
      </w:tr>
      <w:tr w:rsidR="00AB6E40" w:rsidRPr="005F62F4" w14:paraId="2524002D" w14:textId="77777777" w:rsidTr="008B2B11">
        <w:tblPrEx>
          <w:tblLook w:val="0620" w:firstRow="1" w:lastRow="0" w:firstColumn="0" w:lastColumn="0" w:noHBand="1" w:noVBand="1"/>
        </w:tblPrEx>
        <w:trPr>
          <w:trHeight w:val="170"/>
        </w:trPr>
        <w:tc>
          <w:tcPr>
            <w:tcW w:w="2552" w:type="dxa"/>
          </w:tcPr>
          <w:p w14:paraId="6CC8715D" w14:textId="5F3BA601" w:rsidR="00AB6E40" w:rsidRPr="005F62F4" w:rsidRDefault="00AB6E40" w:rsidP="00270242">
            <w:pPr>
              <w:pStyle w:val="TableText"/>
              <w:rPr>
                <w:rFonts w:cstheme="minorHAnsi"/>
                <w:sz w:val="22"/>
                <w:szCs w:val="28"/>
              </w:rPr>
            </w:pPr>
            <w:r w:rsidRPr="005F62F4">
              <w:rPr>
                <w:rFonts w:cstheme="minorHAnsi"/>
                <w:sz w:val="22"/>
                <w:szCs w:val="28"/>
              </w:rPr>
              <w:t>Stereolith</w:t>
            </w:r>
            <w:r w:rsidR="004E49AF" w:rsidRPr="005F62F4">
              <w:rPr>
                <w:rFonts w:cstheme="minorHAnsi"/>
                <w:sz w:val="22"/>
                <w:szCs w:val="28"/>
              </w:rPr>
              <w:t>o</w:t>
            </w:r>
            <w:r w:rsidRPr="005F62F4">
              <w:rPr>
                <w:rFonts w:cstheme="minorHAnsi"/>
                <w:sz w:val="22"/>
                <w:szCs w:val="28"/>
              </w:rPr>
              <w:t>graphy</w:t>
            </w:r>
          </w:p>
        </w:tc>
        <w:tc>
          <w:tcPr>
            <w:tcW w:w="6744" w:type="dxa"/>
          </w:tcPr>
          <w:p w14:paraId="60B1EED3" w14:textId="394376FE" w:rsidR="00AB6E40" w:rsidRPr="005F62F4" w:rsidRDefault="0000409E" w:rsidP="0000409E">
            <w:pPr>
              <w:pStyle w:val="FootnoteText"/>
              <w:rPr>
                <w:rFonts w:cstheme="minorHAnsi"/>
                <w:sz w:val="22"/>
                <w:szCs w:val="28"/>
              </w:rPr>
            </w:pPr>
            <w:r w:rsidRPr="005F62F4">
              <w:rPr>
                <w:sz w:val="22"/>
                <w:szCs w:val="28"/>
              </w:rPr>
              <w:t xml:space="preserve">An industrial 3D printing process that </w:t>
            </w:r>
            <w:r w:rsidR="007F2DB5" w:rsidRPr="005F62F4">
              <w:rPr>
                <w:sz w:val="22"/>
                <w:szCs w:val="28"/>
              </w:rPr>
              <w:t>“uses a bath of photosensitive liquid which is solidified layer-by-layer using a computer-controlled ultra violet (UV) light</w:t>
            </w:r>
            <w:r w:rsidRPr="005F62F4">
              <w:rPr>
                <w:sz w:val="22"/>
                <w:szCs w:val="28"/>
              </w:rPr>
              <w:t>”</w:t>
            </w:r>
            <w:r w:rsidR="001313EE" w:rsidRPr="005F62F4">
              <w:rPr>
                <w:sz w:val="22"/>
                <w:szCs w:val="28"/>
              </w:rPr>
              <w:t xml:space="preserve"> </w:t>
            </w:r>
            <w:r w:rsidR="001313EE" w:rsidRPr="005F62F4">
              <w:rPr>
                <w:sz w:val="22"/>
                <w:szCs w:val="28"/>
              </w:rPr>
              <w:fldChar w:fldCharType="begin" w:fldLock="1"/>
            </w:r>
            <w:r w:rsidR="001313EE" w:rsidRPr="005F62F4">
              <w:rPr>
                <w:sz w:val="22"/>
                <w:szCs w:val="28"/>
              </w:rPr>
              <w:instrText>ADDIN CSL_CITATION {"citationItems":[{"id":"ITEM-1","itemData":{"URL":"https://www.twi-global.com/technical-knowledge/faqs/faq-manufacturing-what-is-rapid-prototyping","accessed":{"date-parts":[["2022","11","11"]]},"author":[{"dropping-particle":"","family":"TWI","given":"","non-dropping-particle":"","parse-names":false,"suffix":""}],"id":"ITEM-1","issued":{"date-parts":[["0"]]},"title":"What is Rapid Prototyping? - Definition, Methods and Advantages - TWI","type":"webpage"},"uris":["http://www.mendeley.com/documents/?uuid=ef7abb7c-39a3-3742-ab5a-e7a0e179a814"]}],"mendeley":{"formattedCitation":"(TWI n.d.)","plainTextFormattedCitation":"(TWI n.d.)","previouslyFormattedCitation":"(TWI n.d.)"},"properties":{"noteIndex":0},"schema":"https://github.com/citation-style-language/schema/raw/master/csl-citation.json"}</w:instrText>
            </w:r>
            <w:r w:rsidR="001313EE" w:rsidRPr="005F62F4">
              <w:rPr>
                <w:sz w:val="22"/>
                <w:szCs w:val="28"/>
              </w:rPr>
              <w:fldChar w:fldCharType="separate"/>
            </w:r>
            <w:r w:rsidR="001313EE" w:rsidRPr="005F62F4">
              <w:rPr>
                <w:noProof/>
                <w:sz w:val="22"/>
                <w:szCs w:val="28"/>
              </w:rPr>
              <w:t>(TWI n.d.)</w:t>
            </w:r>
            <w:r w:rsidR="001313EE" w:rsidRPr="005F62F4">
              <w:rPr>
                <w:sz w:val="22"/>
                <w:szCs w:val="28"/>
              </w:rPr>
              <w:fldChar w:fldCharType="end"/>
            </w:r>
            <w:r w:rsidR="008E315C" w:rsidRPr="005F62F4">
              <w:rPr>
                <w:sz w:val="22"/>
                <w:szCs w:val="28"/>
              </w:rPr>
              <w:t>.</w:t>
            </w:r>
          </w:p>
        </w:tc>
      </w:tr>
      <w:tr w:rsidR="004D6DDD" w:rsidRPr="005F62F4" w14:paraId="6C304F23" w14:textId="77777777" w:rsidTr="008B2B11">
        <w:tblPrEx>
          <w:tblLook w:val="0620" w:firstRow="1" w:lastRow="0" w:firstColumn="0" w:lastColumn="0" w:noHBand="1" w:noVBand="1"/>
        </w:tblPrEx>
        <w:trPr>
          <w:trHeight w:val="170"/>
        </w:trPr>
        <w:tc>
          <w:tcPr>
            <w:tcW w:w="2552" w:type="dxa"/>
          </w:tcPr>
          <w:p w14:paraId="09329553" w14:textId="579C7781" w:rsidR="004D6DDD" w:rsidRPr="005F62F4" w:rsidRDefault="00964B12" w:rsidP="00270242">
            <w:pPr>
              <w:pStyle w:val="TableText"/>
              <w:rPr>
                <w:rFonts w:cstheme="minorHAnsi"/>
                <w:sz w:val="22"/>
                <w:szCs w:val="28"/>
              </w:rPr>
            </w:pPr>
            <w:r w:rsidRPr="005F62F4">
              <w:rPr>
                <w:rFonts w:cstheme="minorHAnsi"/>
                <w:sz w:val="22"/>
                <w:szCs w:val="28"/>
              </w:rPr>
              <w:t>Surgical guide</w:t>
            </w:r>
          </w:p>
        </w:tc>
        <w:tc>
          <w:tcPr>
            <w:tcW w:w="6744" w:type="dxa"/>
          </w:tcPr>
          <w:p w14:paraId="749751F6" w14:textId="778685F4" w:rsidR="004D6DDD" w:rsidRPr="005F62F4" w:rsidRDefault="00AE5B64" w:rsidP="00270242">
            <w:pPr>
              <w:pStyle w:val="TableText"/>
              <w:rPr>
                <w:rFonts w:cstheme="minorHAnsi"/>
                <w:sz w:val="22"/>
                <w:szCs w:val="28"/>
              </w:rPr>
            </w:pPr>
            <w:r w:rsidRPr="005F62F4">
              <w:rPr>
                <w:rFonts w:cstheme="minorHAnsi"/>
                <w:sz w:val="22"/>
                <w:szCs w:val="28"/>
              </w:rPr>
              <w:t xml:space="preserve">Patient-specific </w:t>
            </w:r>
            <w:r w:rsidR="00737817" w:rsidRPr="005F62F4">
              <w:rPr>
                <w:sz w:val="22"/>
                <w:szCs w:val="28"/>
              </w:rPr>
              <w:t xml:space="preserve">tools that are designed to transfer the planned surgical and prosthetic components of a procedure to the actual surgery </w:t>
            </w:r>
            <w:r w:rsidR="00737817" w:rsidRPr="005F62F4">
              <w:rPr>
                <w:sz w:val="22"/>
                <w:szCs w:val="28"/>
              </w:rPr>
              <w:fldChar w:fldCharType="begin" w:fldLock="1"/>
            </w:r>
            <w:r w:rsidR="00F7188B" w:rsidRPr="005F62F4">
              <w:rPr>
                <w:sz w:val="22"/>
                <w:szCs w:val="28"/>
              </w:rPr>
              <w:instrText>ADDIN CSL_CITATION {"citationItems":[{"id":"ITEM-1","itemData":{"URL":"https://www.oralhealthgroup.com/features/cad-cam-surgical-guides-implantology-new-old-essential/","accessed":{"date-parts":[["2022","10","28"]]},"author":[{"dropping-particle":"","family":"Poitros","given":"Yvan","non-dropping-particle":"","parse-names":false,"suffix":""},{"dropping-particle":"","family":"Pena","given":"Alex","non-dropping-particle":"","parse-names":false,"suffix":""}],"id":"ITEM-1","issued":{"date-parts":[["2016"]]},"title":"CAD-CAM surgical guides for implantology: the new, the old and the essential","type":"webpage"},"uris":["http://www.mendeley.com/documents/?uuid=b9f41b05-c089-47b5-aed5-4e67a6537195"]}],"mendeley":{"formattedCitation":"(Poitros and Pena 2016)","plainTextFormattedCitation":"(Poitros and Pena 2016)","previouslyFormattedCitation":"(Poitros and Pena 2016)"},"properties":{"noteIndex":0},"schema":"https://github.com/citation-style-language/schema/raw/master/csl-citation.json"}</w:instrText>
            </w:r>
            <w:r w:rsidR="00737817" w:rsidRPr="005F62F4">
              <w:rPr>
                <w:sz w:val="22"/>
                <w:szCs w:val="28"/>
              </w:rPr>
              <w:fldChar w:fldCharType="separate"/>
            </w:r>
            <w:r w:rsidR="00737817" w:rsidRPr="005F62F4">
              <w:rPr>
                <w:noProof/>
                <w:sz w:val="22"/>
                <w:szCs w:val="28"/>
              </w:rPr>
              <w:t>(Poitros and Pena 2016)</w:t>
            </w:r>
            <w:r w:rsidR="00737817" w:rsidRPr="005F62F4">
              <w:rPr>
                <w:sz w:val="22"/>
                <w:szCs w:val="28"/>
              </w:rPr>
              <w:fldChar w:fldCharType="end"/>
            </w:r>
            <w:r w:rsidR="00737817" w:rsidRPr="005F62F4">
              <w:rPr>
                <w:sz w:val="22"/>
                <w:szCs w:val="28"/>
              </w:rPr>
              <w:t xml:space="preserve">. They are used to guide the precise cutting of bone or drilling of holes as needed for implantation </w:t>
            </w:r>
            <w:r w:rsidR="00737817" w:rsidRPr="005F62F4">
              <w:rPr>
                <w:sz w:val="22"/>
                <w:szCs w:val="28"/>
              </w:rPr>
              <w:fldChar w:fldCharType="begin" w:fldLock="1"/>
            </w:r>
            <w:r w:rsidR="00737817" w:rsidRPr="005F62F4">
              <w:rPr>
                <w:sz w:val="22"/>
                <w:szCs w:val="28"/>
              </w:rPr>
              <w:instrText>ADDIN CSL_CITATION {"citationItems":[{"id":"ITEM-1","itemData":{"author":[{"dropping-particle":"","family":"Francoisse","given":"CA","non-dropping-particle":"","parse-names":false,"suffix":""},{"dropping-particle":"","family":"Sescleifer","given":"AM","non-dropping-particle":"","parse-names":false,"suffix":""},{"dropping-particle":"","family":"King","given":"WT","non-dropping-particle":"","parse-names":false,"suffix":""},{"dropping-particle":"","family":"Lin","given":"AY","non-dropping-particle":"","parse-names":false,"suffix":""}],"container-title":"Pediatric Research","id":"ITEM-1","issue":"415-425","issued":{"date-parts":[["2020"]]},"title":"Three-dimensional printing in medicine: a systematic review of pediatric applications","type":"article-journal","volume":"89"},"uris":["http://www.mendeley.com/documents/?uuid=9194c245-ce1e-4fc8-96e0-2785fb337851"]}],"mendeley":{"formattedCitation":"(Francoisse et al. 2020)","plainTextFormattedCitation":"(Francoisse et al. 2020)","previouslyFormattedCitation":"(Francoisse et al. 2020)"},"properties":{"noteIndex":0},"schema":"https://github.com/citation-style-language/schema/raw/master/csl-citation.json"}</w:instrText>
            </w:r>
            <w:r w:rsidR="00737817" w:rsidRPr="005F62F4">
              <w:rPr>
                <w:sz w:val="22"/>
                <w:szCs w:val="28"/>
              </w:rPr>
              <w:fldChar w:fldCharType="separate"/>
            </w:r>
            <w:r w:rsidR="00737817" w:rsidRPr="005F62F4">
              <w:rPr>
                <w:noProof/>
                <w:sz w:val="22"/>
                <w:szCs w:val="28"/>
              </w:rPr>
              <w:t>(Francoisse et al. 2020)</w:t>
            </w:r>
            <w:r w:rsidR="00737817" w:rsidRPr="005F62F4">
              <w:rPr>
                <w:sz w:val="22"/>
                <w:szCs w:val="28"/>
              </w:rPr>
              <w:fldChar w:fldCharType="end"/>
            </w:r>
            <w:r w:rsidR="00737817" w:rsidRPr="005F62F4">
              <w:rPr>
                <w:sz w:val="22"/>
                <w:szCs w:val="28"/>
              </w:rPr>
              <w:t>.</w:t>
            </w:r>
            <w:r w:rsidR="003418CB" w:rsidRPr="005F62F4">
              <w:rPr>
                <w:sz w:val="22"/>
                <w:szCs w:val="28"/>
              </w:rPr>
              <w:t xml:space="preserve"> </w:t>
            </w:r>
            <w:r w:rsidR="00822318" w:rsidRPr="005F62F4">
              <w:rPr>
                <w:sz w:val="22"/>
                <w:szCs w:val="28"/>
              </w:rPr>
              <w:t>They include surgical templates, pilot guides, cutting and drilling guides, splints and jigs.</w:t>
            </w:r>
          </w:p>
        </w:tc>
      </w:tr>
      <w:tr w:rsidR="00F940AC" w:rsidRPr="005F62F4" w14:paraId="3DC2C435" w14:textId="77777777" w:rsidTr="008B2B11">
        <w:tblPrEx>
          <w:tblLook w:val="0620" w:firstRow="1" w:lastRow="0" w:firstColumn="0" w:lastColumn="0" w:noHBand="1" w:noVBand="1"/>
        </w:tblPrEx>
        <w:trPr>
          <w:trHeight w:val="170"/>
        </w:trPr>
        <w:tc>
          <w:tcPr>
            <w:tcW w:w="2552" w:type="dxa"/>
          </w:tcPr>
          <w:p w14:paraId="6FBC742C" w14:textId="438362BB" w:rsidR="00F940AC" w:rsidRPr="005F62F4" w:rsidRDefault="00F940AC" w:rsidP="00270242">
            <w:pPr>
              <w:pStyle w:val="TableText"/>
              <w:rPr>
                <w:rFonts w:cstheme="minorHAnsi"/>
                <w:sz w:val="22"/>
                <w:szCs w:val="28"/>
              </w:rPr>
            </w:pPr>
            <w:r w:rsidRPr="005F62F4">
              <w:rPr>
                <w:rFonts w:cstheme="minorHAnsi"/>
                <w:sz w:val="22"/>
                <w:szCs w:val="28"/>
              </w:rPr>
              <w:t>Surgical splint</w:t>
            </w:r>
          </w:p>
        </w:tc>
        <w:tc>
          <w:tcPr>
            <w:tcW w:w="6744" w:type="dxa"/>
          </w:tcPr>
          <w:p w14:paraId="2BC19D78" w14:textId="68E750A6" w:rsidR="00F940AC" w:rsidRPr="005F62F4" w:rsidRDefault="005F3F4F" w:rsidP="00270242">
            <w:pPr>
              <w:pStyle w:val="TableText"/>
              <w:rPr>
                <w:rFonts w:cstheme="minorHAnsi"/>
                <w:sz w:val="22"/>
                <w:szCs w:val="28"/>
              </w:rPr>
            </w:pPr>
            <w:r w:rsidRPr="005F62F4">
              <w:rPr>
                <w:rFonts w:cstheme="minorHAnsi"/>
                <w:sz w:val="22"/>
                <w:szCs w:val="28"/>
              </w:rPr>
              <w:t xml:space="preserve">Orthognathic surgical splints are surgical guides used in single or double jaw surgery to guide the mobile jaw segments into their virtually planned dental occlusion. These may be used to implant patient-matched </w:t>
            </w:r>
            <w:r w:rsidR="000C31F1" w:rsidRPr="005F62F4">
              <w:rPr>
                <w:rFonts w:cstheme="minorHAnsi"/>
                <w:sz w:val="22"/>
                <w:szCs w:val="28"/>
              </w:rPr>
              <w:t>implants</w:t>
            </w:r>
            <w:r w:rsidRPr="005F62F4">
              <w:rPr>
                <w:rFonts w:cstheme="minorHAnsi"/>
                <w:sz w:val="22"/>
                <w:szCs w:val="28"/>
              </w:rPr>
              <w:t xml:space="preserve"> or standard plates</w:t>
            </w:r>
            <w:r w:rsidR="00731133" w:rsidRPr="005F62F4">
              <w:rPr>
                <w:rFonts w:cstheme="minorHAnsi"/>
                <w:sz w:val="22"/>
                <w:szCs w:val="28"/>
              </w:rPr>
              <w:t xml:space="preserve"> (definition supplied by the MTAA)</w:t>
            </w:r>
            <w:r w:rsidR="003C3D3A">
              <w:rPr>
                <w:rFonts w:cstheme="minorHAnsi"/>
                <w:sz w:val="22"/>
                <w:szCs w:val="28"/>
              </w:rPr>
              <w:t>.</w:t>
            </w:r>
          </w:p>
        </w:tc>
      </w:tr>
      <w:tr w:rsidR="004D6DDD" w:rsidRPr="005F62F4" w14:paraId="698D914B" w14:textId="77777777" w:rsidTr="008B2B11">
        <w:tblPrEx>
          <w:tblLook w:val="0620" w:firstRow="1" w:lastRow="0" w:firstColumn="0" w:lastColumn="0" w:noHBand="1" w:noVBand="1"/>
        </w:tblPrEx>
        <w:trPr>
          <w:trHeight w:val="170"/>
        </w:trPr>
        <w:tc>
          <w:tcPr>
            <w:tcW w:w="2552" w:type="dxa"/>
          </w:tcPr>
          <w:p w14:paraId="2F9BA94B" w14:textId="69A26FF1" w:rsidR="004D6DDD" w:rsidRPr="005F62F4" w:rsidRDefault="00F33ECE" w:rsidP="00270242">
            <w:pPr>
              <w:pStyle w:val="TableText"/>
              <w:rPr>
                <w:rFonts w:cstheme="minorHAnsi"/>
                <w:sz w:val="22"/>
                <w:szCs w:val="28"/>
              </w:rPr>
            </w:pPr>
            <w:r w:rsidRPr="005F62F4">
              <w:rPr>
                <w:rFonts w:cstheme="minorHAnsi"/>
                <w:sz w:val="22"/>
                <w:szCs w:val="28"/>
              </w:rPr>
              <w:t>Virtual model</w:t>
            </w:r>
          </w:p>
        </w:tc>
        <w:tc>
          <w:tcPr>
            <w:tcW w:w="6744" w:type="dxa"/>
          </w:tcPr>
          <w:p w14:paraId="01BA77AB" w14:textId="51E88B73" w:rsidR="004D6DDD" w:rsidRPr="005F62F4" w:rsidRDefault="00863471" w:rsidP="00270242">
            <w:pPr>
              <w:pStyle w:val="TableText"/>
              <w:rPr>
                <w:rFonts w:cstheme="minorHAnsi"/>
                <w:sz w:val="22"/>
                <w:szCs w:val="28"/>
              </w:rPr>
            </w:pPr>
            <w:r w:rsidRPr="005F62F4">
              <w:rPr>
                <w:rFonts w:cstheme="minorHAnsi"/>
                <w:sz w:val="22"/>
                <w:szCs w:val="28"/>
              </w:rPr>
              <w:t xml:space="preserve">A computer-based </w:t>
            </w:r>
            <w:r w:rsidR="00E21CD1" w:rsidRPr="005F62F4">
              <w:rPr>
                <w:rFonts w:cstheme="minorHAnsi"/>
                <w:sz w:val="22"/>
                <w:szCs w:val="28"/>
              </w:rPr>
              <w:t xml:space="preserve">model developed ‘for the purpose of visualisation of biological structures, for example a 3D </w:t>
            </w:r>
            <w:r w:rsidR="009065D1" w:rsidRPr="005F62F4">
              <w:rPr>
                <w:rFonts w:cstheme="minorHAnsi"/>
                <w:sz w:val="22"/>
                <w:szCs w:val="28"/>
              </w:rPr>
              <w:t>based image of a skeletal structure generated from computed topography (CT) scans’</w:t>
            </w:r>
            <w:r w:rsidR="00B51545" w:rsidRPr="005F62F4">
              <w:rPr>
                <w:rFonts w:cstheme="minorHAnsi"/>
                <w:sz w:val="22"/>
                <w:szCs w:val="28"/>
              </w:rPr>
              <w:t xml:space="preserve"> </w:t>
            </w:r>
            <w:r w:rsidR="00B51545" w:rsidRPr="005F62F4">
              <w:rPr>
                <w:sz w:val="22"/>
                <w:szCs w:val="28"/>
              </w:rPr>
              <w:fldChar w:fldCharType="begin" w:fldLock="1"/>
            </w:r>
            <w:r w:rsidR="00F7188B" w:rsidRPr="005F62F4">
              <w:rPr>
                <w:sz w:val="22"/>
                <w:szCs w:val="28"/>
              </w:rPr>
              <w:instrText>ADDIN CSL_CITATION {"citationItems":[{"id":"ITEM-1","itemData":{"DOI":"10.1007/S10439-005-5873-X","ISSN":"00906964","PMID":"16240079","abstract":"In this paper, a definition of a biomodel is presented, based on which different specific types of biomodels are identified, viz., virtual biomodels, computational biomodels, and physical biomodels. The paper then focuses on both physical and virtual biomodels of bone, and presents a review of model generation methodologies, giving examples of typical biomodel applications. The use of macroscale biomodels for such issues as the design and preclinical testing of surgical implants and preoperative planning is discussed. At the microscale, biomodels of trabecular bone are examined and the link with scaffolds for tissue engineering is established. Conclusions are drawn on the state of the art, and the major developments necessary for the continued expansion of the field are identified. Finally, arguments are given on the benefits of integrating the use of the different types of biomodels reviewed in this paper, for the benefit of future research in biomechanics and biomaterials. © 2005 Biomedical Engineering Society.","author":[{"dropping-particle":"","family":"Lohfeld","given":"S.","non-dropping-particle":"","parse-names":false,"suffix":""},{"dropping-particle":"","family":"Barron","given":"V.","non-dropping-particle":"","parse-names":false,"suffix":""},{"dropping-particle":"","family":"McHugh","given":"P. E.","non-dropping-particle":"","parse-names":false,"suffix":""}],"container-title":"Annals of Biomedical Engineering","id":"ITEM-1","issue":"10","issued":{"date-parts":[["2005","10"]]},"page":"1295-1311","title":"Biomodels of bone: a review","type":"article-journal","volume":"33"},"uris":["http://www.mendeley.com/documents/?uuid=91096577-ac72-34e2-bbb9-e7911b331ffc"]}],"mendeley":{"formattedCitation":"(Lohfeld et al. 2005)","plainTextFormattedCitation":"(Lohfeld et al. 2005)","previouslyFormattedCitation":"(Lohfeld et al. 2005)"},"properties":{"noteIndex":0},"schema":"https://github.com/citation-style-language/schema/raw/master/csl-citation.json"}</w:instrText>
            </w:r>
            <w:r w:rsidR="00B51545" w:rsidRPr="005F62F4">
              <w:rPr>
                <w:sz w:val="22"/>
                <w:szCs w:val="28"/>
              </w:rPr>
              <w:fldChar w:fldCharType="separate"/>
            </w:r>
            <w:r w:rsidR="00B51545" w:rsidRPr="005F62F4">
              <w:rPr>
                <w:noProof/>
                <w:sz w:val="22"/>
                <w:szCs w:val="28"/>
              </w:rPr>
              <w:t>(Lohfeld et al. 2005)</w:t>
            </w:r>
            <w:r w:rsidR="00B51545" w:rsidRPr="005F62F4">
              <w:rPr>
                <w:sz w:val="22"/>
                <w:szCs w:val="28"/>
              </w:rPr>
              <w:fldChar w:fldCharType="end"/>
            </w:r>
            <w:r w:rsidR="006E319F" w:rsidRPr="005F62F4">
              <w:rPr>
                <w:sz w:val="22"/>
                <w:szCs w:val="28"/>
              </w:rPr>
              <w:t>.</w:t>
            </w:r>
          </w:p>
        </w:tc>
      </w:tr>
      <w:tr w:rsidR="00E837DC" w:rsidRPr="005F62F4" w14:paraId="59A8C17E" w14:textId="77777777" w:rsidTr="008B2B11">
        <w:tblPrEx>
          <w:tblLook w:val="0620" w:firstRow="1" w:lastRow="0" w:firstColumn="0" w:lastColumn="0" w:noHBand="1" w:noVBand="1"/>
        </w:tblPrEx>
        <w:trPr>
          <w:trHeight w:val="170"/>
        </w:trPr>
        <w:tc>
          <w:tcPr>
            <w:tcW w:w="2552" w:type="dxa"/>
          </w:tcPr>
          <w:p w14:paraId="78D93083" w14:textId="7226A1C8" w:rsidR="00E837DC" w:rsidRPr="005F62F4" w:rsidRDefault="00535C2C" w:rsidP="00270242">
            <w:pPr>
              <w:pStyle w:val="TableText"/>
              <w:rPr>
                <w:rFonts w:cstheme="minorHAnsi"/>
                <w:sz w:val="22"/>
                <w:szCs w:val="28"/>
              </w:rPr>
            </w:pPr>
            <w:r w:rsidRPr="005F62F4">
              <w:rPr>
                <w:rFonts w:cstheme="minorHAnsi"/>
                <w:sz w:val="22"/>
                <w:szCs w:val="28"/>
              </w:rPr>
              <w:t xml:space="preserve">Virtual surgical planning </w:t>
            </w:r>
          </w:p>
        </w:tc>
        <w:tc>
          <w:tcPr>
            <w:tcW w:w="6744" w:type="dxa"/>
          </w:tcPr>
          <w:p w14:paraId="3F2716F6" w14:textId="25467B4B" w:rsidR="00E837DC" w:rsidRPr="005F62F4" w:rsidRDefault="001B0A12" w:rsidP="00270242">
            <w:pPr>
              <w:pStyle w:val="TableText"/>
              <w:rPr>
                <w:rFonts w:cstheme="minorHAnsi"/>
                <w:sz w:val="22"/>
                <w:szCs w:val="28"/>
              </w:rPr>
            </w:pPr>
            <w:r w:rsidRPr="005F62F4">
              <w:rPr>
                <w:sz w:val="22"/>
                <w:szCs w:val="28"/>
              </w:rPr>
              <w:t xml:space="preserve">A </w:t>
            </w:r>
            <w:r w:rsidR="00E17397" w:rsidRPr="005F62F4">
              <w:rPr>
                <w:sz w:val="22"/>
                <w:szCs w:val="28"/>
              </w:rPr>
              <w:t xml:space="preserve">planning </w:t>
            </w:r>
            <w:r w:rsidRPr="005F62F4">
              <w:rPr>
                <w:sz w:val="22"/>
                <w:szCs w:val="28"/>
              </w:rPr>
              <w:t xml:space="preserve">procedure </w:t>
            </w:r>
            <w:r w:rsidR="00E17397" w:rsidRPr="005F62F4">
              <w:rPr>
                <w:sz w:val="22"/>
                <w:szCs w:val="28"/>
              </w:rPr>
              <w:t>‘</w:t>
            </w:r>
            <w:r w:rsidRPr="005F62F4">
              <w:rPr>
                <w:sz w:val="22"/>
                <w:szCs w:val="28"/>
              </w:rPr>
              <w:t xml:space="preserve">which uses digital clinical data for diagnostic, procedure selection and treatment planning purposes, including the forecast of potential outcomes’ </w:t>
            </w:r>
            <w:r w:rsidRPr="005F62F4">
              <w:rPr>
                <w:sz w:val="22"/>
                <w:szCs w:val="28"/>
              </w:rPr>
              <w:fldChar w:fldCharType="begin" w:fldLock="1"/>
            </w:r>
            <w:r w:rsidR="009E6C0A" w:rsidRPr="005F62F4">
              <w:rPr>
                <w:sz w:val="22"/>
                <w:szCs w:val="28"/>
              </w:rPr>
              <w:instrText>ADDIN CSL_CITATION {"citationItems":[{"id":"ITEM-1","itemData":{"DOI":"10.3390/JCM10235655","ISSN":"20770383","PMID":"34884359","abstract":"Virtual surgery planning is a non-invasive procedure, which uses digital clinical data for diagnostic, procedure selection and treatment planning purposes, including the forecast of potential outcomes. The technique begins with 3D data acquisition, using various methods, which may or may not utilize ionizing radiation, such as 3D stereophotogrammetry, 3D cone-beam CT scans, etc. Regardless of the imaging technique selected, landmark selection, whether it is manual or automated, is the key to transforming clinical data into objects that can be interrogated in virtual space. As a prerequisite, the data require alignment and correspondence such that pre-and post-operative configurations can be compared in real and statistical shape space. In addition, these data permit predictive modeling, using either model-based, data-based or hybrid modeling. These approaches provide perspectives for the development of customized surgical procedures and medical devices with accuracy, precision and intelligence. Therefore, this review briefly summarizes the current state of virtual surgery planning.","author":[{"dropping-particle":"","family":"Singh","given":"G. Dave","non-dropping-particle":"","parse-names":false,"suffix":""},{"dropping-particle":"","family":"Singh","given":"Manarshhjot","non-dropping-particle":"","parse-names":false,"suffix":""}],"container-title":"Journal of Clinical Medicine","id":"ITEM-1","issue":"23","issued":{"date-parts":[["2021","12","1"]]},"publisher":"Multidisciplinary Digital Publishing Institute (MDPI)","title":"Virtual surgical planning: modeling from the present to the Future","type":"article-journal","volume":"10"},"uris":["http://www.mendeley.com/documents/?uuid=8b536773-f630-3be5-8ac0-2073a16b4afd"]}],"mendeley":{"formattedCitation":"(Singh and Singh 2021)","plainTextFormattedCitation":"(Singh and Singh 2021)","previouslyFormattedCitation":"(Singh and Singh 2021)"},"properties":{"noteIndex":0},"schema":"https://github.com/citation-style-language/schema/raw/master/csl-citation.json"}</w:instrText>
            </w:r>
            <w:r w:rsidRPr="005F62F4">
              <w:rPr>
                <w:sz w:val="22"/>
                <w:szCs w:val="28"/>
              </w:rPr>
              <w:fldChar w:fldCharType="separate"/>
            </w:r>
            <w:r w:rsidR="00F7188B" w:rsidRPr="005F62F4">
              <w:rPr>
                <w:noProof/>
                <w:sz w:val="22"/>
                <w:szCs w:val="28"/>
              </w:rPr>
              <w:t>(Singh and Singh 2021)</w:t>
            </w:r>
            <w:r w:rsidRPr="005F62F4">
              <w:rPr>
                <w:sz w:val="22"/>
                <w:szCs w:val="28"/>
              </w:rPr>
              <w:fldChar w:fldCharType="end"/>
            </w:r>
            <w:r w:rsidRPr="005F62F4">
              <w:rPr>
                <w:sz w:val="22"/>
                <w:szCs w:val="28"/>
              </w:rPr>
              <w:t>.</w:t>
            </w:r>
            <w:r w:rsidR="00B2440D" w:rsidRPr="005F62F4">
              <w:rPr>
                <w:sz w:val="22"/>
                <w:szCs w:val="28"/>
              </w:rPr>
              <w:t xml:space="preserve"> </w:t>
            </w:r>
            <w:r w:rsidR="003C1AF2" w:rsidRPr="005F62F4">
              <w:rPr>
                <w:sz w:val="22"/>
                <w:szCs w:val="28"/>
              </w:rPr>
              <w:t xml:space="preserve">Surgical guides and </w:t>
            </w:r>
            <w:proofErr w:type="spellStart"/>
            <w:r w:rsidR="003C1AF2" w:rsidRPr="005F62F4">
              <w:rPr>
                <w:sz w:val="22"/>
                <w:szCs w:val="28"/>
              </w:rPr>
              <w:t>biomodels</w:t>
            </w:r>
            <w:proofErr w:type="spellEnd"/>
            <w:r w:rsidR="003C1AF2" w:rsidRPr="005F62F4">
              <w:rPr>
                <w:sz w:val="22"/>
                <w:szCs w:val="28"/>
              </w:rPr>
              <w:t xml:space="preserve"> may be produced as part of this process. Virtual surgical planning</w:t>
            </w:r>
            <w:r w:rsidR="00620307" w:rsidRPr="005F62F4">
              <w:rPr>
                <w:sz w:val="22"/>
                <w:szCs w:val="28"/>
              </w:rPr>
              <w:t xml:space="preserve"> can be used in combination with other techniques such as 3-D printing, in order to produce implants and patient-specific surgical tools </w:t>
            </w:r>
            <w:r w:rsidR="00620307" w:rsidRPr="005F62F4">
              <w:rPr>
                <w:sz w:val="22"/>
                <w:szCs w:val="28"/>
              </w:rPr>
              <w:fldChar w:fldCharType="begin" w:fldLock="1"/>
            </w:r>
            <w:r w:rsidR="009E6C0A" w:rsidRPr="005F62F4">
              <w:rPr>
                <w:sz w:val="22"/>
                <w:szCs w:val="28"/>
              </w:rPr>
              <w:instrText>ADDIN CSL_CITATION {"citationItems":[{"id":"ITEM-1","itemData":{"DOI":"10.3390/JCM10235655","ISSN":"20770383","PMID":"34884359","abstract":"Virtual surgery planning is a non-invasive procedure, which uses digital clinical data for diagnostic, procedure selection and treatment planning purposes, including the forecast of potential outcomes. The technique begins with 3D data acquisition, using various methods, which may or may not utilize ionizing radiation, such as 3D stereophotogrammetry, 3D cone-beam CT scans, etc. Regardless of the imaging technique selected, landmark selection, whether it is manual or automated, is the key to transforming clinical data into objects that can be interrogated in virtual space. As a prerequisite, the data require alignment and correspondence such that pre-and post-operative configurations can be compared in real and statistical shape space. In addition, these data permit predictive modeling, using either model-based, data-based or hybrid modeling. These approaches provide perspectives for the development of customized surgical procedures and medical devices with accuracy, precision and intelligence. Therefore, this review briefly summarizes the current state of virtual surgery planning.","author":[{"dropping-particle":"","family":"Singh","given":"G. Dave","non-dropping-particle":"","parse-names":false,"suffix":""},{"dropping-particle":"","family":"Singh","given":"Manarshhjot","non-dropping-particle":"","parse-names":false,"suffix":""}],"container-title":"Journal of Clinical Medicine","id":"ITEM-1","issue":"23","issued":{"date-parts":[["2021","12","1"]]},"publisher":"Multidisciplinary Digital Publishing Institute (MDPI)","title":"Virtual surgical planning: modeling from the present to the Future","type":"article-journal","volume":"10"},"uris":["http://www.mendeley.com/documents/?uuid=8b536773-f630-3be5-8ac0-2073a16b4afd"]}],"mendeley":{"formattedCitation":"(Singh and Singh 2021)","plainTextFormattedCitation":"(Singh and Singh 2021)","previouslyFormattedCitation":"(Singh and Singh 2021)"},"properties":{"noteIndex":0},"schema":"https://github.com/citation-style-language/schema/raw/master/csl-citation.json"}</w:instrText>
            </w:r>
            <w:r w:rsidR="00620307" w:rsidRPr="005F62F4">
              <w:rPr>
                <w:sz w:val="22"/>
                <w:szCs w:val="28"/>
              </w:rPr>
              <w:fldChar w:fldCharType="separate"/>
            </w:r>
            <w:r w:rsidR="00F7188B" w:rsidRPr="005F62F4">
              <w:rPr>
                <w:noProof/>
                <w:sz w:val="22"/>
                <w:szCs w:val="28"/>
              </w:rPr>
              <w:t>(Singh and Singh 2021)</w:t>
            </w:r>
            <w:r w:rsidR="00620307" w:rsidRPr="005F62F4">
              <w:rPr>
                <w:sz w:val="22"/>
                <w:szCs w:val="28"/>
              </w:rPr>
              <w:fldChar w:fldCharType="end"/>
            </w:r>
            <w:r w:rsidR="00620307" w:rsidRPr="005F62F4">
              <w:rPr>
                <w:sz w:val="22"/>
                <w:szCs w:val="28"/>
              </w:rPr>
              <w:t xml:space="preserve"> such as surgical guides or </w:t>
            </w:r>
            <w:proofErr w:type="spellStart"/>
            <w:r w:rsidR="00620307" w:rsidRPr="005F62F4">
              <w:rPr>
                <w:sz w:val="22"/>
                <w:szCs w:val="28"/>
              </w:rPr>
              <w:t>biomodels</w:t>
            </w:r>
            <w:proofErr w:type="spellEnd"/>
            <w:r w:rsidR="00620307" w:rsidRPr="005F62F4">
              <w:rPr>
                <w:sz w:val="22"/>
                <w:szCs w:val="28"/>
              </w:rPr>
              <w:t>.</w:t>
            </w:r>
          </w:p>
        </w:tc>
      </w:tr>
    </w:tbl>
    <w:p w14:paraId="5A4415C8" w14:textId="4216E657" w:rsidR="003F16E4" w:rsidRPr="005F62F4" w:rsidRDefault="003F16E4" w:rsidP="00704B24"/>
    <w:p w14:paraId="6B7C3993" w14:textId="74C23A50" w:rsidR="003306C5" w:rsidRPr="005F62F4" w:rsidRDefault="003306C5" w:rsidP="00704B24">
      <w:pPr>
        <w:sectPr w:rsidR="003306C5" w:rsidRPr="005F62F4" w:rsidSect="006653A9">
          <w:pgSz w:w="11906" w:h="16838"/>
          <w:pgMar w:top="1134" w:right="1134" w:bottom="1134" w:left="1440" w:header="708" w:footer="708" w:gutter="0"/>
          <w:pgNumType w:fmt="lowerRoman"/>
          <w:cols w:space="708"/>
          <w:titlePg/>
          <w:docGrid w:linePitch="360"/>
        </w:sectPr>
      </w:pPr>
    </w:p>
    <w:p w14:paraId="770A25E8" w14:textId="2AB8D46D" w:rsidR="00A43C34" w:rsidRPr="005F62F4" w:rsidRDefault="00A43C34" w:rsidP="00851952">
      <w:pPr>
        <w:pStyle w:val="Heading01"/>
      </w:pPr>
      <w:bookmarkStart w:id="23" w:name="_Toc120178284"/>
      <w:bookmarkStart w:id="24" w:name="_Toc129954588"/>
      <w:r w:rsidRPr="005F62F4">
        <w:lastRenderedPageBreak/>
        <w:t xml:space="preserve">Consumer </w:t>
      </w:r>
      <w:r w:rsidR="001B5024" w:rsidRPr="005F62F4">
        <w:t>s</w:t>
      </w:r>
      <w:r w:rsidRPr="005F62F4">
        <w:t>ummary</w:t>
      </w:r>
      <w:bookmarkEnd w:id="23"/>
      <w:bookmarkEnd w:id="24"/>
    </w:p>
    <w:p w14:paraId="0C57EA35" w14:textId="0586F1CB" w:rsidR="009031F3" w:rsidRPr="005F62F4" w:rsidRDefault="00772687" w:rsidP="00A53875">
      <w:pPr>
        <w:pStyle w:val="Para"/>
      </w:pPr>
      <w:r w:rsidRPr="005F62F4">
        <w:t>In the context of this review, s</w:t>
      </w:r>
      <w:r w:rsidR="001C5645" w:rsidRPr="005F62F4">
        <w:t xml:space="preserve">urgical guides and </w:t>
      </w:r>
      <w:proofErr w:type="spellStart"/>
      <w:r w:rsidR="001C5645" w:rsidRPr="005F62F4">
        <w:t>biomodels</w:t>
      </w:r>
      <w:proofErr w:type="spellEnd"/>
      <w:r w:rsidR="001C5645" w:rsidRPr="005F62F4">
        <w:t xml:space="preserve"> are </w:t>
      </w:r>
      <w:r w:rsidR="007A3ED3" w:rsidRPr="005F62F4">
        <w:t>devices</w:t>
      </w:r>
      <w:r w:rsidR="00884648" w:rsidRPr="005F62F4">
        <w:t xml:space="preserve"> </w:t>
      </w:r>
      <w:r w:rsidR="009A2715" w:rsidRPr="005F62F4">
        <w:t>–</w:t>
      </w:r>
      <w:r w:rsidR="003563C2" w:rsidRPr="005F62F4">
        <w:t xml:space="preserve"> </w:t>
      </w:r>
      <w:r w:rsidR="004479A8" w:rsidRPr="005F62F4">
        <w:t xml:space="preserve">designed and manufactured </w:t>
      </w:r>
      <w:r w:rsidR="003563C2" w:rsidRPr="005F62F4">
        <w:t>according to</w:t>
      </w:r>
      <w:r w:rsidR="004479A8" w:rsidRPr="005F62F4">
        <w:t xml:space="preserve"> </w:t>
      </w:r>
      <w:r w:rsidR="002861E1" w:rsidRPr="005F62F4">
        <w:t xml:space="preserve">a </w:t>
      </w:r>
      <w:r w:rsidR="004479A8" w:rsidRPr="005F62F4">
        <w:t>patient</w:t>
      </w:r>
      <w:r w:rsidR="002861E1" w:rsidRPr="005F62F4">
        <w:t>’</w:t>
      </w:r>
      <w:r w:rsidR="004479A8" w:rsidRPr="005F62F4">
        <w:t xml:space="preserve">s own </w:t>
      </w:r>
      <w:r w:rsidR="002861E1" w:rsidRPr="005F62F4">
        <w:t xml:space="preserve">individual </w:t>
      </w:r>
      <w:r w:rsidR="004479A8" w:rsidRPr="005F62F4">
        <w:t>anatomy</w:t>
      </w:r>
      <w:r w:rsidR="009A2715" w:rsidRPr="005F62F4">
        <w:t xml:space="preserve"> –</w:t>
      </w:r>
      <w:r w:rsidR="004479A8" w:rsidRPr="005F62F4">
        <w:t xml:space="preserve"> that guide </w:t>
      </w:r>
      <w:r w:rsidR="00E848CD" w:rsidRPr="005F62F4">
        <w:t>or support</w:t>
      </w:r>
      <w:r w:rsidR="004479A8" w:rsidRPr="005F62F4">
        <w:t xml:space="preserve"> the implantation </w:t>
      </w:r>
      <w:r w:rsidR="009031F3" w:rsidRPr="005F62F4">
        <w:t>of a prosthesis (</w:t>
      </w:r>
      <w:r w:rsidR="00EE0514" w:rsidRPr="005F62F4">
        <w:t xml:space="preserve">something </w:t>
      </w:r>
      <w:r w:rsidR="009C27ED" w:rsidRPr="005F62F4">
        <w:t xml:space="preserve">that is </w:t>
      </w:r>
      <w:r w:rsidR="00BF32A8" w:rsidRPr="005F62F4">
        <w:t>s</w:t>
      </w:r>
      <w:r w:rsidR="00A53DD2" w:rsidRPr="005F62F4">
        <w:t xml:space="preserve">urgically implanted to </w:t>
      </w:r>
      <w:r w:rsidR="009C27ED" w:rsidRPr="005F62F4">
        <w:t>replace a body part</w:t>
      </w:r>
      <w:r w:rsidR="00B92627" w:rsidRPr="005F62F4">
        <w:t xml:space="preserve"> or treat a </w:t>
      </w:r>
      <w:r w:rsidR="00A53DD2" w:rsidRPr="005F62F4">
        <w:t xml:space="preserve">medical condition or </w:t>
      </w:r>
      <w:r w:rsidR="00205EF5" w:rsidRPr="005F62F4">
        <w:t>disease</w:t>
      </w:r>
      <w:r w:rsidR="00B92627" w:rsidRPr="005F62F4">
        <w:t>)</w:t>
      </w:r>
      <w:r w:rsidR="0011550F" w:rsidRPr="005F62F4">
        <w:t>.</w:t>
      </w:r>
    </w:p>
    <w:p w14:paraId="0EA5328F" w14:textId="4E061DFB" w:rsidR="00435FE8" w:rsidRPr="005F62F4" w:rsidRDefault="008B552B" w:rsidP="00A53875">
      <w:pPr>
        <w:pStyle w:val="Para"/>
      </w:pPr>
      <w:proofErr w:type="gramStart"/>
      <w:r w:rsidRPr="005F62F4">
        <w:t>A</w:t>
      </w:r>
      <w:r w:rsidR="005B25F2" w:rsidRPr="005F62F4">
        <w:t xml:space="preserve"> number of</w:t>
      </w:r>
      <w:proofErr w:type="gramEnd"/>
      <w:r w:rsidR="005B25F2" w:rsidRPr="005F62F4">
        <w:t xml:space="preserve"> different brands and types of surgical guides and </w:t>
      </w:r>
      <w:proofErr w:type="spellStart"/>
      <w:r w:rsidR="005B25F2" w:rsidRPr="005F62F4">
        <w:t>biomodels</w:t>
      </w:r>
      <w:proofErr w:type="spellEnd"/>
      <w:r w:rsidR="005B25F2" w:rsidRPr="005F62F4">
        <w:t xml:space="preserve"> are listed on the Prostheses List (PL). This </w:t>
      </w:r>
      <w:r w:rsidR="008D5B06" w:rsidRPr="005F62F4">
        <w:t>listing</w:t>
      </w:r>
      <w:r w:rsidR="005B25F2" w:rsidRPr="005F62F4">
        <w:t xml:space="preserve"> means that </w:t>
      </w:r>
      <w:r w:rsidRPr="005F62F4">
        <w:t xml:space="preserve">when they are used in </w:t>
      </w:r>
      <w:r w:rsidR="00A53875" w:rsidRPr="005F62F4">
        <w:t xml:space="preserve">prosthesis implant </w:t>
      </w:r>
      <w:r w:rsidRPr="005F62F4">
        <w:t>surgeries for Australians with private health insurance, the</w:t>
      </w:r>
      <w:r w:rsidR="005B25F2" w:rsidRPr="005F62F4">
        <w:t xml:space="preserve"> insurance </w:t>
      </w:r>
      <w:r w:rsidR="008949DA" w:rsidRPr="005F62F4">
        <w:t xml:space="preserve">providers are required to </w:t>
      </w:r>
      <w:r w:rsidR="00651D0C" w:rsidRPr="005F62F4">
        <w:t xml:space="preserve">pay a specified amount </w:t>
      </w:r>
      <w:r w:rsidRPr="005F62F4">
        <w:t>for them</w:t>
      </w:r>
      <w:r w:rsidR="00435FE8" w:rsidRPr="005F62F4">
        <w:t>.</w:t>
      </w:r>
    </w:p>
    <w:p w14:paraId="7FFBEF73" w14:textId="0C93CA95" w:rsidR="00F22AFA" w:rsidRPr="005F62F4" w:rsidRDefault="00F22AFA" w:rsidP="00A53875">
      <w:pPr>
        <w:pStyle w:val="Para"/>
      </w:pPr>
      <w:r w:rsidRPr="005F62F4">
        <w:t xml:space="preserve">Since surgical guides and </w:t>
      </w:r>
      <w:proofErr w:type="spellStart"/>
      <w:r w:rsidRPr="005F62F4">
        <w:t>biomodels</w:t>
      </w:r>
      <w:proofErr w:type="spellEnd"/>
      <w:r w:rsidRPr="005F62F4">
        <w:t xml:space="preserve"> were first listed on the PL, their use has grown </w:t>
      </w:r>
      <w:r w:rsidR="002848A0" w:rsidRPr="005F62F4">
        <w:t>substantially</w:t>
      </w:r>
      <w:r w:rsidRPr="005F62F4">
        <w:t xml:space="preserve">. </w:t>
      </w:r>
      <w:r w:rsidR="00720811" w:rsidRPr="005F62F4">
        <w:t>While the</w:t>
      </w:r>
      <w:r w:rsidR="00FA7A02" w:rsidRPr="005F62F4">
        <w:t>y</w:t>
      </w:r>
      <w:r w:rsidR="00720811" w:rsidRPr="005F62F4">
        <w:t xml:space="preserve"> were originally </w:t>
      </w:r>
      <w:r w:rsidR="008F0A05" w:rsidRPr="005F62F4">
        <w:t>listed for use in procedures</w:t>
      </w:r>
      <w:r w:rsidR="00720811" w:rsidRPr="005F62F4">
        <w:t xml:space="preserve"> involving the head and face (</w:t>
      </w:r>
      <w:proofErr w:type="gramStart"/>
      <w:r w:rsidR="00720811" w:rsidRPr="005F62F4">
        <w:t>e.g.</w:t>
      </w:r>
      <w:proofErr w:type="gramEnd"/>
      <w:r w:rsidR="00720811" w:rsidRPr="005F62F4">
        <w:t xml:space="preserve"> jaw surgeries and facial reconstructions), they are increasingly </w:t>
      </w:r>
      <w:r w:rsidR="00A403EB" w:rsidRPr="005F62F4">
        <w:t xml:space="preserve">being </w:t>
      </w:r>
      <w:r w:rsidR="00720811" w:rsidRPr="005F62F4">
        <w:t xml:space="preserve">used for procedures involving </w:t>
      </w:r>
      <w:r w:rsidR="006124BC" w:rsidRPr="005F62F4">
        <w:t xml:space="preserve">prostheses in </w:t>
      </w:r>
      <w:r w:rsidR="00720811" w:rsidRPr="005F62F4">
        <w:t xml:space="preserve">other areas of the body. </w:t>
      </w:r>
      <w:r w:rsidR="00732576" w:rsidRPr="005F62F4">
        <w:t xml:space="preserve">Their use across </w:t>
      </w:r>
      <w:r w:rsidR="00410CB2" w:rsidRPr="005F62F4">
        <w:t>all</w:t>
      </w:r>
      <w:r w:rsidR="00732576" w:rsidRPr="005F62F4">
        <w:t xml:space="preserve"> </w:t>
      </w:r>
      <w:r w:rsidR="00626C5F" w:rsidRPr="005F62F4">
        <w:t xml:space="preserve">categories has risen </w:t>
      </w:r>
      <w:r w:rsidR="002848A0" w:rsidRPr="005F62F4">
        <w:t>substantially</w:t>
      </w:r>
      <w:r w:rsidR="00626C5F" w:rsidRPr="005F62F4">
        <w:t xml:space="preserve"> over recent years. </w:t>
      </w:r>
      <w:r w:rsidRPr="005F62F4">
        <w:t xml:space="preserve">This means that </w:t>
      </w:r>
      <w:r w:rsidR="00725C62" w:rsidRPr="005F62F4">
        <w:t xml:space="preserve">private health insurers have had to pay more </w:t>
      </w:r>
      <w:r w:rsidR="00720811" w:rsidRPr="005F62F4">
        <w:t xml:space="preserve">for these devices </w:t>
      </w:r>
      <w:r w:rsidR="00F3353F" w:rsidRPr="005F62F4">
        <w:t>year by year</w:t>
      </w:r>
      <w:r w:rsidR="001260DF" w:rsidRPr="005F62F4">
        <w:t>, which</w:t>
      </w:r>
      <w:r w:rsidR="00883E58" w:rsidRPr="005F62F4">
        <w:t xml:space="preserve"> could </w:t>
      </w:r>
      <w:r w:rsidR="00731133" w:rsidRPr="005F62F4">
        <w:t>affect</w:t>
      </w:r>
      <w:r w:rsidR="00DC16DD" w:rsidRPr="005F62F4">
        <w:t xml:space="preserve"> </w:t>
      </w:r>
      <w:r w:rsidR="00F3353F" w:rsidRPr="005F62F4">
        <w:t>private health insurance premiums</w:t>
      </w:r>
      <w:r w:rsidR="00857817" w:rsidRPr="005F62F4">
        <w:t>.</w:t>
      </w:r>
    </w:p>
    <w:p w14:paraId="17079B0E" w14:textId="2B68F7F6" w:rsidR="00720811" w:rsidRPr="005F62F4" w:rsidRDefault="00857817" w:rsidP="002E58AD">
      <w:pPr>
        <w:pStyle w:val="ParaKeep"/>
      </w:pPr>
      <w:r w:rsidRPr="005F62F4">
        <w:t>As part of a ra</w:t>
      </w:r>
      <w:r w:rsidR="00A53875" w:rsidRPr="005F62F4">
        <w:t>f</w:t>
      </w:r>
      <w:r w:rsidRPr="005F62F4">
        <w:t xml:space="preserve">t of changes and reforms to the PL, </w:t>
      </w:r>
      <w:r w:rsidR="00637B15" w:rsidRPr="005F62F4">
        <w:t xml:space="preserve">the </w:t>
      </w:r>
      <w:r w:rsidR="00F22AFA" w:rsidRPr="005F62F4">
        <w:t>Australian Gov</w:t>
      </w:r>
      <w:r w:rsidRPr="005F62F4">
        <w:t>e</w:t>
      </w:r>
      <w:r w:rsidR="00F22AFA" w:rsidRPr="005F62F4">
        <w:t>rnment Department of Health and Age</w:t>
      </w:r>
      <w:r w:rsidR="007D6637" w:rsidRPr="005F62F4">
        <w:t>d Care</w:t>
      </w:r>
      <w:r w:rsidR="00F22AFA" w:rsidRPr="005F62F4">
        <w:t xml:space="preserve"> </w:t>
      </w:r>
      <w:r w:rsidR="00A53875" w:rsidRPr="005F62F4">
        <w:t xml:space="preserve">(the department) </w:t>
      </w:r>
      <w:r w:rsidRPr="005F62F4">
        <w:t xml:space="preserve">asked Australian Healthcare Associates </w:t>
      </w:r>
      <w:r w:rsidR="00DF1359" w:rsidRPr="005F62F4">
        <w:t xml:space="preserve">(AHA) </w:t>
      </w:r>
      <w:r w:rsidRPr="005F62F4">
        <w:t>to</w:t>
      </w:r>
      <w:r w:rsidR="00720811" w:rsidRPr="005F62F4">
        <w:t>:</w:t>
      </w:r>
    </w:p>
    <w:p w14:paraId="52490063" w14:textId="0D010C9F" w:rsidR="00720811" w:rsidRPr="005F62F4" w:rsidRDefault="00720811" w:rsidP="00720811">
      <w:pPr>
        <w:pStyle w:val="Bullet1Keep"/>
      </w:pPr>
      <w:r w:rsidRPr="005F62F4">
        <w:t>analyse</w:t>
      </w:r>
      <w:r w:rsidR="00857817" w:rsidRPr="005F62F4">
        <w:rPr>
          <w:rFonts w:eastAsia="MS Mincho"/>
          <w:lang w:eastAsia="en-GB"/>
        </w:rPr>
        <w:t xml:space="preserve"> the </w:t>
      </w:r>
      <w:r w:rsidR="003C02F2" w:rsidRPr="005F62F4">
        <w:rPr>
          <w:rFonts w:eastAsia="MS Mincho"/>
          <w:lang w:eastAsia="en-GB"/>
        </w:rPr>
        <w:t xml:space="preserve">current </w:t>
      </w:r>
      <w:r w:rsidR="00857817" w:rsidRPr="005F62F4">
        <w:rPr>
          <w:rFonts w:eastAsia="MS Mincho"/>
          <w:lang w:eastAsia="en-GB"/>
        </w:rPr>
        <w:t xml:space="preserve">role </w:t>
      </w:r>
      <w:r w:rsidRPr="005F62F4">
        <w:t xml:space="preserve">and trends in use </w:t>
      </w:r>
      <w:r w:rsidR="00857817" w:rsidRPr="005F62F4">
        <w:rPr>
          <w:rFonts w:eastAsia="MS Mincho"/>
          <w:lang w:eastAsia="en-GB"/>
        </w:rPr>
        <w:t xml:space="preserve">of </w:t>
      </w:r>
      <w:r w:rsidR="003C02F2" w:rsidRPr="005F62F4">
        <w:rPr>
          <w:rFonts w:eastAsia="MS Mincho"/>
          <w:lang w:eastAsia="en-GB"/>
        </w:rPr>
        <w:t>the</w:t>
      </w:r>
      <w:r w:rsidR="00857817" w:rsidRPr="005F62F4">
        <w:rPr>
          <w:rFonts w:eastAsia="MS Mincho"/>
          <w:lang w:eastAsia="en-GB"/>
        </w:rPr>
        <w:t xml:space="preserve"> surgical guides and </w:t>
      </w:r>
      <w:proofErr w:type="spellStart"/>
      <w:r w:rsidR="00857817" w:rsidRPr="005F62F4">
        <w:rPr>
          <w:rFonts w:eastAsia="MS Mincho"/>
          <w:lang w:eastAsia="en-GB"/>
        </w:rPr>
        <w:t>biomodels</w:t>
      </w:r>
      <w:proofErr w:type="spellEnd"/>
      <w:r w:rsidR="00857817" w:rsidRPr="005F62F4">
        <w:rPr>
          <w:rFonts w:eastAsia="MS Mincho"/>
          <w:lang w:eastAsia="en-GB"/>
        </w:rPr>
        <w:t xml:space="preserve"> on the PL</w:t>
      </w:r>
    </w:p>
    <w:p w14:paraId="74A0EE68" w14:textId="3EE69255" w:rsidR="00720811" w:rsidRPr="005F62F4" w:rsidRDefault="00431A87" w:rsidP="00720811">
      <w:pPr>
        <w:pStyle w:val="Bullet1Keep"/>
      </w:pPr>
      <w:r w:rsidRPr="005F62F4">
        <w:rPr>
          <w:rFonts w:eastAsia="MS Mincho"/>
          <w:lang w:eastAsia="en-GB"/>
        </w:rPr>
        <w:t>review the evidence that suppo</w:t>
      </w:r>
      <w:r w:rsidR="0057445C" w:rsidRPr="005F62F4">
        <w:rPr>
          <w:rFonts w:eastAsia="MS Mincho"/>
          <w:lang w:eastAsia="en-GB"/>
        </w:rPr>
        <w:t>r</w:t>
      </w:r>
      <w:r w:rsidRPr="005F62F4">
        <w:rPr>
          <w:rFonts w:eastAsia="MS Mincho"/>
          <w:lang w:eastAsia="en-GB"/>
        </w:rPr>
        <w:t>ts their use</w:t>
      </w:r>
    </w:p>
    <w:p w14:paraId="45376759" w14:textId="42B41FB0" w:rsidR="00720811" w:rsidRPr="005F62F4" w:rsidRDefault="00431A87" w:rsidP="00720811">
      <w:pPr>
        <w:pStyle w:val="Bullet1Keep"/>
      </w:pPr>
      <w:r w:rsidRPr="005F62F4">
        <w:rPr>
          <w:rFonts w:eastAsia="MS Mincho"/>
          <w:lang w:eastAsia="en-GB"/>
        </w:rPr>
        <w:t xml:space="preserve">describe </w:t>
      </w:r>
      <w:r w:rsidR="0057445C" w:rsidRPr="005F62F4">
        <w:rPr>
          <w:rFonts w:eastAsia="MS Mincho"/>
          <w:lang w:eastAsia="en-GB"/>
        </w:rPr>
        <w:t>how they are currently used</w:t>
      </w:r>
    </w:p>
    <w:p w14:paraId="288BF8BE" w14:textId="674AA2D2" w:rsidR="00F22AFA" w:rsidRPr="005F62F4" w:rsidRDefault="0057445C" w:rsidP="002E58AD">
      <w:pPr>
        <w:pStyle w:val="Bullet1"/>
      </w:pPr>
      <w:r w:rsidRPr="005F62F4">
        <w:rPr>
          <w:rFonts w:eastAsia="MS Mincho"/>
          <w:lang w:eastAsia="en-GB"/>
        </w:rPr>
        <w:t>ad</w:t>
      </w:r>
      <w:r w:rsidRPr="005F62F4">
        <w:t xml:space="preserve">vise </w:t>
      </w:r>
      <w:r w:rsidR="00CF300C" w:rsidRPr="005F62F4">
        <w:t>whether</w:t>
      </w:r>
      <w:r w:rsidRPr="005F62F4">
        <w:t xml:space="preserve"> they </w:t>
      </w:r>
      <w:r w:rsidR="00CF300C" w:rsidRPr="005F62F4">
        <w:t xml:space="preserve">meet the </w:t>
      </w:r>
      <w:r w:rsidR="00E62897" w:rsidRPr="005F62F4">
        <w:t xml:space="preserve">current </w:t>
      </w:r>
      <w:r w:rsidR="0031108F" w:rsidRPr="005F62F4">
        <w:t xml:space="preserve">eligibility criteria </w:t>
      </w:r>
      <w:r w:rsidRPr="005F62F4">
        <w:t>for listing</w:t>
      </w:r>
      <w:r w:rsidR="0031108F" w:rsidRPr="005F62F4">
        <w:t xml:space="preserve"> </w:t>
      </w:r>
      <w:r w:rsidR="00CF300C" w:rsidRPr="005F62F4">
        <w:t>on the PL</w:t>
      </w:r>
      <w:r w:rsidR="008121CC" w:rsidRPr="005F62F4">
        <w:t>.</w:t>
      </w:r>
    </w:p>
    <w:p w14:paraId="201D22AE" w14:textId="784E5984" w:rsidR="00A53875" w:rsidRPr="005F62F4" w:rsidRDefault="00DF1359" w:rsidP="002E58AD">
      <w:pPr>
        <w:pStyle w:val="ParaKeep"/>
      </w:pPr>
      <w:r w:rsidRPr="005F62F4">
        <w:t xml:space="preserve">AHA reviewed available evidence and spoke to key stakeholders to answer these questions. </w:t>
      </w:r>
      <w:r w:rsidR="00A53875" w:rsidRPr="005F62F4">
        <w:t>We found that</w:t>
      </w:r>
      <w:r w:rsidR="00C82DCD" w:rsidRPr="005F62F4">
        <w:t>:</w:t>
      </w:r>
    </w:p>
    <w:p w14:paraId="3108E460" w14:textId="77777777" w:rsidR="00A53875" w:rsidRPr="005F62F4" w:rsidRDefault="00F77190" w:rsidP="00A53875">
      <w:pPr>
        <w:pStyle w:val="Bullet1"/>
      </w:pPr>
      <w:r w:rsidRPr="005F62F4">
        <w:t>S</w:t>
      </w:r>
      <w:r w:rsidR="00A53875" w:rsidRPr="005F62F4">
        <w:t xml:space="preserve">urgical guides are frequently and appropriately used in complex surgeries involving </w:t>
      </w:r>
      <w:r w:rsidR="0099379E" w:rsidRPr="005F62F4">
        <w:t xml:space="preserve">prosthetic implants in </w:t>
      </w:r>
      <w:r w:rsidR="00287E2F" w:rsidRPr="005F62F4">
        <w:t>difficult jaw surgeries</w:t>
      </w:r>
      <w:r w:rsidR="00A53875" w:rsidRPr="005F62F4">
        <w:t xml:space="preserve"> and </w:t>
      </w:r>
      <w:r w:rsidR="00287E2F" w:rsidRPr="005F62F4">
        <w:t>facial reconstructions.</w:t>
      </w:r>
    </w:p>
    <w:p w14:paraId="00F2D919" w14:textId="4069691F" w:rsidR="00A53875" w:rsidRPr="005F62F4" w:rsidRDefault="00F77190" w:rsidP="00A53875">
      <w:pPr>
        <w:pStyle w:val="Bullet1"/>
      </w:pPr>
      <w:proofErr w:type="spellStart"/>
      <w:r w:rsidRPr="005F62F4">
        <w:t>B</w:t>
      </w:r>
      <w:r w:rsidR="00A53875" w:rsidRPr="005F62F4">
        <w:t>iomodels</w:t>
      </w:r>
      <w:proofErr w:type="spellEnd"/>
      <w:r w:rsidR="00A53875" w:rsidRPr="005F62F4">
        <w:t xml:space="preserve"> are</w:t>
      </w:r>
      <w:r w:rsidR="001176D1" w:rsidRPr="005F62F4">
        <w:t>, overall,</w:t>
      </w:r>
      <w:r w:rsidR="00A53875" w:rsidRPr="005F62F4">
        <w:t xml:space="preserve"> seen as less useful</w:t>
      </w:r>
      <w:r w:rsidR="001176D1" w:rsidRPr="005F62F4">
        <w:t>, but still play an important role in some circumstances</w:t>
      </w:r>
      <w:r w:rsidRPr="005F62F4">
        <w:t>.</w:t>
      </w:r>
    </w:p>
    <w:p w14:paraId="0705F0DC" w14:textId="0B7D1961" w:rsidR="00536CCF" w:rsidRPr="005F62F4" w:rsidRDefault="00536CCF">
      <w:pPr>
        <w:pStyle w:val="Bullet1"/>
      </w:pPr>
      <w:r w:rsidRPr="005F62F4">
        <w:t xml:space="preserve">The use of surgical guides and </w:t>
      </w:r>
      <w:proofErr w:type="spellStart"/>
      <w:r w:rsidRPr="005F62F4">
        <w:t>biomodels</w:t>
      </w:r>
      <w:proofErr w:type="spellEnd"/>
      <w:r w:rsidRPr="005F62F4">
        <w:t xml:space="preserve"> has, on average, doubled each year since 2013</w:t>
      </w:r>
      <w:r w:rsidR="00A15270" w:rsidRPr="005F62F4">
        <w:noBreakHyphen/>
      </w:r>
      <w:r w:rsidRPr="005F62F4">
        <w:t>14.</w:t>
      </w:r>
    </w:p>
    <w:p w14:paraId="69A3DAB1" w14:textId="2014C255" w:rsidR="00307318" w:rsidRPr="005F62F4" w:rsidRDefault="008D5B06" w:rsidP="00307318">
      <w:pPr>
        <w:pStyle w:val="Bullet1"/>
      </w:pPr>
      <w:r w:rsidRPr="005F62F4">
        <w:t>T</w:t>
      </w:r>
      <w:r w:rsidR="00307318" w:rsidRPr="005F62F4">
        <w:t xml:space="preserve">he available evidence generally supports the use of surgical guides and </w:t>
      </w:r>
      <w:proofErr w:type="spellStart"/>
      <w:r w:rsidR="00307318" w:rsidRPr="005F62F4">
        <w:t>biomodels</w:t>
      </w:r>
      <w:proofErr w:type="spellEnd"/>
      <w:r w:rsidR="00307318" w:rsidRPr="005F62F4">
        <w:t xml:space="preserve"> in a range of situations, but there have not been </w:t>
      </w:r>
      <w:r w:rsidR="006C6CDA" w:rsidRPr="005F62F4">
        <w:t xml:space="preserve">many high-quality studies that </w:t>
      </w:r>
      <w:r w:rsidR="00D64EB3" w:rsidRPr="005F62F4">
        <w:t xml:space="preserve">directly </w:t>
      </w:r>
      <w:r w:rsidR="006C6CDA" w:rsidRPr="005F62F4">
        <w:t>compare</w:t>
      </w:r>
      <w:r w:rsidR="00F77190" w:rsidRPr="005F62F4">
        <w:t xml:space="preserve"> the results </w:t>
      </w:r>
      <w:r w:rsidR="006A4CEA" w:rsidRPr="005F62F4">
        <w:t>of</w:t>
      </w:r>
      <w:r w:rsidR="00F77190" w:rsidRPr="005F62F4">
        <w:t xml:space="preserve"> surgeries performed</w:t>
      </w:r>
      <w:r w:rsidR="00D64EB3" w:rsidRPr="005F62F4">
        <w:t xml:space="preserve"> </w:t>
      </w:r>
      <w:r w:rsidR="00DA2A17" w:rsidRPr="005F62F4">
        <w:t xml:space="preserve">with </w:t>
      </w:r>
      <w:r w:rsidR="003F1DA3" w:rsidRPr="005F62F4">
        <w:t>them to those performed</w:t>
      </w:r>
      <w:r w:rsidR="00DA2A17" w:rsidRPr="005F62F4">
        <w:t xml:space="preserve"> </w:t>
      </w:r>
      <w:r w:rsidR="00D64EB3" w:rsidRPr="005F62F4">
        <w:t>without them</w:t>
      </w:r>
      <w:r w:rsidR="001D7A96" w:rsidRPr="005F62F4">
        <w:t>.</w:t>
      </w:r>
    </w:p>
    <w:p w14:paraId="53FD6F3F" w14:textId="0527E4C1" w:rsidR="00C05046" w:rsidRPr="005F62F4" w:rsidRDefault="00C7517F" w:rsidP="007C4445">
      <w:pPr>
        <w:pStyle w:val="Bullet1"/>
      </w:pPr>
      <w:r w:rsidRPr="005F62F4">
        <w:lastRenderedPageBreak/>
        <w:t xml:space="preserve">The use of surgical guides and </w:t>
      </w:r>
      <w:proofErr w:type="spellStart"/>
      <w:r w:rsidRPr="005F62F4">
        <w:t>biomodels</w:t>
      </w:r>
      <w:proofErr w:type="spellEnd"/>
      <w:r w:rsidRPr="005F62F4">
        <w:t xml:space="preserve"> is expected to continue and broaden as the technology improves and manufacturing costs reduce.</w:t>
      </w:r>
    </w:p>
    <w:p w14:paraId="50EBD0F4" w14:textId="02E077EA" w:rsidR="00BB3802" w:rsidRPr="005F62F4" w:rsidRDefault="00BB3802" w:rsidP="00BB3802">
      <w:pPr>
        <w:pStyle w:val="Bullet1"/>
      </w:pPr>
      <w:r w:rsidRPr="005F62F4">
        <w:t>T</w:t>
      </w:r>
      <w:r w:rsidR="004055B0" w:rsidRPr="005F62F4">
        <w:t xml:space="preserve">he </w:t>
      </w:r>
      <w:r w:rsidR="00892A6B" w:rsidRPr="005F62F4">
        <w:t>wording</w:t>
      </w:r>
      <w:r w:rsidR="00E760C4" w:rsidRPr="005F62F4">
        <w:t xml:space="preserve"> of</w:t>
      </w:r>
      <w:r w:rsidR="004055B0" w:rsidRPr="005F62F4">
        <w:t xml:space="preserve"> some </w:t>
      </w:r>
      <w:r w:rsidR="008E0D44" w:rsidRPr="005F62F4">
        <w:t xml:space="preserve">PL eligibility </w:t>
      </w:r>
      <w:r w:rsidR="004055B0" w:rsidRPr="005F62F4">
        <w:t xml:space="preserve">criteria </w:t>
      </w:r>
      <w:r w:rsidR="00892A6B" w:rsidRPr="005F62F4">
        <w:t>is</w:t>
      </w:r>
      <w:r w:rsidR="004055B0" w:rsidRPr="005F62F4">
        <w:t xml:space="preserve"> open to interpretation,</w:t>
      </w:r>
      <w:r w:rsidR="00892A6B" w:rsidRPr="005F62F4">
        <w:t xml:space="preserve"> making it hard to </w:t>
      </w:r>
      <w:r w:rsidR="008D0BF2" w:rsidRPr="005F62F4">
        <w:t>know</w:t>
      </w:r>
      <w:r w:rsidR="00DB1681" w:rsidRPr="005F62F4">
        <w:t xml:space="preserve"> if </w:t>
      </w:r>
      <w:r w:rsidR="00142BCC" w:rsidRPr="005F62F4">
        <w:t xml:space="preserve">they are met or not met. </w:t>
      </w:r>
      <w:r w:rsidR="00C56BC0" w:rsidRPr="005F62F4">
        <w:t>For other criteria, we were able to say</w:t>
      </w:r>
      <w:r w:rsidR="007E2F50" w:rsidRPr="005F62F4">
        <w:t xml:space="preserve"> if they were</w:t>
      </w:r>
      <w:r w:rsidR="004B2E0C" w:rsidRPr="005F62F4">
        <w:t xml:space="preserve"> </w:t>
      </w:r>
      <w:r w:rsidR="004C549F" w:rsidRPr="005F62F4">
        <w:t>met or not met</w:t>
      </w:r>
      <w:r w:rsidR="004B2E0C" w:rsidRPr="005F62F4">
        <w:t xml:space="preserve"> by </w:t>
      </w:r>
      <w:r w:rsidR="00E157E2" w:rsidRPr="005F62F4">
        <w:t xml:space="preserve">the </w:t>
      </w:r>
      <w:r w:rsidR="00FC0C08" w:rsidRPr="005F62F4">
        <w:t xml:space="preserve">surgical guides or </w:t>
      </w:r>
      <w:proofErr w:type="spellStart"/>
      <w:r w:rsidR="00FC0C08" w:rsidRPr="005F62F4">
        <w:t>biomodels</w:t>
      </w:r>
      <w:proofErr w:type="spellEnd"/>
      <w:r w:rsidR="009732D5" w:rsidRPr="005F62F4">
        <w:t xml:space="preserve"> listed on the </w:t>
      </w:r>
      <w:r w:rsidR="0004363E" w:rsidRPr="005F62F4">
        <w:t>PL</w:t>
      </w:r>
      <w:r w:rsidR="00E157E2" w:rsidRPr="005F62F4">
        <w:t xml:space="preserve">, and </w:t>
      </w:r>
      <w:r w:rsidR="00C312CA" w:rsidRPr="005F62F4">
        <w:t xml:space="preserve">under </w:t>
      </w:r>
      <w:r w:rsidR="006608FC" w:rsidRPr="005F62F4">
        <w:t xml:space="preserve">what </w:t>
      </w:r>
      <w:r w:rsidR="00C312CA" w:rsidRPr="005F62F4">
        <w:t>conditions</w:t>
      </w:r>
      <w:r w:rsidR="00455676" w:rsidRPr="005F62F4">
        <w:t>.</w:t>
      </w:r>
    </w:p>
    <w:p w14:paraId="2DB7B76E" w14:textId="181952E5" w:rsidR="003306C5" w:rsidRPr="005F62F4" w:rsidRDefault="00361786" w:rsidP="0089131D">
      <w:pPr>
        <w:pStyle w:val="Para"/>
      </w:pPr>
      <w:r w:rsidRPr="005F62F4">
        <w:rPr>
          <w:lang w:eastAsia="en-AU"/>
        </w:rPr>
        <w:t>In this report</w:t>
      </w:r>
      <w:r w:rsidR="0089131D" w:rsidRPr="005F62F4">
        <w:rPr>
          <w:lang w:eastAsia="en-AU"/>
        </w:rPr>
        <w:t>,</w:t>
      </w:r>
      <w:r w:rsidRPr="005F62F4">
        <w:rPr>
          <w:lang w:eastAsia="en-AU"/>
        </w:rPr>
        <w:t xml:space="preserve"> we discuss these issues</w:t>
      </w:r>
      <w:r w:rsidR="004C549F" w:rsidRPr="005F62F4">
        <w:rPr>
          <w:lang w:eastAsia="en-AU"/>
        </w:rPr>
        <w:t xml:space="preserve"> and</w:t>
      </w:r>
      <w:r w:rsidRPr="005F62F4">
        <w:rPr>
          <w:lang w:eastAsia="en-AU"/>
        </w:rPr>
        <w:t xml:space="preserve"> </w:t>
      </w:r>
      <w:r w:rsidR="00C85AFE" w:rsidRPr="005F62F4">
        <w:rPr>
          <w:lang w:eastAsia="en-AU"/>
        </w:rPr>
        <w:t xml:space="preserve">provide some </w:t>
      </w:r>
      <w:r w:rsidR="00075720" w:rsidRPr="005F62F4">
        <w:rPr>
          <w:lang w:eastAsia="en-AU"/>
        </w:rPr>
        <w:t xml:space="preserve">suggestions </w:t>
      </w:r>
      <w:r w:rsidR="004C549F" w:rsidRPr="005F62F4">
        <w:rPr>
          <w:lang w:eastAsia="en-AU"/>
        </w:rPr>
        <w:t xml:space="preserve">to the department </w:t>
      </w:r>
      <w:r w:rsidR="0089131D" w:rsidRPr="005F62F4">
        <w:rPr>
          <w:lang w:eastAsia="en-AU"/>
        </w:rPr>
        <w:t xml:space="preserve">to </w:t>
      </w:r>
      <w:r w:rsidR="004B2E0C" w:rsidRPr="005F62F4">
        <w:rPr>
          <w:lang w:eastAsia="en-AU"/>
        </w:rPr>
        <w:t>consider.</w:t>
      </w:r>
    </w:p>
    <w:p w14:paraId="50A8205A" w14:textId="6B516C61" w:rsidR="003306C5" w:rsidRPr="005F62F4" w:rsidRDefault="003306C5" w:rsidP="00DF0144">
      <w:pPr>
        <w:sectPr w:rsidR="003306C5" w:rsidRPr="005F62F4" w:rsidSect="0089131D">
          <w:headerReference w:type="default" r:id="rId16"/>
          <w:pgSz w:w="11906" w:h="16838"/>
          <w:pgMar w:top="1134" w:right="1440" w:bottom="1134" w:left="1440" w:header="709" w:footer="709" w:gutter="0"/>
          <w:pgNumType w:start="1"/>
          <w:cols w:space="708"/>
          <w:titlePg/>
          <w:docGrid w:linePitch="360"/>
        </w:sectPr>
      </w:pPr>
    </w:p>
    <w:p w14:paraId="232FB87B" w14:textId="70E4B471" w:rsidR="00B14CBF" w:rsidRPr="005F62F4" w:rsidRDefault="00B14CBF" w:rsidP="00655A6E">
      <w:pPr>
        <w:pStyle w:val="Heading01"/>
      </w:pPr>
      <w:bookmarkStart w:id="25" w:name="_Toc120178285"/>
      <w:bookmarkStart w:id="26" w:name="_Toc129954589"/>
      <w:r w:rsidRPr="005F62F4">
        <w:lastRenderedPageBreak/>
        <w:t xml:space="preserve">Executive </w:t>
      </w:r>
      <w:r w:rsidR="001B5024" w:rsidRPr="005F62F4">
        <w:t>s</w:t>
      </w:r>
      <w:r w:rsidRPr="005F62F4">
        <w:t>ummary</w:t>
      </w:r>
      <w:bookmarkEnd w:id="25"/>
      <w:bookmarkEnd w:id="26"/>
    </w:p>
    <w:p w14:paraId="3FBCBDEE" w14:textId="0142DF3B" w:rsidR="00351932" w:rsidRPr="005F62F4" w:rsidRDefault="00351932" w:rsidP="002E58AD">
      <w:pPr>
        <w:pStyle w:val="Para"/>
      </w:pPr>
      <w:r w:rsidRPr="005F62F4">
        <w:t xml:space="preserve">In September 2022, the </w:t>
      </w:r>
      <w:r w:rsidR="009F6D4C" w:rsidRPr="005F62F4">
        <w:t xml:space="preserve">Department of Health and Aged Care (the </w:t>
      </w:r>
      <w:r w:rsidRPr="005F62F4">
        <w:t>department</w:t>
      </w:r>
      <w:r w:rsidR="009F6D4C" w:rsidRPr="005F62F4">
        <w:t>)</w:t>
      </w:r>
      <w:r w:rsidRPr="005F62F4">
        <w:t xml:space="preserve"> commissioned Australian Healthcare Associates (AHA) to undertake a review of surgical guides and </w:t>
      </w:r>
      <w:proofErr w:type="spellStart"/>
      <w:r w:rsidRPr="005F62F4">
        <w:t>biomodels</w:t>
      </w:r>
      <w:proofErr w:type="spellEnd"/>
      <w:r w:rsidRPr="005F62F4">
        <w:t xml:space="preserve"> currently listed on the Prostheses List (PL).</w:t>
      </w:r>
    </w:p>
    <w:p w14:paraId="46CF3192" w14:textId="07514A70" w:rsidR="00351932" w:rsidRPr="005F62F4" w:rsidRDefault="00351932" w:rsidP="002E58AD">
      <w:pPr>
        <w:pStyle w:val="Para"/>
      </w:pPr>
      <w:r w:rsidRPr="005F62F4">
        <w:t xml:space="preserve">This review was undertaken to inform the department whether the listed surgical guides and </w:t>
      </w:r>
      <w:proofErr w:type="spellStart"/>
      <w:r w:rsidRPr="005F62F4">
        <w:t>biomodels</w:t>
      </w:r>
      <w:proofErr w:type="spellEnd"/>
      <w:r w:rsidRPr="005F62F4">
        <w:t xml:space="preserve"> are eligible for PL listing, and if a further cost-effectiveness review is required.</w:t>
      </w:r>
    </w:p>
    <w:p w14:paraId="15AD8D47" w14:textId="79B0447A" w:rsidR="00351932" w:rsidRPr="005F62F4" w:rsidRDefault="00351932" w:rsidP="002E58AD">
      <w:pPr>
        <w:pStyle w:val="Para"/>
      </w:pPr>
      <w:r w:rsidRPr="005F62F4">
        <w:t xml:space="preserve">This review considers the role of surgical guides and </w:t>
      </w:r>
      <w:proofErr w:type="spellStart"/>
      <w:r w:rsidRPr="005F62F4">
        <w:t>biomodels</w:t>
      </w:r>
      <w:proofErr w:type="spellEnd"/>
      <w:r w:rsidRPr="005F62F4">
        <w:t xml:space="preserve"> in clinical practice, utilisation patterns, and the evidence for their clinical benefits and clinical effectiveness, predominantly within craniomaxillofacial (CMF) and oral surgery.</w:t>
      </w:r>
    </w:p>
    <w:p w14:paraId="3E118B19" w14:textId="3353F8D3" w:rsidR="00351932" w:rsidRPr="005F62F4" w:rsidRDefault="00351932" w:rsidP="002E58AD">
      <w:pPr>
        <w:pStyle w:val="ParaKeep"/>
      </w:pPr>
      <w:r w:rsidRPr="005F62F4">
        <w:t xml:space="preserve">There are </w:t>
      </w:r>
      <w:r w:rsidR="00EE6C35" w:rsidRPr="005F62F4">
        <w:t xml:space="preserve">currently </w:t>
      </w:r>
      <w:r w:rsidRPr="005F62F4">
        <w:t xml:space="preserve">32 surgical guides and </w:t>
      </w:r>
      <w:proofErr w:type="spellStart"/>
      <w:r w:rsidRPr="005F62F4">
        <w:t>biomodels</w:t>
      </w:r>
      <w:proofErr w:type="spellEnd"/>
      <w:r w:rsidRPr="005F62F4">
        <w:t xml:space="preserve"> listed </w:t>
      </w:r>
      <w:r w:rsidR="00EE6C35" w:rsidRPr="005F62F4">
        <w:t xml:space="preserve">on the PL. All are listed </w:t>
      </w:r>
      <w:r w:rsidR="00C40F5E" w:rsidRPr="005F62F4">
        <w:t xml:space="preserve">in the ‘plastic and reconstructive’ </w:t>
      </w:r>
      <w:r w:rsidR="005314DA" w:rsidRPr="005F62F4">
        <w:t xml:space="preserve">product </w:t>
      </w:r>
      <w:r w:rsidR="00C40F5E" w:rsidRPr="005F62F4">
        <w:t>category</w:t>
      </w:r>
      <w:r w:rsidR="00E44FC6" w:rsidRPr="005F62F4">
        <w:t>,</w:t>
      </w:r>
      <w:r w:rsidR="00C40F5E" w:rsidRPr="005F62F4">
        <w:t xml:space="preserve"> </w:t>
      </w:r>
      <w:r w:rsidRPr="005F62F4">
        <w:t xml:space="preserve">under 3 specific </w:t>
      </w:r>
      <w:r w:rsidR="005314DA" w:rsidRPr="005F62F4">
        <w:t>groupings</w:t>
      </w:r>
      <w:r w:rsidRPr="005F62F4">
        <w:t>:</w:t>
      </w:r>
    </w:p>
    <w:p w14:paraId="421221A9" w14:textId="60C9D8D6" w:rsidR="00351932" w:rsidRPr="005F62F4" w:rsidRDefault="00351932" w:rsidP="00727540">
      <w:pPr>
        <w:numPr>
          <w:ilvl w:val="0"/>
          <w:numId w:val="4"/>
        </w:numPr>
        <w:spacing w:after="120" w:line="288" w:lineRule="auto"/>
        <w:ind w:right="-340"/>
        <w:contextualSpacing/>
        <w:rPr>
          <w:rFonts w:eastAsia="MS Mincho" w:cs="Tahoma"/>
          <w:szCs w:val="22"/>
        </w:rPr>
      </w:pPr>
      <w:r w:rsidRPr="005F62F4">
        <w:rPr>
          <w:rFonts w:eastAsia="MS Mincho" w:cs="Tahoma"/>
          <w:szCs w:val="22"/>
        </w:rPr>
        <w:t>07.02.02.04 Cranium</w:t>
      </w:r>
      <w:r w:rsidR="005314DA" w:rsidRPr="005F62F4">
        <w:rPr>
          <w:rFonts w:eastAsia="MS Mincho" w:cs="Tahoma"/>
          <w:szCs w:val="22"/>
        </w:rPr>
        <w:t xml:space="preserve"> – surgical guides</w:t>
      </w:r>
    </w:p>
    <w:p w14:paraId="4CA23998" w14:textId="7423E83C" w:rsidR="00351932" w:rsidRPr="005F62F4" w:rsidRDefault="00351932" w:rsidP="00727540">
      <w:pPr>
        <w:numPr>
          <w:ilvl w:val="0"/>
          <w:numId w:val="4"/>
        </w:numPr>
        <w:spacing w:after="120" w:line="288" w:lineRule="auto"/>
        <w:ind w:right="-340"/>
        <w:contextualSpacing/>
        <w:rPr>
          <w:rFonts w:eastAsia="MS Mincho" w:cs="Tahoma"/>
          <w:szCs w:val="22"/>
        </w:rPr>
      </w:pPr>
      <w:r w:rsidRPr="005F62F4">
        <w:rPr>
          <w:rFonts w:eastAsia="MS Mincho" w:cs="Tahoma"/>
          <w:szCs w:val="22"/>
        </w:rPr>
        <w:t>07.02.05.07 Mandible, Maxilla and Temporomandibular Joint (TMJ)</w:t>
      </w:r>
      <w:r w:rsidR="005314DA" w:rsidRPr="005F62F4">
        <w:rPr>
          <w:rFonts w:eastAsia="MS Mincho" w:cs="Tahoma"/>
          <w:szCs w:val="22"/>
        </w:rPr>
        <w:t xml:space="preserve"> – surgical guides</w:t>
      </w:r>
    </w:p>
    <w:p w14:paraId="068856F6" w14:textId="3A241499" w:rsidR="00351932" w:rsidRPr="005F62F4" w:rsidRDefault="00351932" w:rsidP="00727540">
      <w:pPr>
        <w:numPr>
          <w:ilvl w:val="0"/>
          <w:numId w:val="4"/>
        </w:numPr>
        <w:spacing w:after="120" w:line="288" w:lineRule="auto"/>
        <w:ind w:right="-340"/>
        <w:contextualSpacing/>
        <w:rPr>
          <w:rFonts w:eastAsia="MS Mincho" w:cs="Tahoma"/>
          <w:szCs w:val="22"/>
        </w:rPr>
      </w:pPr>
      <w:r w:rsidRPr="005F62F4">
        <w:rPr>
          <w:rFonts w:eastAsia="MS Mincho" w:cs="Tahoma"/>
          <w:szCs w:val="22"/>
        </w:rPr>
        <w:t xml:space="preserve">07.02.09 Anatomical </w:t>
      </w:r>
      <w:proofErr w:type="spellStart"/>
      <w:r w:rsidRPr="005F62F4">
        <w:rPr>
          <w:rFonts w:eastAsia="MS Mincho" w:cs="Tahoma"/>
          <w:szCs w:val="22"/>
        </w:rPr>
        <w:t>biomodels</w:t>
      </w:r>
      <w:proofErr w:type="spellEnd"/>
      <w:r w:rsidRPr="005F62F4">
        <w:rPr>
          <w:rFonts w:eastAsia="MS Mincho" w:cs="Tahoma"/>
          <w:szCs w:val="22"/>
        </w:rPr>
        <w:t>.</w:t>
      </w:r>
    </w:p>
    <w:p w14:paraId="516EE2A9" w14:textId="1536F399" w:rsidR="004554F7" w:rsidRPr="005F62F4" w:rsidRDefault="00AC23B5" w:rsidP="00B04199">
      <w:pPr>
        <w:pStyle w:val="Heading02"/>
      </w:pPr>
      <w:bookmarkStart w:id="27" w:name="_Toc120178286"/>
      <w:bookmarkStart w:id="28" w:name="_Toc129954590"/>
      <w:r w:rsidRPr="005F62F4">
        <w:t>Background and context</w:t>
      </w:r>
      <w:bookmarkEnd w:id="27"/>
      <w:bookmarkEnd w:id="28"/>
    </w:p>
    <w:p w14:paraId="1515D7FD" w14:textId="0C960535" w:rsidR="00826034" w:rsidRPr="005F62F4" w:rsidRDefault="00826034" w:rsidP="00826034">
      <w:pPr>
        <w:pStyle w:val="Para"/>
      </w:pPr>
      <w:r w:rsidRPr="005F62F4">
        <w:t>The PL list</w:t>
      </w:r>
      <w:r w:rsidR="00AB15A1" w:rsidRPr="005F62F4">
        <w:t>s</w:t>
      </w:r>
      <w:r w:rsidRPr="005F62F4">
        <w:t xml:space="preserve"> </w:t>
      </w:r>
      <w:r w:rsidR="00AB15A1" w:rsidRPr="005F62F4">
        <w:t>the</w:t>
      </w:r>
      <w:r w:rsidRPr="005F62F4">
        <w:t xml:space="preserve"> prostheses and related products that private health insurers must pay a benefit for</w:t>
      </w:r>
      <w:r w:rsidR="00AB15A1" w:rsidRPr="005F62F4">
        <w:t xml:space="preserve"> and outlines</w:t>
      </w:r>
      <w:r w:rsidRPr="005F62F4">
        <w:t xml:space="preserve"> the circumstances under which this benefit must be paid, and the amount of the benefit.</w:t>
      </w:r>
    </w:p>
    <w:p w14:paraId="173CD670" w14:textId="656361DB" w:rsidR="00D13533" w:rsidRPr="005F62F4" w:rsidRDefault="00351932" w:rsidP="00D13533">
      <w:pPr>
        <w:pStyle w:val="ParaKeep"/>
      </w:pPr>
      <w:r w:rsidRPr="005F62F4">
        <w:t xml:space="preserve">In the 2021-22 Budget, the Australian </w:t>
      </w:r>
      <w:r w:rsidR="00C642B8" w:rsidRPr="005F62F4">
        <w:t>G</w:t>
      </w:r>
      <w:r w:rsidRPr="005F62F4">
        <w:t xml:space="preserve">overnment allocated $22 million </w:t>
      </w:r>
      <w:r w:rsidR="00AE4C55" w:rsidRPr="005F62F4">
        <w:t xml:space="preserve">over 4 years </w:t>
      </w:r>
      <w:r w:rsidRPr="005F62F4">
        <w:t xml:space="preserve">to improve the PL through </w:t>
      </w:r>
      <w:proofErr w:type="gramStart"/>
      <w:r w:rsidRPr="005F62F4">
        <w:t>a number of</w:t>
      </w:r>
      <w:proofErr w:type="gramEnd"/>
      <w:r w:rsidRPr="005F62F4">
        <w:t xml:space="preserve"> measures, including</w:t>
      </w:r>
      <w:r w:rsidR="00D13533" w:rsidRPr="005F62F4">
        <w:t>:</w:t>
      </w:r>
    </w:p>
    <w:p w14:paraId="1C52F6FD" w14:textId="7865064D" w:rsidR="00D13533" w:rsidRPr="005F62F4" w:rsidRDefault="00351932" w:rsidP="00D13533">
      <w:pPr>
        <w:pStyle w:val="Bullet1"/>
        <w:rPr>
          <w:lang w:eastAsia="en-GB"/>
        </w:rPr>
      </w:pPr>
      <w:r w:rsidRPr="005F62F4">
        <w:rPr>
          <w:lang w:eastAsia="en-GB"/>
        </w:rPr>
        <w:t>clarify</w:t>
      </w:r>
      <w:r w:rsidR="00D13533" w:rsidRPr="005F62F4">
        <w:rPr>
          <w:lang w:eastAsia="en-GB"/>
        </w:rPr>
        <w:t>ing</w:t>
      </w:r>
      <w:r w:rsidRPr="005F62F4">
        <w:rPr>
          <w:lang w:eastAsia="en-GB"/>
        </w:rPr>
        <w:t xml:space="preserve"> the ‘scope of the PL by defining which prostheses are eligible for inclusion and removing ineligible items’</w:t>
      </w:r>
    </w:p>
    <w:p w14:paraId="49E72857" w14:textId="5F237458" w:rsidR="00351932" w:rsidRPr="005F62F4" w:rsidRDefault="00351932" w:rsidP="00D13533">
      <w:pPr>
        <w:pStyle w:val="Bullet1"/>
        <w:rPr>
          <w:lang w:eastAsia="en-GB"/>
        </w:rPr>
      </w:pPr>
      <w:r w:rsidRPr="005F62F4">
        <w:rPr>
          <w:lang w:eastAsia="en-GB"/>
        </w:rPr>
        <w:t>regularly review</w:t>
      </w:r>
      <w:r w:rsidR="00D13533" w:rsidRPr="005F62F4">
        <w:rPr>
          <w:lang w:eastAsia="en-GB"/>
        </w:rPr>
        <w:t>ing</w:t>
      </w:r>
      <w:r w:rsidRPr="005F62F4">
        <w:rPr>
          <w:lang w:eastAsia="en-GB"/>
        </w:rPr>
        <w:t xml:space="preserve"> products listed on the PL to address any post-listing issues </w:t>
      </w:r>
      <w:r w:rsidRPr="005F62F4">
        <w:rPr>
          <w:lang w:eastAsia="en-GB"/>
        </w:rPr>
        <w:fldChar w:fldCharType="begin" w:fldLock="1"/>
      </w:r>
      <w:r w:rsidR="00F47C90" w:rsidRPr="005F62F4">
        <w:rPr>
          <w:lang w:eastAsia="en-GB"/>
        </w:rPr>
        <w:instrText>ADDIN CSL_CITATION {"citationItems":[{"id":"ITEM-1","itemData":{"URL":"https://www.health.gov.au/health-topics/private-health-insurance/the-prostheses-list/the-prostheses-list-reforms","accessed":{"date-parts":[["2022","8","11"]]},"author":[{"dropping-particle":"","family":"Department of Health and Aged Care","given":"","non-dropping-particle":"","parse-names":false,"suffix":""}],"container-title":"Department of Health and Aged Care website","id":"ITEM-1","issued":{"date-parts":[["2022"]]},"title":"The Prostheses List reforms","type":"webpage"},"uris":["http://www.mendeley.com/documents/?uuid=fe65c31d-6754-4285-8c0b-fa7fd585d42f"]}],"mendeley":{"formattedCitation":"(Department of Health and Aged Care 2022b)","plainTextFormattedCitation":"(Department of Health and Aged Care 2022b)","previouslyFormattedCitation":"(Department of Health and Aged Care 2022b)"},"properties":{"noteIndex":0},"schema":"https://github.com/citation-style-language/schema/raw/master/csl-citation.json"}</w:instrText>
      </w:r>
      <w:r w:rsidRPr="005F62F4">
        <w:rPr>
          <w:lang w:eastAsia="en-GB"/>
        </w:rPr>
        <w:fldChar w:fldCharType="separate"/>
      </w:r>
      <w:r w:rsidR="006D6E3B" w:rsidRPr="005F62F4">
        <w:rPr>
          <w:noProof/>
          <w:lang w:eastAsia="en-GB"/>
        </w:rPr>
        <w:t>(Department of Health and Aged Care 2022b)</w:t>
      </w:r>
      <w:r w:rsidRPr="005F62F4">
        <w:rPr>
          <w:lang w:eastAsia="en-GB"/>
        </w:rPr>
        <w:fldChar w:fldCharType="end"/>
      </w:r>
      <w:r w:rsidRPr="005F62F4">
        <w:rPr>
          <w:lang w:eastAsia="en-GB"/>
        </w:rPr>
        <w:t>.</w:t>
      </w:r>
    </w:p>
    <w:p w14:paraId="44036454" w14:textId="56AF9DF4" w:rsidR="00351932" w:rsidRPr="005F62F4" w:rsidRDefault="00351932" w:rsidP="00727540">
      <w:pPr>
        <w:numPr>
          <w:ilvl w:val="0"/>
          <w:numId w:val="10"/>
        </w:numPr>
        <w:spacing w:before="200" w:after="120" w:line="288" w:lineRule="auto"/>
        <w:rPr>
          <w:rFonts w:eastAsia="MS Mincho" w:cs="Tahoma"/>
          <w:szCs w:val="20"/>
          <w:lang w:eastAsia="en-GB"/>
        </w:rPr>
      </w:pPr>
      <w:r w:rsidRPr="005F62F4">
        <w:rPr>
          <w:rFonts w:eastAsia="MS Mincho" w:cs="Tahoma"/>
          <w:szCs w:val="20"/>
          <w:lang w:eastAsia="en-GB"/>
        </w:rPr>
        <w:t xml:space="preserve">As part of this reform, the Prostheses List Advisory Committee </w:t>
      </w:r>
      <w:r w:rsidR="0069106E" w:rsidRPr="005F62F4">
        <w:t>(PLAC) supported 4 device types to</w:t>
      </w:r>
      <w:r w:rsidR="004555F0" w:rsidRPr="005F62F4">
        <w:rPr>
          <w:rFonts w:eastAsia="MS Mincho" w:cs="Tahoma"/>
          <w:szCs w:val="20"/>
          <w:lang w:eastAsia="en-GB"/>
        </w:rPr>
        <w:t xml:space="preserve"> </w:t>
      </w:r>
      <w:r w:rsidRPr="005F62F4">
        <w:rPr>
          <w:rFonts w:eastAsia="MS Mincho" w:cs="Tahoma"/>
          <w:szCs w:val="20"/>
          <w:lang w:eastAsia="en-GB"/>
        </w:rPr>
        <w:t xml:space="preserve">trial the </w:t>
      </w:r>
      <w:proofErr w:type="gramStart"/>
      <w:r w:rsidR="002A3E13" w:rsidRPr="005F62F4">
        <w:rPr>
          <w:rFonts w:eastAsia="MS Mincho" w:cs="Tahoma"/>
          <w:szCs w:val="20"/>
          <w:lang w:eastAsia="en-GB"/>
        </w:rPr>
        <w:t>new</w:t>
      </w:r>
      <w:r w:rsidR="00EE69FC" w:rsidRPr="005F62F4">
        <w:rPr>
          <w:rFonts w:eastAsia="MS Mincho" w:cs="Tahoma"/>
          <w:szCs w:val="20"/>
          <w:lang w:eastAsia="en-GB"/>
        </w:rPr>
        <w:t>ly-developed</w:t>
      </w:r>
      <w:proofErr w:type="gramEnd"/>
      <w:r w:rsidR="002A3E13" w:rsidRPr="005F62F4">
        <w:rPr>
          <w:rFonts w:eastAsia="MS Mincho" w:cs="Tahoma"/>
          <w:szCs w:val="20"/>
          <w:lang w:eastAsia="en-GB"/>
        </w:rPr>
        <w:t xml:space="preserve"> </w:t>
      </w:r>
      <w:r w:rsidRPr="005F62F4">
        <w:rPr>
          <w:rFonts w:eastAsia="MS Mincho" w:cs="Tahoma"/>
          <w:szCs w:val="20"/>
          <w:lang w:eastAsia="en-GB"/>
        </w:rPr>
        <w:t xml:space="preserve">post-listing review framework. One of these </w:t>
      </w:r>
      <w:r w:rsidR="008265CD" w:rsidRPr="005F62F4">
        <w:rPr>
          <w:rFonts w:eastAsia="MS Mincho" w:cs="Tahoma"/>
          <w:szCs w:val="20"/>
          <w:lang w:eastAsia="en-GB"/>
        </w:rPr>
        <w:t xml:space="preserve">device types </w:t>
      </w:r>
      <w:r w:rsidRPr="005F62F4">
        <w:rPr>
          <w:rFonts w:eastAsia="MS Mincho" w:cs="Tahoma"/>
          <w:szCs w:val="20"/>
          <w:lang w:eastAsia="en-GB"/>
        </w:rPr>
        <w:t xml:space="preserve">was surgical guides and </w:t>
      </w:r>
      <w:proofErr w:type="spellStart"/>
      <w:r w:rsidRPr="005F62F4">
        <w:rPr>
          <w:rFonts w:eastAsia="MS Mincho" w:cs="Tahoma"/>
          <w:szCs w:val="20"/>
          <w:lang w:eastAsia="en-GB"/>
        </w:rPr>
        <w:t>biomodels</w:t>
      </w:r>
      <w:proofErr w:type="spellEnd"/>
      <w:r w:rsidRPr="005F62F4">
        <w:rPr>
          <w:rFonts w:eastAsia="MS Mincho" w:cs="Tahoma"/>
          <w:szCs w:val="20"/>
          <w:lang w:eastAsia="en-GB"/>
        </w:rPr>
        <w:t>, which are the subject of this review.</w:t>
      </w:r>
    </w:p>
    <w:p w14:paraId="512CB25F" w14:textId="260E8A6C" w:rsidR="00351932" w:rsidRPr="005F62F4" w:rsidRDefault="009F6D4C" w:rsidP="00727540">
      <w:pPr>
        <w:numPr>
          <w:ilvl w:val="0"/>
          <w:numId w:val="10"/>
        </w:numPr>
        <w:spacing w:before="200" w:after="120" w:line="288" w:lineRule="auto"/>
        <w:rPr>
          <w:rFonts w:eastAsia="MS Mincho" w:cs="Tahoma"/>
          <w:szCs w:val="20"/>
          <w:lang w:eastAsia="en-GB"/>
        </w:rPr>
      </w:pPr>
      <w:r w:rsidRPr="005F62F4">
        <w:rPr>
          <w:rFonts w:eastAsia="MS Mincho" w:cs="Tahoma"/>
          <w:szCs w:val="20"/>
          <w:lang w:eastAsia="en-GB"/>
        </w:rPr>
        <w:t>S</w:t>
      </w:r>
      <w:r w:rsidR="00351932" w:rsidRPr="005F62F4">
        <w:rPr>
          <w:rFonts w:eastAsia="MS Mincho" w:cs="Tahoma"/>
          <w:szCs w:val="20"/>
          <w:lang w:eastAsia="en-GB"/>
        </w:rPr>
        <w:t xml:space="preserve">urgical guides and </w:t>
      </w:r>
      <w:proofErr w:type="spellStart"/>
      <w:r w:rsidR="00351932" w:rsidRPr="005F62F4">
        <w:rPr>
          <w:rFonts w:eastAsia="MS Mincho" w:cs="Tahoma"/>
          <w:szCs w:val="20"/>
          <w:lang w:eastAsia="en-GB"/>
        </w:rPr>
        <w:t>biomodels</w:t>
      </w:r>
      <w:proofErr w:type="spellEnd"/>
      <w:r w:rsidR="00351932" w:rsidRPr="005F62F4">
        <w:rPr>
          <w:rFonts w:eastAsia="MS Mincho" w:cs="Tahoma"/>
          <w:szCs w:val="20"/>
          <w:lang w:eastAsia="en-GB"/>
        </w:rPr>
        <w:t xml:space="preserve"> </w:t>
      </w:r>
      <w:r w:rsidRPr="005F62F4">
        <w:rPr>
          <w:rFonts w:eastAsia="MS Mincho" w:cs="Tahoma"/>
          <w:szCs w:val="20"/>
          <w:lang w:eastAsia="en-GB"/>
        </w:rPr>
        <w:t>are</w:t>
      </w:r>
      <w:r w:rsidR="00351932" w:rsidRPr="005F62F4">
        <w:rPr>
          <w:rFonts w:eastAsia="MS Mincho" w:cs="Tahoma"/>
          <w:szCs w:val="20"/>
          <w:lang w:eastAsia="en-GB"/>
        </w:rPr>
        <w:t xml:space="preserve"> “non-implantable, single-use devices used in planning and decision making both pre- and intra-operatively” </w:t>
      </w:r>
      <w:r w:rsidR="00351932" w:rsidRPr="005F62F4">
        <w:rPr>
          <w:rFonts w:eastAsia="MS Mincho" w:cs="Tahoma"/>
          <w:szCs w:val="20"/>
          <w:lang w:eastAsia="en-GB"/>
        </w:rPr>
        <w:fldChar w:fldCharType="begin" w:fldLock="1"/>
      </w:r>
      <w:r w:rsidR="00F47C90" w:rsidRPr="005F62F4">
        <w:rPr>
          <w:rFonts w:eastAsia="MS Mincho" w:cs="Tahoma"/>
          <w:szCs w:val="20"/>
          <w:lang w:eastAsia="en-GB"/>
        </w:rPr>
        <w:instrText>ADDIN CSL_CITATION {"citationItems":[{"id":"ITEM-1","itemData":{"URL":"https://www.health.gov.au/health-topics/private-health-insurance/the-prostheses-list/the-prostheses-list-reforms","accessed":{"date-parts":[["2022","8","11"]]},"author":[{"dropping-particle":"","family":"Department of Health and Aged Care","given":"","non-dropping-particle":"","parse-names":false,"suffix":""}],"container-title":"Department of Health and Aged Care website","id":"ITEM-1","issued":{"date-parts":[["2022"]]},"title":"The Prostheses List reforms","type":"webpage"},"uris":["http://www.mendeley.com/documents/?uuid=fe65c31d-6754-4285-8c0b-fa7fd585d42f"]}],"mendeley":{"formattedCitation":"(Department of Health and Aged Care 2022b)","plainTextFormattedCitation":"(Department of Health and Aged Care 2022b)","previouslyFormattedCitation":"(Department of Health and Aged Care 2022b)"},"properties":{"noteIndex":0},"schema":"https://github.com/citation-style-language/schema/raw/master/csl-citation.json"}</w:instrText>
      </w:r>
      <w:r w:rsidR="00351932" w:rsidRPr="005F62F4">
        <w:rPr>
          <w:rFonts w:eastAsia="MS Mincho" w:cs="Tahoma"/>
          <w:szCs w:val="20"/>
          <w:lang w:eastAsia="en-GB"/>
        </w:rPr>
        <w:fldChar w:fldCharType="separate"/>
      </w:r>
      <w:r w:rsidR="006D6E3B" w:rsidRPr="005F62F4">
        <w:rPr>
          <w:rFonts w:eastAsia="MS Mincho" w:cs="Tahoma"/>
          <w:noProof/>
          <w:szCs w:val="20"/>
          <w:lang w:eastAsia="en-GB"/>
        </w:rPr>
        <w:t>(Department of Health and Aged Care 2022b)</w:t>
      </w:r>
      <w:r w:rsidR="00351932" w:rsidRPr="005F62F4">
        <w:rPr>
          <w:rFonts w:eastAsia="MS Mincho" w:cs="Tahoma"/>
          <w:szCs w:val="20"/>
          <w:lang w:eastAsia="en-GB"/>
        </w:rPr>
        <w:fldChar w:fldCharType="end"/>
      </w:r>
      <w:r w:rsidR="00351932" w:rsidRPr="005F62F4">
        <w:rPr>
          <w:rFonts w:eastAsia="MS Mincho" w:cs="Tahoma"/>
          <w:szCs w:val="20"/>
          <w:lang w:eastAsia="en-GB"/>
        </w:rPr>
        <w:t>.</w:t>
      </w:r>
    </w:p>
    <w:p w14:paraId="03D3A191" w14:textId="3EC83AEC" w:rsidR="00351932" w:rsidRPr="005F62F4" w:rsidRDefault="00351932" w:rsidP="00351932">
      <w:pPr>
        <w:spacing w:before="200" w:after="120" w:line="288" w:lineRule="auto"/>
        <w:rPr>
          <w:rFonts w:eastAsia="MS Mincho" w:cs="Tahoma"/>
          <w:szCs w:val="20"/>
          <w:lang w:eastAsia="en-GB"/>
        </w:rPr>
      </w:pPr>
      <w:r w:rsidRPr="005F62F4">
        <w:rPr>
          <w:rStyle w:val="Strong"/>
        </w:rPr>
        <w:t>Surgical guides</w:t>
      </w:r>
      <w:r w:rsidRPr="005F62F4">
        <w:rPr>
          <w:rFonts w:eastAsia="MS Mincho" w:cs="Tahoma"/>
          <w:szCs w:val="20"/>
          <w:lang w:eastAsia="en-GB"/>
        </w:rPr>
        <w:t xml:space="preserve"> are used to guide the precise cutting of bone or drilling of holes as needed for implantation (</w:t>
      </w:r>
      <w:proofErr w:type="spellStart"/>
      <w:r w:rsidRPr="005F62F4">
        <w:rPr>
          <w:rFonts w:eastAsia="MS Mincho" w:cs="Tahoma"/>
          <w:szCs w:val="20"/>
          <w:lang w:eastAsia="en-GB"/>
        </w:rPr>
        <w:t>Francoisse</w:t>
      </w:r>
      <w:proofErr w:type="spellEnd"/>
      <w:r w:rsidRPr="005F62F4">
        <w:rPr>
          <w:rFonts w:eastAsia="MS Mincho" w:cs="Tahoma"/>
          <w:szCs w:val="20"/>
          <w:lang w:eastAsia="en-GB"/>
        </w:rPr>
        <w:t xml:space="preserve"> et al. 2020).</w:t>
      </w:r>
      <w:r w:rsidR="00385DA8" w:rsidRPr="005F62F4">
        <w:rPr>
          <w:rFonts w:eastAsia="MS Mincho" w:cs="Tahoma"/>
          <w:szCs w:val="20"/>
          <w:lang w:eastAsia="en-GB"/>
        </w:rPr>
        <w:t xml:space="preserve"> The</w:t>
      </w:r>
      <w:r w:rsidR="00BB7F56" w:rsidRPr="005F62F4">
        <w:rPr>
          <w:rFonts w:eastAsia="MS Mincho" w:cs="Tahoma"/>
          <w:szCs w:val="20"/>
          <w:lang w:eastAsia="en-GB"/>
        </w:rPr>
        <w:t>y</w:t>
      </w:r>
      <w:r w:rsidR="00385DA8" w:rsidRPr="005F62F4">
        <w:rPr>
          <w:rFonts w:eastAsia="MS Mincho" w:cs="Tahoma"/>
          <w:szCs w:val="20"/>
          <w:lang w:eastAsia="en-GB"/>
        </w:rPr>
        <w:t xml:space="preserve"> include </w:t>
      </w:r>
      <w:r w:rsidR="00385DA8" w:rsidRPr="005F62F4">
        <w:t>surgical templates, pilot guides, cutting and drilling guides, splints and jigs.</w:t>
      </w:r>
    </w:p>
    <w:p w14:paraId="4CC9F2FC" w14:textId="08FEBE8A" w:rsidR="00E11611" w:rsidRPr="005F62F4" w:rsidRDefault="00351932" w:rsidP="00E11611">
      <w:pPr>
        <w:spacing w:before="200" w:after="120" w:line="288" w:lineRule="auto"/>
        <w:rPr>
          <w:rFonts w:eastAsia="MS Mincho" w:cs="Tahoma"/>
          <w:b/>
          <w:szCs w:val="20"/>
          <w:lang w:eastAsia="en-GB"/>
        </w:rPr>
      </w:pPr>
      <w:proofErr w:type="spellStart"/>
      <w:r w:rsidRPr="005F62F4">
        <w:rPr>
          <w:rStyle w:val="Strong"/>
        </w:rPr>
        <w:lastRenderedPageBreak/>
        <w:t>Biomodels</w:t>
      </w:r>
      <w:proofErr w:type="spellEnd"/>
      <w:r w:rsidRPr="005F62F4">
        <w:rPr>
          <w:rStyle w:val="Strong"/>
        </w:rPr>
        <w:t xml:space="preserve"> </w:t>
      </w:r>
      <w:r w:rsidRPr="005F62F4">
        <w:rPr>
          <w:rFonts w:eastAsia="MS Mincho" w:cs="Tahoma"/>
          <w:szCs w:val="20"/>
          <w:lang w:eastAsia="en-GB"/>
        </w:rPr>
        <w:t>are derived from patient imaging data to replicate the geometry or morphology (i.e.</w:t>
      </w:r>
      <w:r w:rsidR="001F26E6" w:rsidRPr="005F62F4">
        <w:rPr>
          <w:rFonts w:eastAsia="MS Mincho" w:cs="Tahoma"/>
          <w:szCs w:val="20"/>
          <w:lang w:eastAsia="en-GB"/>
        </w:rPr>
        <w:t> </w:t>
      </w:r>
      <w:r w:rsidRPr="005F62F4">
        <w:rPr>
          <w:rFonts w:eastAsia="MS Mincho" w:cs="Tahoma"/>
          <w:szCs w:val="20"/>
          <w:lang w:eastAsia="en-GB"/>
        </w:rPr>
        <w:t xml:space="preserve">the form or shape) of a biological structure </w:t>
      </w:r>
      <w:r w:rsidR="00EB5104" w:rsidRPr="005F62F4">
        <w:rPr>
          <w:rFonts w:eastAsia="MS Mincho" w:cs="Tahoma"/>
          <w:szCs w:val="20"/>
          <w:lang w:eastAsia="en-GB"/>
        </w:rPr>
        <w:fldChar w:fldCharType="begin" w:fldLock="1"/>
      </w:r>
      <w:r w:rsidR="00F7188B" w:rsidRPr="005F62F4">
        <w:rPr>
          <w:rFonts w:eastAsia="MS Mincho" w:cs="Tahoma"/>
          <w:szCs w:val="20"/>
          <w:lang w:eastAsia="en-GB"/>
        </w:rPr>
        <w:instrText>ADDIN CSL_CITATION {"citationItems":[{"id":"ITEM-1","itemData":{"DOI":"10.1007/S10439-005-5873-X","ISSN":"00906964","PMID":"16240079","abstract":"In this paper, a definition of a biomodel is presented, based on which different specific types of biomodels are identified, viz., virtual biomodels, computational biomodels, and physical biomodels. The paper then focuses on both physical and virtual biomodels of bone, and presents a review of model generation methodologies, giving examples of typical biomodel applications. The use of macroscale biomodels for such issues as the design and preclinical testing of surgical implants and preoperative planning is discussed. At the microscale, biomodels of trabecular bone are examined and the link with scaffolds for tissue engineering is established. Conclusions are drawn on the state of the art, and the major developments necessary for the continued expansion of the field are identified. Finally, arguments are given on the benefits of integrating the use of the different types of biomodels reviewed in this paper, for the benefit of future research in biomechanics and biomaterials. © 2005 Biomedical Engineering Society.","author":[{"dropping-particle":"","family":"Lohfeld","given":"S.","non-dropping-particle":"","parse-names":false,"suffix":""},{"dropping-particle":"","family":"Barron","given":"V.","non-dropping-particle":"","parse-names":false,"suffix":""},{"dropping-particle":"","family":"McHugh","given":"P. E.","non-dropping-particle":"","parse-names":false,"suffix":""}],"container-title":"Annals of Biomedical Engineering","id":"ITEM-1","issue":"10","issued":{"date-parts":[["2005","10"]]},"page":"1295-1311","title":"Biomodels of bone: a review","type":"article-journal","volume":"33"},"uris":["http://www.mendeley.com/documents/?uuid=91096577-ac72-34e2-bbb9-e7911b331ffc"]}],"mendeley":{"formattedCitation":"(Lohfeld et al. 2005)","plainTextFormattedCitation":"(Lohfeld et al. 2005)","previouslyFormattedCitation":"(Lohfeld et al. 2005)"},"properties":{"noteIndex":0},"schema":"https://github.com/citation-style-language/schema/raw/master/csl-citation.json"}</w:instrText>
      </w:r>
      <w:r w:rsidR="00EB5104" w:rsidRPr="005F62F4">
        <w:rPr>
          <w:rFonts w:eastAsia="MS Mincho" w:cs="Tahoma"/>
          <w:szCs w:val="20"/>
          <w:lang w:eastAsia="en-GB"/>
        </w:rPr>
        <w:fldChar w:fldCharType="separate"/>
      </w:r>
      <w:r w:rsidR="00EB5104" w:rsidRPr="005F62F4">
        <w:rPr>
          <w:rFonts w:eastAsia="MS Mincho" w:cs="Tahoma"/>
          <w:noProof/>
          <w:szCs w:val="20"/>
          <w:lang w:eastAsia="en-GB"/>
        </w:rPr>
        <w:t>(Lohfeld et al. 2005)</w:t>
      </w:r>
      <w:r w:rsidR="00EB5104" w:rsidRPr="005F62F4">
        <w:rPr>
          <w:rFonts w:eastAsia="MS Mincho" w:cs="Tahoma"/>
          <w:szCs w:val="20"/>
          <w:lang w:eastAsia="en-GB"/>
        </w:rPr>
        <w:fldChar w:fldCharType="end"/>
      </w:r>
      <w:r w:rsidR="007D4898" w:rsidRPr="005F62F4">
        <w:rPr>
          <w:rFonts w:eastAsia="MS Mincho" w:cs="Tahoma"/>
          <w:szCs w:val="20"/>
          <w:lang w:eastAsia="en-GB"/>
        </w:rPr>
        <w:t>.</w:t>
      </w:r>
      <w:r w:rsidRPr="005F62F4">
        <w:rPr>
          <w:rFonts w:eastAsia="MS Mincho" w:cs="Tahoma"/>
          <w:szCs w:val="20"/>
          <w:lang w:eastAsia="en-GB"/>
        </w:rPr>
        <w:t xml:space="preserve"> </w:t>
      </w:r>
      <w:proofErr w:type="spellStart"/>
      <w:r w:rsidR="00E11611" w:rsidRPr="005F62F4">
        <w:rPr>
          <w:rFonts w:eastAsia="MS Mincho" w:cs="Tahoma"/>
          <w:szCs w:val="20"/>
          <w:lang w:eastAsia="en-GB"/>
        </w:rPr>
        <w:t>Biomodels</w:t>
      </w:r>
      <w:proofErr w:type="spellEnd"/>
      <w:r w:rsidR="00E11611" w:rsidRPr="005F62F4">
        <w:rPr>
          <w:rFonts w:eastAsia="MS Mincho" w:cs="Tahoma"/>
          <w:szCs w:val="20"/>
          <w:lang w:eastAsia="en-GB"/>
        </w:rPr>
        <w:t xml:space="preserve"> can </w:t>
      </w:r>
      <w:r w:rsidR="008479B6" w:rsidRPr="005F62F4">
        <w:rPr>
          <w:rFonts w:eastAsia="MS Mincho" w:cs="Tahoma"/>
          <w:szCs w:val="20"/>
          <w:lang w:eastAsia="en-GB"/>
        </w:rPr>
        <w:t>help clinicians to</w:t>
      </w:r>
      <w:r w:rsidR="00E11611" w:rsidRPr="005F62F4">
        <w:rPr>
          <w:rFonts w:eastAsia="MS Mincho" w:cs="Tahoma"/>
          <w:szCs w:val="20"/>
          <w:lang w:eastAsia="en-GB"/>
        </w:rPr>
        <w:t xml:space="preserve"> visualis</w:t>
      </w:r>
      <w:r w:rsidR="008479B6" w:rsidRPr="005F62F4">
        <w:rPr>
          <w:rFonts w:eastAsia="MS Mincho" w:cs="Tahoma"/>
          <w:szCs w:val="20"/>
          <w:lang w:eastAsia="en-GB"/>
        </w:rPr>
        <w:t>e</w:t>
      </w:r>
      <w:r w:rsidR="00E11611" w:rsidRPr="005F62F4">
        <w:rPr>
          <w:rFonts w:eastAsia="MS Mincho" w:cs="Tahoma"/>
          <w:szCs w:val="20"/>
          <w:lang w:eastAsia="en-GB"/>
        </w:rPr>
        <w:t xml:space="preserve"> abnormal or disturbed anatomy,</w:t>
      </w:r>
      <w:r w:rsidR="0039279D" w:rsidRPr="005F62F4">
        <w:rPr>
          <w:rFonts w:eastAsia="MS Mincho" w:cs="Tahoma"/>
          <w:szCs w:val="20"/>
          <w:lang w:eastAsia="en-GB"/>
        </w:rPr>
        <w:t xml:space="preserve"> and can therefore be useful for</w:t>
      </w:r>
      <w:r w:rsidR="00E11611" w:rsidRPr="005F62F4">
        <w:rPr>
          <w:rFonts w:eastAsia="MS Mincho" w:cs="Tahoma"/>
          <w:szCs w:val="20"/>
          <w:lang w:eastAsia="en-GB"/>
        </w:rPr>
        <w:t xml:space="preserve"> diagnosis, surgical treatment planning and simulation, patient education,</w:t>
      </w:r>
      <w:r w:rsidR="00553F2A" w:rsidRPr="005F62F4">
        <w:rPr>
          <w:rFonts w:eastAsia="MS Mincho" w:cs="Tahoma"/>
          <w:szCs w:val="20"/>
          <w:lang w:eastAsia="en-GB"/>
        </w:rPr>
        <w:t xml:space="preserve"> and</w:t>
      </w:r>
      <w:r w:rsidR="00E11611" w:rsidRPr="005F62F4">
        <w:rPr>
          <w:rFonts w:eastAsia="MS Mincho" w:cs="Tahoma"/>
          <w:szCs w:val="20"/>
          <w:lang w:eastAsia="en-GB"/>
        </w:rPr>
        <w:t xml:space="preserve"> designing and fabricating patient-specific prostheses</w:t>
      </w:r>
      <w:r w:rsidR="003A2661" w:rsidRPr="005F62F4">
        <w:rPr>
          <w:rFonts w:eastAsia="MS Mincho" w:cs="Tahoma"/>
          <w:szCs w:val="20"/>
          <w:lang w:eastAsia="en-GB"/>
        </w:rPr>
        <w:t xml:space="preserve">. </w:t>
      </w:r>
      <w:r w:rsidR="000E5CD6" w:rsidRPr="005F62F4">
        <w:rPr>
          <w:rFonts w:eastAsia="MS Mincho" w:cs="Tahoma"/>
          <w:szCs w:val="20"/>
          <w:lang w:eastAsia="en-GB"/>
        </w:rPr>
        <w:t>They</w:t>
      </w:r>
      <w:r w:rsidR="00D57D8A" w:rsidRPr="005F62F4">
        <w:rPr>
          <w:rFonts w:eastAsia="MS Mincho" w:cs="Tahoma"/>
          <w:szCs w:val="20"/>
          <w:lang w:eastAsia="en-GB"/>
        </w:rPr>
        <w:t xml:space="preserve"> </w:t>
      </w:r>
      <w:r w:rsidR="00E11611" w:rsidRPr="005F62F4">
        <w:rPr>
          <w:rFonts w:eastAsia="MS Mincho" w:cs="Tahoma"/>
          <w:szCs w:val="20"/>
          <w:lang w:eastAsia="en-GB"/>
        </w:rPr>
        <w:t xml:space="preserve">can </w:t>
      </w:r>
      <w:r w:rsidR="000E5CD6" w:rsidRPr="005F62F4">
        <w:rPr>
          <w:rFonts w:eastAsia="MS Mincho" w:cs="Tahoma"/>
          <w:szCs w:val="20"/>
          <w:lang w:eastAsia="en-GB"/>
        </w:rPr>
        <w:t>also be used for reference while the surgery is being performed</w:t>
      </w:r>
      <w:r w:rsidR="00E11611" w:rsidRPr="005F62F4">
        <w:rPr>
          <w:rFonts w:eastAsia="MS Mincho" w:cs="Tahoma"/>
          <w:szCs w:val="20"/>
          <w:lang w:eastAsia="en-GB"/>
        </w:rPr>
        <w:t>.</w:t>
      </w:r>
    </w:p>
    <w:p w14:paraId="7395BAD9" w14:textId="2BA2FE5E" w:rsidR="00874487" w:rsidRPr="005F62F4" w:rsidRDefault="008F0A05" w:rsidP="005A400D">
      <w:pPr>
        <w:spacing w:before="200" w:after="120" w:line="288" w:lineRule="auto"/>
        <w:rPr>
          <w:rFonts w:eastAsia="MS Mincho" w:cs="Tahoma"/>
          <w:szCs w:val="20"/>
          <w:lang w:eastAsia="en-GB"/>
        </w:rPr>
      </w:pPr>
      <w:r w:rsidRPr="005F62F4">
        <w:t xml:space="preserve">While surgical guides and </w:t>
      </w:r>
      <w:proofErr w:type="spellStart"/>
      <w:r w:rsidRPr="005F62F4">
        <w:t>biomodels</w:t>
      </w:r>
      <w:proofErr w:type="spellEnd"/>
      <w:r w:rsidRPr="005F62F4">
        <w:t xml:space="preserve"> </w:t>
      </w:r>
      <w:r w:rsidR="004C5FE2" w:rsidRPr="005F62F4">
        <w:t>are</w:t>
      </w:r>
      <w:r w:rsidRPr="005F62F4">
        <w:t xml:space="preserve"> listed on the PL under the </w:t>
      </w:r>
      <w:r w:rsidRPr="005F62F4" w:rsidDel="00694B36">
        <w:t xml:space="preserve">craniomaxillofacial </w:t>
      </w:r>
      <w:r w:rsidR="00E40EA8" w:rsidRPr="005F62F4">
        <w:t>(</w:t>
      </w:r>
      <w:r w:rsidR="00694B36" w:rsidRPr="005F62F4">
        <w:t>CMF</w:t>
      </w:r>
      <w:r w:rsidR="00E40EA8" w:rsidRPr="005F62F4">
        <w:t>)</w:t>
      </w:r>
      <w:r w:rsidR="00694B36" w:rsidRPr="005F62F4">
        <w:t xml:space="preserve"> </w:t>
      </w:r>
      <w:r w:rsidRPr="005F62F4">
        <w:t xml:space="preserve">implants subcategory, they are </w:t>
      </w:r>
      <w:r w:rsidR="00351932" w:rsidRPr="005F62F4">
        <w:rPr>
          <w:rFonts w:eastAsia="MS Mincho" w:cs="Tahoma"/>
          <w:szCs w:val="20"/>
          <w:lang w:eastAsia="en-GB"/>
        </w:rPr>
        <w:t>used across a wide range of surgeries including oral, maxillofacial, cranial, neurological, orthopaedic, cardiovascular, urolog</w:t>
      </w:r>
      <w:r w:rsidR="00151598" w:rsidRPr="005F62F4">
        <w:rPr>
          <w:rFonts w:eastAsia="MS Mincho" w:cs="Tahoma"/>
          <w:szCs w:val="20"/>
          <w:lang w:eastAsia="en-GB"/>
        </w:rPr>
        <w:t>ical,</w:t>
      </w:r>
      <w:r w:rsidR="00351932" w:rsidRPr="005F62F4">
        <w:rPr>
          <w:rFonts w:eastAsia="MS Mincho" w:cs="Tahoma"/>
          <w:szCs w:val="20"/>
          <w:lang w:eastAsia="en-GB"/>
        </w:rPr>
        <w:t xml:space="preserve"> renal, and ear nose and throat (ENT) surgery.</w:t>
      </w:r>
      <w:r w:rsidR="00151598" w:rsidRPr="005F62F4">
        <w:rPr>
          <w:rFonts w:eastAsia="MS Mincho" w:cs="Tahoma"/>
          <w:szCs w:val="20"/>
          <w:lang w:eastAsia="en-GB"/>
        </w:rPr>
        <w:t xml:space="preserve"> </w:t>
      </w:r>
      <w:r w:rsidR="00705EB7" w:rsidRPr="005F62F4">
        <w:t>T</w:t>
      </w:r>
      <w:r w:rsidR="005A400D" w:rsidRPr="005F62F4">
        <w:t xml:space="preserve">heir use </w:t>
      </w:r>
      <w:r w:rsidR="00874487" w:rsidRPr="005F62F4">
        <w:t>is rapidly increasing</w:t>
      </w:r>
      <w:r w:rsidR="00705EB7" w:rsidRPr="005F62F4">
        <w:t xml:space="preserve"> across all categories</w:t>
      </w:r>
      <w:r w:rsidR="00874487" w:rsidRPr="005F62F4">
        <w:t>, contributing to growing expenditure on prostheses.</w:t>
      </w:r>
    </w:p>
    <w:p w14:paraId="70293FF8" w14:textId="50850129" w:rsidR="00AC23B5" w:rsidRPr="005F62F4" w:rsidRDefault="00682098" w:rsidP="00B04199">
      <w:pPr>
        <w:pStyle w:val="Heading02"/>
      </w:pPr>
      <w:bookmarkStart w:id="29" w:name="_Toc120178287"/>
      <w:bookmarkStart w:id="30" w:name="_Toc129954591"/>
      <w:r w:rsidRPr="005F62F4">
        <w:t xml:space="preserve">Terms of </w:t>
      </w:r>
      <w:r w:rsidR="00FF5447" w:rsidRPr="005F62F4">
        <w:t>r</w:t>
      </w:r>
      <w:r w:rsidRPr="005F62F4">
        <w:t>eference</w:t>
      </w:r>
      <w:bookmarkEnd w:id="29"/>
      <w:bookmarkEnd w:id="30"/>
    </w:p>
    <w:p w14:paraId="1C8F0037" w14:textId="77777777" w:rsidR="00351932" w:rsidRPr="005F62F4" w:rsidRDefault="00351932" w:rsidP="00351932">
      <w:pPr>
        <w:keepNext/>
        <w:spacing w:before="200" w:line="288" w:lineRule="auto"/>
        <w:rPr>
          <w:rFonts w:eastAsia="MS Mincho" w:cs="Tahoma"/>
          <w:szCs w:val="20"/>
          <w:lang w:eastAsia="en-GB"/>
        </w:rPr>
      </w:pPr>
      <w:r w:rsidRPr="005F62F4">
        <w:rPr>
          <w:rFonts w:eastAsia="MS Mincho" w:cs="Tahoma"/>
          <w:szCs w:val="20"/>
          <w:lang w:eastAsia="en-GB"/>
        </w:rPr>
        <w:t>The terms of reference (</w:t>
      </w:r>
      <w:proofErr w:type="spellStart"/>
      <w:r w:rsidRPr="005F62F4">
        <w:rPr>
          <w:rFonts w:eastAsia="MS Mincho" w:cs="Tahoma"/>
          <w:szCs w:val="20"/>
          <w:lang w:eastAsia="en-GB"/>
        </w:rPr>
        <w:t>ToR</w:t>
      </w:r>
      <w:proofErr w:type="spellEnd"/>
      <w:r w:rsidRPr="005F62F4">
        <w:rPr>
          <w:rFonts w:eastAsia="MS Mincho" w:cs="Tahoma"/>
          <w:szCs w:val="20"/>
          <w:lang w:eastAsia="en-GB"/>
        </w:rPr>
        <w:t>) for the review are:</w:t>
      </w:r>
    </w:p>
    <w:p w14:paraId="35080011" w14:textId="77777777" w:rsidR="00351932" w:rsidRPr="005F62F4" w:rsidRDefault="00351932" w:rsidP="00351932">
      <w:pPr>
        <w:tabs>
          <w:tab w:val="num" w:pos="6095"/>
        </w:tabs>
        <w:spacing w:before="120" w:after="120" w:line="288" w:lineRule="auto"/>
        <w:ind w:left="357" w:hanging="357"/>
        <w:rPr>
          <w:rFonts w:eastAsia="Calibri" w:cs="Times New Roman"/>
          <w:szCs w:val="20"/>
          <w:lang w:eastAsia="en-GB"/>
        </w:rPr>
      </w:pPr>
      <w:r w:rsidRPr="005F62F4">
        <w:rPr>
          <w:rFonts w:eastAsia="Calibri" w:cs="Times New Roman"/>
          <w:szCs w:val="20"/>
          <w:lang w:eastAsia="en-GB"/>
        </w:rPr>
        <w:t>1.</w:t>
      </w:r>
      <w:r w:rsidRPr="005F62F4">
        <w:rPr>
          <w:rFonts w:eastAsia="Calibri" w:cs="Times New Roman"/>
          <w:szCs w:val="20"/>
          <w:lang w:eastAsia="en-GB"/>
        </w:rPr>
        <w:tab/>
        <w:t xml:space="preserve">Analyse the role in clinical practice of surgical guides and </w:t>
      </w:r>
      <w:proofErr w:type="spellStart"/>
      <w:r w:rsidRPr="005F62F4">
        <w:rPr>
          <w:rFonts w:eastAsia="Calibri" w:cs="Times New Roman"/>
          <w:szCs w:val="20"/>
          <w:lang w:eastAsia="en-GB"/>
        </w:rPr>
        <w:t>biomodels</w:t>
      </w:r>
      <w:proofErr w:type="spellEnd"/>
      <w:r w:rsidRPr="005F62F4">
        <w:rPr>
          <w:rFonts w:eastAsia="Calibri" w:cs="Times New Roman"/>
          <w:szCs w:val="20"/>
          <w:lang w:eastAsia="en-GB"/>
        </w:rPr>
        <w:t xml:space="preserve"> currently listed on the PL, including future trends in clinical use.</w:t>
      </w:r>
    </w:p>
    <w:p w14:paraId="0EF76DF6" w14:textId="77777777" w:rsidR="00351932" w:rsidRPr="005F62F4" w:rsidRDefault="00351932" w:rsidP="00351932">
      <w:pPr>
        <w:tabs>
          <w:tab w:val="num" w:pos="6095"/>
        </w:tabs>
        <w:spacing w:before="120" w:after="120" w:line="288" w:lineRule="auto"/>
        <w:ind w:left="357" w:hanging="357"/>
        <w:rPr>
          <w:rFonts w:eastAsia="Calibri" w:cs="Times New Roman"/>
          <w:szCs w:val="20"/>
          <w:lang w:eastAsia="en-GB"/>
        </w:rPr>
      </w:pPr>
      <w:r w:rsidRPr="005F62F4">
        <w:rPr>
          <w:rFonts w:eastAsia="Calibri" w:cs="Times New Roman"/>
          <w:szCs w:val="20"/>
          <w:lang w:eastAsia="en-GB"/>
        </w:rPr>
        <w:t>2.</w:t>
      </w:r>
      <w:r w:rsidRPr="005F62F4">
        <w:rPr>
          <w:rFonts w:eastAsia="Calibri" w:cs="Times New Roman"/>
          <w:szCs w:val="20"/>
          <w:lang w:eastAsia="en-GB"/>
        </w:rPr>
        <w:tab/>
        <w:t xml:space="preserve">Review the evidence base for the use of surgical guides and </w:t>
      </w:r>
      <w:proofErr w:type="spellStart"/>
      <w:r w:rsidRPr="005F62F4">
        <w:rPr>
          <w:rFonts w:eastAsia="Calibri" w:cs="Times New Roman"/>
          <w:szCs w:val="20"/>
          <w:lang w:eastAsia="en-GB"/>
        </w:rPr>
        <w:t>biomodels</w:t>
      </w:r>
      <w:proofErr w:type="spellEnd"/>
      <w:r w:rsidRPr="005F62F4">
        <w:rPr>
          <w:rFonts w:eastAsia="Calibri" w:cs="Times New Roman"/>
          <w:szCs w:val="20"/>
          <w:lang w:eastAsia="en-GB"/>
        </w:rPr>
        <w:t xml:space="preserve"> currently listed on the PL, with a focus on comparative clinical effectiveness and clinical benefits.</w:t>
      </w:r>
    </w:p>
    <w:p w14:paraId="45422B6B" w14:textId="77777777" w:rsidR="00351932" w:rsidRPr="005F62F4" w:rsidRDefault="00351932" w:rsidP="00351932">
      <w:pPr>
        <w:tabs>
          <w:tab w:val="num" w:pos="6095"/>
        </w:tabs>
        <w:spacing w:before="120" w:after="120" w:line="288" w:lineRule="auto"/>
        <w:ind w:left="357" w:hanging="357"/>
        <w:rPr>
          <w:rFonts w:eastAsia="Calibri" w:cs="Times New Roman"/>
          <w:szCs w:val="20"/>
          <w:lang w:eastAsia="en-GB"/>
        </w:rPr>
      </w:pPr>
      <w:r w:rsidRPr="005F62F4">
        <w:rPr>
          <w:rFonts w:eastAsia="Calibri" w:cs="Times New Roman"/>
          <w:szCs w:val="20"/>
          <w:lang w:eastAsia="en-GB"/>
        </w:rPr>
        <w:t>3.</w:t>
      </w:r>
      <w:r w:rsidRPr="005F62F4">
        <w:rPr>
          <w:rFonts w:eastAsia="Calibri" w:cs="Times New Roman"/>
          <w:szCs w:val="20"/>
          <w:lang w:eastAsia="en-GB"/>
        </w:rPr>
        <w:tab/>
        <w:t xml:space="preserve">Consider the current utilisation of surgical guides and </w:t>
      </w:r>
      <w:proofErr w:type="spellStart"/>
      <w:r w:rsidRPr="005F62F4">
        <w:rPr>
          <w:rFonts w:eastAsia="Calibri" w:cs="Times New Roman"/>
          <w:szCs w:val="20"/>
          <w:lang w:eastAsia="en-GB"/>
        </w:rPr>
        <w:t>biomodels</w:t>
      </w:r>
      <w:proofErr w:type="spellEnd"/>
      <w:r w:rsidRPr="005F62F4">
        <w:rPr>
          <w:rFonts w:eastAsia="Calibri" w:cs="Times New Roman"/>
          <w:szCs w:val="20"/>
          <w:lang w:eastAsia="en-GB"/>
        </w:rPr>
        <w:t xml:space="preserve"> listed on the PL.</w:t>
      </w:r>
    </w:p>
    <w:p w14:paraId="1688726D" w14:textId="77777777" w:rsidR="00351932" w:rsidRPr="005F62F4" w:rsidRDefault="00351932" w:rsidP="00351932">
      <w:pPr>
        <w:tabs>
          <w:tab w:val="num" w:pos="6095"/>
        </w:tabs>
        <w:spacing w:before="120" w:after="120" w:line="288" w:lineRule="auto"/>
        <w:ind w:left="357" w:hanging="357"/>
        <w:rPr>
          <w:rFonts w:eastAsia="Calibri" w:cs="Times New Roman"/>
          <w:szCs w:val="20"/>
          <w:lang w:eastAsia="en-GB"/>
        </w:rPr>
      </w:pPr>
      <w:r w:rsidRPr="005F62F4">
        <w:rPr>
          <w:rFonts w:eastAsia="Calibri" w:cs="Times New Roman"/>
          <w:szCs w:val="20"/>
          <w:lang w:eastAsia="en-GB"/>
        </w:rPr>
        <w:t>4.</w:t>
      </w:r>
      <w:r w:rsidRPr="005F62F4">
        <w:rPr>
          <w:rFonts w:eastAsia="Calibri" w:cs="Times New Roman"/>
          <w:szCs w:val="20"/>
          <w:lang w:eastAsia="en-GB"/>
        </w:rPr>
        <w:tab/>
        <w:t xml:space="preserve">Based on the findings of </w:t>
      </w:r>
      <w:proofErr w:type="spellStart"/>
      <w:r w:rsidRPr="005F62F4">
        <w:rPr>
          <w:rFonts w:eastAsia="Calibri" w:cs="Times New Roman"/>
          <w:szCs w:val="20"/>
          <w:lang w:eastAsia="en-GB"/>
        </w:rPr>
        <w:t>ToR</w:t>
      </w:r>
      <w:proofErr w:type="spellEnd"/>
      <w:r w:rsidRPr="005F62F4">
        <w:rPr>
          <w:rFonts w:eastAsia="Calibri" w:cs="Times New Roman"/>
          <w:szCs w:val="20"/>
          <w:lang w:eastAsia="en-GB"/>
        </w:rPr>
        <w:t xml:space="preserve"> 1, 2 and 3, advise if surgical guides and </w:t>
      </w:r>
      <w:proofErr w:type="spellStart"/>
      <w:r w:rsidRPr="005F62F4">
        <w:rPr>
          <w:rFonts w:eastAsia="Calibri" w:cs="Times New Roman"/>
          <w:szCs w:val="20"/>
          <w:lang w:eastAsia="en-GB"/>
        </w:rPr>
        <w:t>biomodels</w:t>
      </w:r>
      <w:proofErr w:type="spellEnd"/>
      <w:r w:rsidRPr="005F62F4">
        <w:rPr>
          <w:rFonts w:eastAsia="Calibri" w:cs="Times New Roman"/>
          <w:szCs w:val="20"/>
          <w:lang w:eastAsia="en-GB"/>
        </w:rPr>
        <w:t xml:space="preserve"> meet the eligibility criteria for listing on the PL. Findings regarding eligibility may differ between products and clinical circumstances.</w:t>
      </w:r>
    </w:p>
    <w:p w14:paraId="3980AB93" w14:textId="77777777" w:rsidR="00444EF2" w:rsidRPr="005F62F4" w:rsidRDefault="00444EF2" w:rsidP="00114867">
      <w:bookmarkStart w:id="31" w:name="_Toc120178288"/>
      <w:r w:rsidRPr="005F62F4">
        <w:br w:type="page"/>
      </w:r>
    </w:p>
    <w:p w14:paraId="0B9A8F2D" w14:textId="76F7D2D1" w:rsidR="00351932" w:rsidRPr="005F62F4" w:rsidRDefault="00351932" w:rsidP="00B04199">
      <w:pPr>
        <w:pStyle w:val="Heading02"/>
      </w:pPr>
      <w:bookmarkStart w:id="32" w:name="_Toc129954592"/>
      <w:r w:rsidRPr="005F62F4">
        <w:lastRenderedPageBreak/>
        <w:t>Methodolog</w:t>
      </w:r>
      <w:r w:rsidR="00253892" w:rsidRPr="005F62F4">
        <w:t>y</w:t>
      </w:r>
      <w:bookmarkEnd w:id="31"/>
      <w:bookmarkEnd w:id="32"/>
    </w:p>
    <w:p w14:paraId="51335CA6" w14:textId="50D92650" w:rsidR="0015522B" w:rsidRPr="005F62F4" w:rsidRDefault="00351932" w:rsidP="0015522B">
      <w:pPr>
        <w:pStyle w:val="ParaKeep"/>
      </w:pPr>
      <w:r w:rsidRPr="005F62F4">
        <w:t xml:space="preserve">The </w:t>
      </w:r>
      <w:r w:rsidR="00444EF2" w:rsidRPr="005F62F4">
        <w:t xml:space="preserve">methods and data </w:t>
      </w:r>
      <w:r w:rsidRPr="005F62F4">
        <w:t>sources used in this review</w:t>
      </w:r>
      <w:r w:rsidR="0015522B" w:rsidRPr="005F62F4">
        <w:t xml:space="preserve"> are outlined below.</w:t>
      </w:r>
    </w:p>
    <w:p w14:paraId="79D9117A" w14:textId="0DA26F70" w:rsidR="0015522B" w:rsidRPr="005F62F4" w:rsidRDefault="0015522B" w:rsidP="0015522B">
      <w:pPr>
        <w:pStyle w:val="Heading03"/>
      </w:pPr>
      <w:r w:rsidRPr="005F62F4">
        <w:t>Desktop review</w:t>
      </w:r>
    </w:p>
    <w:p w14:paraId="3C600ACB" w14:textId="379229C4" w:rsidR="00351932" w:rsidRPr="005F62F4" w:rsidRDefault="0015522B" w:rsidP="00D11A38">
      <w:pPr>
        <w:pStyle w:val="Para"/>
        <w:spacing w:before="120"/>
      </w:pPr>
      <w:r w:rsidRPr="005F62F4">
        <w:t>We conducted a</w:t>
      </w:r>
      <w:r w:rsidR="00351932" w:rsidRPr="005F62F4">
        <w:t xml:space="preserve"> desktop review of synthesised peer-reviewed literature (limited to systematic reviews and meta-analyses), publicly</w:t>
      </w:r>
      <w:r w:rsidR="00BD6A4C" w:rsidRPr="005F62F4">
        <w:t xml:space="preserve"> </w:t>
      </w:r>
      <w:r w:rsidR="00351932" w:rsidRPr="005F62F4">
        <w:t xml:space="preserve">available and supplied grey literature, </w:t>
      </w:r>
      <w:r w:rsidR="0027635E" w:rsidRPr="005F62F4">
        <w:t xml:space="preserve">and </w:t>
      </w:r>
      <w:r w:rsidR="0050502F" w:rsidRPr="005F62F4">
        <w:t>other relevant documents</w:t>
      </w:r>
      <w:r w:rsidR="00DC0036" w:rsidRPr="005F62F4">
        <w:t xml:space="preserve"> </w:t>
      </w:r>
      <w:r w:rsidR="007677E2" w:rsidRPr="005F62F4">
        <w:t>(</w:t>
      </w:r>
      <w:r w:rsidR="00351932" w:rsidRPr="005F62F4">
        <w:t xml:space="preserve">including product </w:t>
      </w:r>
      <w:r w:rsidR="006335F0" w:rsidRPr="005F62F4">
        <w:t xml:space="preserve">and clinical </w:t>
      </w:r>
      <w:r w:rsidR="00351932" w:rsidRPr="005F62F4">
        <w:t>information</w:t>
      </w:r>
      <w:r w:rsidR="007677E2" w:rsidRPr="005F62F4">
        <w:t>)</w:t>
      </w:r>
      <w:r w:rsidR="006335F0" w:rsidRPr="005F62F4">
        <w:t xml:space="preserve"> </w:t>
      </w:r>
      <w:r w:rsidR="00D67F65" w:rsidRPr="005F62F4">
        <w:t xml:space="preserve">provided by the department, </w:t>
      </w:r>
      <w:r w:rsidR="00A93388" w:rsidRPr="005F62F4">
        <w:t xml:space="preserve">product </w:t>
      </w:r>
      <w:r w:rsidR="00D67F65" w:rsidRPr="005F62F4">
        <w:t>sponsors and other stakeholders</w:t>
      </w:r>
      <w:r w:rsidR="00351932" w:rsidRPr="005F62F4">
        <w:t>.</w:t>
      </w:r>
    </w:p>
    <w:p w14:paraId="049C493D" w14:textId="7465FF9A" w:rsidR="0015522B" w:rsidRPr="005F62F4" w:rsidRDefault="00351932" w:rsidP="0015522B">
      <w:pPr>
        <w:pStyle w:val="Heading03"/>
      </w:pPr>
      <w:r w:rsidRPr="005F62F4">
        <w:t>Stakeholder consultations</w:t>
      </w:r>
    </w:p>
    <w:p w14:paraId="4B8ACF02" w14:textId="50D3DDE4" w:rsidR="00351932" w:rsidRPr="005F62F4" w:rsidRDefault="00351932" w:rsidP="00D11A38">
      <w:pPr>
        <w:pStyle w:val="ParaKeep"/>
        <w:spacing w:before="120"/>
      </w:pPr>
      <w:r w:rsidRPr="005F62F4">
        <w:t xml:space="preserve">We </w:t>
      </w:r>
      <w:r w:rsidR="000906B1" w:rsidRPr="005F62F4">
        <w:t xml:space="preserve">interviewed </w:t>
      </w:r>
      <w:r w:rsidRPr="005F62F4">
        <w:t>a total of 3</w:t>
      </w:r>
      <w:r w:rsidR="008221A9" w:rsidRPr="005F62F4">
        <w:t>8</w:t>
      </w:r>
      <w:r w:rsidRPr="005F62F4">
        <w:t> </w:t>
      </w:r>
      <w:r w:rsidR="000906B1" w:rsidRPr="005F62F4">
        <w:t xml:space="preserve">individuals and accepted </w:t>
      </w:r>
      <w:r w:rsidR="00190CD8" w:rsidRPr="005F62F4">
        <w:t>9</w:t>
      </w:r>
      <w:r w:rsidR="009B1B08" w:rsidRPr="005F62F4">
        <w:t> </w:t>
      </w:r>
      <w:r w:rsidR="000906B1" w:rsidRPr="005F62F4">
        <w:t>written submissions</w:t>
      </w:r>
      <w:r w:rsidR="00DC0036" w:rsidRPr="005F62F4">
        <w:t>. This included</w:t>
      </w:r>
      <w:r w:rsidRPr="005F62F4">
        <w:t>:</w:t>
      </w:r>
    </w:p>
    <w:p w14:paraId="27346196" w14:textId="7497BD7F" w:rsidR="00351932" w:rsidRPr="005F62F4" w:rsidRDefault="00351932" w:rsidP="00D11A38">
      <w:pPr>
        <w:pStyle w:val="Bullet1"/>
        <w:spacing w:before="0"/>
      </w:pPr>
      <w:r w:rsidRPr="005F62F4">
        <w:t>6 department representatives (via a group meeting)</w:t>
      </w:r>
      <w:r w:rsidR="00920CC5">
        <w:t>.</w:t>
      </w:r>
    </w:p>
    <w:p w14:paraId="1F907383" w14:textId="4A1C1E2E" w:rsidR="00351932" w:rsidRPr="005F62F4" w:rsidRDefault="00351932" w:rsidP="007B4518">
      <w:pPr>
        <w:pStyle w:val="Bullet1"/>
      </w:pPr>
      <w:r w:rsidRPr="005F62F4">
        <w:t>1</w:t>
      </w:r>
      <w:r w:rsidR="00EB5AD6" w:rsidRPr="005F62F4">
        <w:t>3</w:t>
      </w:r>
      <w:r w:rsidRPr="005F62F4">
        <w:t> </w:t>
      </w:r>
      <w:r w:rsidR="009A3D4A" w:rsidRPr="005F62F4">
        <w:t>oral and maxillof</w:t>
      </w:r>
      <w:r w:rsidR="00467797" w:rsidRPr="005F62F4">
        <w:t>acial surge</w:t>
      </w:r>
      <w:r w:rsidR="004042C3" w:rsidRPr="005F62F4">
        <w:t>ons</w:t>
      </w:r>
      <w:r w:rsidR="00467797" w:rsidRPr="005F62F4">
        <w:t xml:space="preserve"> </w:t>
      </w:r>
      <w:r w:rsidR="00EB5AD6" w:rsidRPr="005F62F4">
        <w:t>and 1 head and neck reconstructive surgeon</w:t>
      </w:r>
      <w:r w:rsidR="00467797" w:rsidRPr="005F62F4">
        <w:t xml:space="preserve"> </w:t>
      </w:r>
      <w:r w:rsidRPr="005F62F4">
        <w:t xml:space="preserve">(13 via interview or group meetings, and 1 via </w:t>
      </w:r>
      <w:r w:rsidR="00FD688B" w:rsidRPr="005F62F4">
        <w:t xml:space="preserve">a </w:t>
      </w:r>
      <w:r w:rsidRPr="005F62F4">
        <w:t xml:space="preserve">written </w:t>
      </w:r>
      <w:r w:rsidR="00960061" w:rsidRPr="005F62F4">
        <w:t>submission</w:t>
      </w:r>
      <w:r w:rsidR="00821580" w:rsidRPr="005F62F4">
        <w:t>)</w:t>
      </w:r>
      <w:r w:rsidR="00920CC5">
        <w:t>.</w:t>
      </w:r>
    </w:p>
    <w:p w14:paraId="03AC2F07" w14:textId="170A79D6" w:rsidR="00351932" w:rsidRPr="005F62F4" w:rsidRDefault="00351932" w:rsidP="007B4518">
      <w:pPr>
        <w:pStyle w:val="Bullet1"/>
      </w:pPr>
      <w:r w:rsidRPr="005F62F4">
        <w:t xml:space="preserve">11 representatives from </w:t>
      </w:r>
      <w:r w:rsidR="00810A04" w:rsidRPr="005F62F4" w:rsidDel="002D16F7">
        <w:t>surgical and private health insurance</w:t>
      </w:r>
      <w:r w:rsidR="00810A04" w:rsidRPr="005F62F4" w:rsidDel="006426AD">
        <w:t xml:space="preserve"> </w:t>
      </w:r>
      <w:r w:rsidR="00810A04" w:rsidRPr="005F62F4">
        <w:t>peak bodies</w:t>
      </w:r>
      <w:r w:rsidR="002D16F7" w:rsidRPr="005F62F4">
        <w:t xml:space="preserve"> and </w:t>
      </w:r>
      <w:r w:rsidR="00695172" w:rsidRPr="005F62F4">
        <w:t>technical organisations</w:t>
      </w:r>
      <w:r w:rsidR="00D42464" w:rsidRPr="005F62F4">
        <w:t xml:space="preserve"> </w:t>
      </w:r>
      <w:r w:rsidR="00A737D7" w:rsidRPr="005F62F4">
        <w:t>(</w:t>
      </w:r>
      <w:r w:rsidR="00D42464" w:rsidRPr="005F62F4">
        <w:t>via interview</w:t>
      </w:r>
      <w:r w:rsidR="00A737D7" w:rsidRPr="005F62F4">
        <w:t>)</w:t>
      </w:r>
      <w:r w:rsidR="00920CC5">
        <w:t>.</w:t>
      </w:r>
    </w:p>
    <w:p w14:paraId="2B96B4BA" w14:textId="5E91E14A" w:rsidR="00DB586B" w:rsidRPr="005F62F4" w:rsidRDefault="00726CC4" w:rsidP="007B4518">
      <w:pPr>
        <w:pStyle w:val="Bullet1"/>
      </w:pPr>
      <w:r w:rsidRPr="005F62F4">
        <w:rPr>
          <w:rStyle w:val="Strong"/>
          <w:b w:val="0"/>
          <w:bCs w:val="0"/>
        </w:rPr>
        <w:t xml:space="preserve">8 </w:t>
      </w:r>
      <w:r w:rsidR="00A737D7" w:rsidRPr="005F62F4">
        <w:rPr>
          <w:rStyle w:val="Strong"/>
          <w:b w:val="0"/>
          <w:bCs w:val="0"/>
        </w:rPr>
        <w:t>written</w:t>
      </w:r>
      <w:r w:rsidR="00A737D7" w:rsidRPr="005F62F4">
        <w:rPr>
          <w:rStyle w:val="Strong"/>
          <w:b w:val="0"/>
        </w:rPr>
        <w:t xml:space="preserve"> </w:t>
      </w:r>
      <w:r w:rsidR="00351932" w:rsidRPr="005F62F4">
        <w:t xml:space="preserve">submissions </w:t>
      </w:r>
      <w:r w:rsidR="00BD3867" w:rsidRPr="005F62F4">
        <w:t>from 9</w:t>
      </w:r>
      <w:r w:rsidR="00007625" w:rsidRPr="005F62F4">
        <w:t> product</w:t>
      </w:r>
      <w:r w:rsidR="00BD3867" w:rsidRPr="005F62F4">
        <w:t xml:space="preserve"> sponsors. In addition, </w:t>
      </w:r>
      <w:r w:rsidR="0068190E" w:rsidRPr="005F62F4">
        <w:t>all</w:t>
      </w:r>
      <w:r w:rsidR="00DE26B1" w:rsidRPr="005F62F4">
        <w:t xml:space="preserve"> sponsors were </w:t>
      </w:r>
      <w:r w:rsidR="003F3A94" w:rsidRPr="005F62F4">
        <w:t>invited to an interview, with</w:t>
      </w:r>
      <w:r w:rsidR="00BD3867" w:rsidRPr="005F62F4">
        <w:t xml:space="preserve"> </w:t>
      </w:r>
      <w:r w:rsidR="00DE26B1" w:rsidRPr="005F62F4">
        <w:t xml:space="preserve">8 representatives from 3 sponsors </w:t>
      </w:r>
      <w:r w:rsidR="003F3A94" w:rsidRPr="005F62F4">
        <w:t>participating</w:t>
      </w:r>
      <w:r w:rsidR="00DE26B1" w:rsidRPr="005F62F4">
        <w:t>.</w:t>
      </w:r>
      <w:r w:rsidR="003B43E1" w:rsidRPr="005F62F4">
        <w:t xml:space="preserve"> </w:t>
      </w:r>
      <w:r w:rsidR="00EC7FE0" w:rsidRPr="005F62F4">
        <w:t xml:space="preserve">One sponsor </w:t>
      </w:r>
      <w:r w:rsidR="00C714C8" w:rsidRPr="005F62F4">
        <w:t>declined</w:t>
      </w:r>
      <w:r w:rsidR="009B122A" w:rsidRPr="005F62F4">
        <w:t xml:space="preserve"> </w:t>
      </w:r>
      <w:r w:rsidR="005640A9" w:rsidRPr="005F62F4">
        <w:t>to</w:t>
      </w:r>
      <w:r w:rsidR="009B122A" w:rsidRPr="005F62F4">
        <w:t xml:space="preserve"> participate in the </w:t>
      </w:r>
      <w:r w:rsidR="00DE26B1" w:rsidRPr="005F62F4">
        <w:t>review.</w:t>
      </w:r>
    </w:p>
    <w:p w14:paraId="190DB070" w14:textId="33033E94" w:rsidR="000C47C0" w:rsidRPr="005F62F4" w:rsidRDefault="00B00262" w:rsidP="00FD0A47">
      <w:pPr>
        <w:pStyle w:val="Heading03"/>
      </w:pPr>
      <w:r w:rsidRPr="005F62F4">
        <w:t>S</w:t>
      </w:r>
      <w:r w:rsidR="000C47C0" w:rsidRPr="005F62F4">
        <w:t>ubmissions from sponsors</w:t>
      </w:r>
    </w:p>
    <w:p w14:paraId="603947DC" w14:textId="6F1CAF11" w:rsidR="00DB586B" w:rsidRPr="005F62F4" w:rsidRDefault="00351932" w:rsidP="00D11A38">
      <w:pPr>
        <w:pStyle w:val="Para"/>
        <w:spacing w:before="120"/>
      </w:pPr>
      <w:r w:rsidRPr="005F62F4">
        <w:t xml:space="preserve">Sponsors were </w:t>
      </w:r>
      <w:r w:rsidR="00432E6A" w:rsidRPr="005F62F4">
        <w:t>asked</w:t>
      </w:r>
      <w:r w:rsidRPr="005F62F4">
        <w:t xml:space="preserve"> to provide evidence regarding the comparative clinical benefits and clinical effectiveness of </w:t>
      </w:r>
      <w:r w:rsidR="007409C2" w:rsidRPr="005F62F4">
        <w:t xml:space="preserve">their PL-listed </w:t>
      </w:r>
      <w:r w:rsidRPr="005F62F4">
        <w:t xml:space="preserve">surgical guides and </w:t>
      </w:r>
      <w:proofErr w:type="spellStart"/>
      <w:r w:rsidRPr="005F62F4">
        <w:t>biomodels</w:t>
      </w:r>
      <w:proofErr w:type="spellEnd"/>
      <w:r w:rsidRPr="005F62F4">
        <w:t>; information on whether (and if so</w:t>
      </w:r>
      <w:r w:rsidR="00810A04" w:rsidRPr="005F62F4">
        <w:t>,</w:t>
      </w:r>
      <w:r w:rsidRPr="005F62F4">
        <w:t xml:space="preserve"> why) surgical guides and </w:t>
      </w:r>
      <w:proofErr w:type="spellStart"/>
      <w:r w:rsidRPr="005F62F4">
        <w:t>biomodels</w:t>
      </w:r>
      <w:proofErr w:type="spellEnd"/>
      <w:r w:rsidRPr="005F62F4">
        <w:t xml:space="preserve"> are essential as an integral single</w:t>
      </w:r>
      <w:r w:rsidR="00FC4715">
        <w:t>-</w:t>
      </w:r>
      <w:r w:rsidRPr="005F62F4">
        <w:t xml:space="preserve">use aid for implanting a medical device, and whether the product has a unique and direct connection to the </w:t>
      </w:r>
      <w:r w:rsidR="00810A04" w:rsidRPr="005F62F4">
        <w:t xml:space="preserve">implantation </w:t>
      </w:r>
      <w:r w:rsidR="009B565C" w:rsidRPr="005F62F4">
        <w:t xml:space="preserve">of </w:t>
      </w:r>
      <w:r w:rsidR="00810A04" w:rsidRPr="005F62F4">
        <w:t>a prosthesis</w:t>
      </w:r>
      <w:r w:rsidRPr="005F62F4">
        <w:t>. We also sought information on the Australian Register of Therapeutic Goods registration status for each product.</w:t>
      </w:r>
    </w:p>
    <w:p w14:paraId="7361EB74" w14:textId="532163E1" w:rsidR="00505771" w:rsidRPr="005F62F4" w:rsidRDefault="001C2135" w:rsidP="0015522B">
      <w:pPr>
        <w:pStyle w:val="Para"/>
      </w:pPr>
      <w:r w:rsidRPr="005F62F4">
        <w:t>A</w:t>
      </w:r>
      <w:r w:rsidR="00505771" w:rsidRPr="005F62F4">
        <w:t>ll stakeholders consulted were given the opportunity to review</w:t>
      </w:r>
      <w:r w:rsidR="00484AD4" w:rsidRPr="005F62F4">
        <w:t xml:space="preserve"> and provide </w:t>
      </w:r>
      <w:r w:rsidR="00433D43" w:rsidRPr="005F62F4">
        <w:t xml:space="preserve">written </w:t>
      </w:r>
      <w:r w:rsidR="00484AD4" w:rsidRPr="005F62F4">
        <w:t xml:space="preserve">feedback on </w:t>
      </w:r>
      <w:r w:rsidR="000C1226" w:rsidRPr="005F62F4">
        <w:t xml:space="preserve">the </w:t>
      </w:r>
      <w:r w:rsidR="00484AD4" w:rsidRPr="005F62F4">
        <w:t>draft of this report.</w:t>
      </w:r>
      <w:r w:rsidR="004D51CF" w:rsidRPr="005F62F4">
        <w:t xml:space="preserve"> </w:t>
      </w:r>
      <w:r w:rsidR="008A75DF" w:rsidRPr="005F62F4">
        <w:t>We received a</w:t>
      </w:r>
      <w:r w:rsidR="004D51CF" w:rsidRPr="005F62F4">
        <w:t xml:space="preserve"> total of 1</w:t>
      </w:r>
      <w:r w:rsidR="00C179D2" w:rsidRPr="005F62F4">
        <w:t>0</w:t>
      </w:r>
      <w:r w:rsidR="005C36F1" w:rsidRPr="005F62F4">
        <w:t> </w:t>
      </w:r>
      <w:r w:rsidR="004D51CF" w:rsidRPr="005F62F4">
        <w:t>submissions</w:t>
      </w:r>
      <w:r w:rsidR="00387C14" w:rsidRPr="005F62F4">
        <w:t xml:space="preserve"> and relevant feedback was incorporated into</w:t>
      </w:r>
      <w:r w:rsidR="009F007B" w:rsidRPr="005F62F4">
        <w:t xml:space="preserve"> this final report.</w:t>
      </w:r>
    </w:p>
    <w:p w14:paraId="3918078B" w14:textId="2CD02837" w:rsidR="0015522B" w:rsidRPr="005F62F4" w:rsidRDefault="007F5C84" w:rsidP="0015522B">
      <w:pPr>
        <w:pStyle w:val="Heading03"/>
      </w:pPr>
      <w:r w:rsidRPr="005F62F4">
        <w:t>Analysis of u</w:t>
      </w:r>
      <w:r w:rsidR="00351932" w:rsidRPr="005F62F4">
        <w:t xml:space="preserve">tilisation </w:t>
      </w:r>
      <w:r w:rsidRPr="005F62F4">
        <w:t>data</w:t>
      </w:r>
    </w:p>
    <w:p w14:paraId="65FCCD98" w14:textId="52E9CCDE" w:rsidR="00351932" w:rsidRPr="005F62F4" w:rsidRDefault="00715B4A" w:rsidP="00D11A38">
      <w:pPr>
        <w:pStyle w:val="Para"/>
        <w:spacing w:before="120"/>
        <w:rPr>
          <w:rFonts w:eastAsia="@Arial Unicode MS"/>
        </w:rPr>
      </w:pPr>
      <w:r w:rsidRPr="005F62F4">
        <w:rPr>
          <w:rFonts w:eastAsia="@Arial Unicode MS"/>
        </w:rPr>
        <w:t xml:space="preserve">We analysed </w:t>
      </w:r>
      <w:r w:rsidR="00351932" w:rsidRPr="005F62F4">
        <w:rPr>
          <w:rFonts w:eastAsia="@Arial Unicode MS"/>
        </w:rPr>
        <w:t>H</w:t>
      </w:r>
      <w:r w:rsidR="000C1CAF" w:rsidRPr="005F62F4">
        <w:rPr>
          <w:rFonts w:eastAsia="@Arial Unicode MS"/>
        </w:rPr>
        <w:t xml:space="preserve">ospital </w:t>
      </w:r>
      <w:proofErr w:type="spellStart"/>
      <w:r w:rsidR="000C1CAF" w:rsidRPr="005F62F4">
        <w:rPr>
          <w:rFonts w:eastAsia="@Arial Unicode MS"/>
        </w:rPr>
        <w:t>Casemix</w:t>
      </w:r>
      <w:proofErr w:type="spellEnd"/>
      <w:r w:rsidR="000C1CAF" w:rsidRPr="005F62F4">
        <w:rPr>
          <w:rFonts w:eastAsia="@Arial Unicode MS"/>
        </w:rPr>
        <w:t xml:space="preserve"> Protocol 1 (HCP</w:t>
      </w:r>
      <w:r w:rsidR="00351932" w:rsidRPr="005F62F4">
        <w:rPr>
          <w:rFonts w:eastAsia="@Arial Unicode MS"/>
        </w:rPr>
        <w:t>1</w:t>
      </w:r>
      <w:r w:rsidR="000C1CAF" w:rsidRPr="005F62F4">
        <w:rPr>
          <w:rFonts w:eastAsia="@Arial Unicode MS"/>
        </w:rPr>
        <w:t>)</w:t>
      </w:r>
      <w:r w:rsidR="00351932" w:rsidRPr="005F62F4">
        <w:rPr>
          <w:rFonts w:eastAsia="@Arial Unicode MS"/>
        </w:rPr>
        <w:t xml:space="preserve"> data</w:t>
      </w:r>
      <w:r w:rsidR="000C1CAF" w:rsidRPr="005F62F4">
        <w:rPr>
          <w:rFonts w:eastAsia="@Arial Unicode MS"/>
        </w:rPr>
        <w:t>, publicly</w:t>
      </w:r>
      <w:r w:rsidR="00D23F93">
        <w:rPr>
          <w:rFonts w:eastAsia="@Arial Unicode MS"/>
        </w:rPr>
        <w:t xml:space="preserve"> </w:t>
      </w:r>
      <w:r w:rsidR="000C1CAF" w:rsidRPr="005F62F4">
        <w:rPr>
          <w:rFonts w:eastAsia="@Arial Unicode MS"/>
        </w:rPr>
        <w:t>available Australian Prudential Regulation Authority (APRA) data and Medicare Item Reports data</w:t>
      </w:r>
      <w:r w:rsidR="001F0346" w:rsidRPr="005F62F4">
        <w:rPr>
          <w:rFonts w:eastAsia="@Arial Unicode MS"/>
        </w:rPr>
        <w:t>.</w:t>
      </w:r>
    </w:p>
    <w:p w14:paraId="7EB9D1B3" w14:textId="32E60C15" w:rsidR="0015522B" w:rsidRPr="005F62F4" w:rsidRDefault="0015522B" w:rsidP="0015522B">
      <w:pPr>
        <w:pStyle w:val="Heading03"/>
      </w:pPr>
      <w:r w:rsidRPr="005F62F4">
        <w:t>Systematic review</w:t>
      </w:r>
    </w:p>
    <w:p w14:paraId="76795FDA" w14:textId="64306956" w:rsidR="00351932" w:rsidRPr="005F62F4" w:rsidRDefault="0015522B" w:rsidP="00D11A38">
      <w:pPr>
        <w:pStyle w:val="Para"/>
        <w:spacing w:before="120"/>
        <w:rPr>
          <w:rFonts w:eastAsia="@Arial Unicode MS"/>
        </w:rPr>
      </w:pPr>
      <w:r w:rsidRPr="005F62F4">
        <w:t>We conducted a</w:t>
      </w:r>
      <w:r w:rsidR="00351932" w:rsidRPr="005F62F4">
        <w:rPr>
          <w:rFonts w:eastAsia="@Arial Unicode MS"/>
        </w:rPr>
        <w:t xml:space="preserve"> </w:t>
      </w:r>
      <w:r w:rsidR="00351932" w:rsidRPr="005F62F4">
        <w:t>systematic review</w:t>
      </w:r>
      <w:r w:rsidR="00351932" w:rsidRPr="005F62F4">
        <w:rPr>
          <w:rFonts w:eastAsia="@Arial Unicode MS"/>
        </w:rPr>
        <w:t xml:space="preserve"> to identify evidence on the comparative clinical effectiveness of the in-scope surgical guides and </w:t>
      </w:r>
      <w:proofErr w:type="spellStart"/>
      <w:r w:rsidR="00351932" w:rsidRPr="005F62F4">
        <w:rPr>
          <w:rFonts w:eastAsia="@Arial Unicode MS"/>
        </w:rPr>
        <w:t>biomodels</w:t>
      </w:r>
      <w:proofErr w:type="spellEnd"/>
      <w:r w:rsidR="00351932" w:rsidRPr="005F62F4">
        <w:rPr>
          <w:rFonts w:eastAsia="@Arial Unicode MS"/>
        </w:rPr>
        <w:t>.</w:t>
      </w:r>
    </w:p>
    <w:p w14:paraId="295F1D64" w14:textId="0C2D016D" w:rsidR="00150D2B" w:rsidRPr="005F62F4" w:rsidRDefault="002A6F30" w:rsidP="00B04199">
      <w:pPr>
        <w:pStyle w:val="Heading02"/>
      </w:pPr>
      <w:bookmarkStart w:id="33" w:name="_Toc120178289"/>
      <w:bookmarkStart w:id="34" w:name="_Toc129954593"/>
      <w:r w:rsidRPr="005F62F4">
        <w:lastRenderedPageBreak/>
        <w:t xml:space="preserve">Key </w:t>
      </w:r>
      <w:r w:rsidR="001B5024" w:rsidRPr="005F62F4">
        <w:t>r</w:t>
      </w:r>
      <w:r w:rsidRPr="005F62F4">
        <w:t>eview findings</w:t>
      </w:r>
      <w:bookmarkEnd w:id="33"/>
      <w:bookmarkEnd w:id="34"/>
    </w:p>
    <w:p w14:paraId="40F74E15" w14:textId="65759B1A" w:rsidR="00351932" w:rsidRPr="005F62F4" w:rsidRDefault="00351932" w:rsidP="00B23695">
      <w:pPr>
        <w:pStyle w:val="ParaKeep"/>
      </w:pPr>
      <w:r w:rsidRPr="005F62F4">
        <w:t xml:space="preserve">Information from review data sources was analysed and synthesised to produce this report. The key findings for each </w:t>
      </w:r>
      <w:proofErr w:type="spellStart"/>
      <w:r w:rsidRPr="005F62F4">
        <w:t>ToR</w:t>
      </w:r>
      <w:proofErr w:type="spellEnd"/>
      <w:r w:rsidRPr="005F62F4">
        <w:t xml:space="preserve"> are summarised below.</w:t>
      </w:r>
    </w:p>
    <w:p w14:paraId="6A7B63C7" w14:textId="5FF90B9D" w:rsidR="002A6F30" w:rsidRPr="005F62F4" w:rsidRDefault="00936AF5" w:rsidP="00FE6127">
      <w:pPr>
        <w:pStyle w:val="Heading03"/>
        <w:tabs>
          <w:tab w:val="left" w:pos="8564"/>
        </w:tabs>
      </w:pPr>
      <w:bookmarkStart w:id="35" w:name="_Toc120178290"/>
      <w:proofErr w:type="spellStart"/>
      <w:r w:rsidRPr="005F62F4">
        <w:t>ToR</w:t>
      </w:r>
      <w:proofErr w:type="spellEnd"/>
      <w:r w:rsidRPr="005F62F4">
        <w:t xml:space="preserve"> 1: </w:t>
      </w:r>
      <w:r w:rsidR="00EF4EF9" w:rsidRPr="005F62F4">
        <w:t>Role</w:t>
      </w:r>
      <w:r w:rsidR="003908DE" w:rsidRPr="005F62F4">
        <w:t xml:space="preserve"> in clinical pr</w:t>
      </w:r>
      <w:r w:rsidR="009F6AC7" w:rsidRPr="005F62F4">
        <w:t>actice</w:t>
      </w:r>
      <w:bookmarkEnd w:id="35"/>
    </w:p>
    <w:p w14:paraId="1AAFB591" w14:textId="04DE45D0" w:rsidR="009F6AC7" w:rsidRPr="005F62F4" w:rsidRDefault="00556249" w:rsidP="00E70C98">
      <w:pPr>
        <w:pStyle w:val="Boxed"/>
      </w:pPr>
      <w:r w:rsidRPr="005F62F4">
        <w:t>1.</w:t>
      </w:r>
      <w:r w:rsidR="00B44238" w:rsidRPr="005F62F4">
        <w:t xml:space="preserve"> </w:t>
      </w:r>
      <w:r w:rsidR="009F6AC7" w:rsidRPr="005F62F4">
        <w:t xml:space="preserve">Analyse the role of surgical guides </w:t>
      </w:r>
      <w:r w:rsidR="00286835" w:rsidRPr="005F62F4">
        <w:t xml:space="preserve">and </w:t>
      </w:r>
      <w:proofErr w:type="spellStart"/>
      <w:r w:rsidR="00286835" w:rsidRPr="005F62F4">
        <w:t>biomodels</w:t>
      </w:r>
      <w:proofErr w:type="spellEnd"/>
      <w:r w:rsidR="00286835" w:rsidRPr="005F62F4">
        <w:t xml:space="preserve"> </w:t>
      </w:r>
      <w:r w:rsidR="009F6AC7" w:rsidRPr="005F62F4">
        <w:t>currently listed on the PL in clinical practice, including future trends in clinical use</w:t>
      </w:r>
      <w:r w:rsidR="004C36BE" w:rsidRPr="005F62F4">
        <w:t>.</w:t>
      </w:r>
    </w:p>
    <w:p w14:paraId="7A48667C" w14:textId="48A391BC" w:rsidR="009D4EF9" w:rsidRPr="005F62F4" w:rsidRDefault="009D4EF9" w:rsidP="00F8741E">
      <w:pPr>
        <w:pStyle w:val="Keyfindingsbullet"/>
      </w:pPr>
      <w:r w:rsidRPr="005F62F4">
        <w:t>Surgical guides are frequently used in complex CMF surger</w:t>
      </w:r>
      <w:r w:rsidR="00E7039F" w:rsidRPr="005F62F4">
        <w:t>ies</w:t>
      </w:r>
      <w:r w:rsidRPr="005F62F4">
        <w:t xml:space="preserve"> and have a range of benefits. </w:t>
      </w:r>
      <w:r w:rsidR="00F539CE" w:rsidRPr="005F62F4">
        <w:t xml:space="preserve">While there are currently no clinical practice guidelines supporting their use, </w:t>
      </w:r>
      <w:r w:rsidR="00312CD0" w:rsidRPr="005F62F4">
        <w:t xml:space="preserve">most stakeholders, including </w:t>
      </w:r>
      <w:r w:rsidR="008B16D4" w:rsidRPr="005F62F4">
        <w:t>surgeons</w:t>
      </w:r>
      <w:r w:rsidR="00292760" w:rsidRPr="005F62F4">
        <w:t>,</w:t>
      </w:r>
      <w:r w:rsidR="00F539CE" w:rsidRPr="005F62F4">
        <w:t xml:space="preserve"> </w:t>
      </w:r>
      <w:r w:rsidR="00F13B43" w:rsidRPr="005F62F4">
        <w:t>c</w:t>
      </w:r>
      <w:r w:rsidRPr="005F62F4">
        <w:t xml:space="preserve">onsidered </w:t>
      </w:r>
      <w:r w:rsidR="006C5FFB" w:rsidRPr="005F62F4">
        <w:t xml:space="preserve">surgical guides and </w:t>
      </w:r>
      <w:proofErr w:type="spellStart"/>
      <w:r w:rsidR="006C5FFB" w:rsidRPr="005F62F4">
        <w:t>biomodels</w:t>
      </w:r>
      <w:proofErr w:type="spellEnd"/>
      <w:r w:rsidR="006C5FFB" w:rsidRPr="005F62F4">
        <w:t xml:space="preserve"> </w:t>
      </w:r>
      <w:r w:rsidRPr="005F62F4">
        <w:t>part of the standard of care for complex CMF surgeries</w:t>
      </w:r>
      <w:r w:rsidR="00E02D43" w:rsidRPr="005F62F4">
        <w:t>.</w:t>
      </w:r>
    </w:p>
    <w:p w14:paraId="16348485" w14:textId="07434F51" w:rsidR="007677E2" w:rsidRPr="005F62F4" w:rsidRDefault="007677E2" w:rsidP="00F8741E">
      <w:pPr>
        <w:pStyle w:val="Keyfindingsbullet"/>
      </w:pPr>
      <w:r w:rsidRPr="005F62F4">
        <w:t xml:space="preserve">Surgical guides are also used in </w:t>
      </w:r>
      <w:r w:rsidR="00D86574" w:rsidRPr="005F62F4">
        <w:t xml:space="preserve">less complex </w:t>
      </w:r>
      <w:r w:rsidR="00B23D71" w:rsidRPr="005F62F4">
        <w:t>surger</w:t>
      </w:r>
      <w:r w:rsidR="00E7039F" w:rsidRPr="005F62F4">
        <w:t>ies</w:t>
      </w:r>
      <w:r w:rsidR="009D75A2" w:rsidRPr="005F62F4">
        <w:t>;</w:t>
      </w:r>
      <w:r w:rsidR="00B23D71" w:rsidRPr="005F62F4">
        <w:t xml:space="preserve"> however</w:t>
      </w:r>
      <w:r w:rsidR="00E7039F" w:rsidRPr="005F62F4">
        <w:t>,</w:t>
      </w:r>
      <w:r w:rsidR="00B23D71" w:rsidRPr="005F62F4">
        <w:t xml:space="preserve"> surgeons</w:t>
      </w:r>
      <w:r w:rsidR="00AC73B3" w:rsidRPr="005F62F4">
        <w:t xml:space="preserve"> and peak </w:t>
      </w:r>
      <w:r w:rsidR="00946530" w:rsidRPr="005F62F4">
        <w:t>body representatives</w:t>
      </w:r>
      <w:r w:rsidR="00B23D71" w:rsidRPr="005F62F4">
        <w:t xml:space="preserve"> </w:t>
      </w:r>
      <w:r w:rsidR="008C59D9" w:rsidRPr="005F62F4">
        <w:t>reported that the</w:t>
      </w:r>
      <w:r w:rsidR="006F6A3C" w:rsidRPr="005F62F4">
        <w:t>y provide</w:t>
      </w:r>
      <w:r w:rsidR="008C59D9" w:rsidRPr="005F62F4">
        <w:t xml:space="preserve"> </w:t>
      </w:r>
      <w:r w:rsidR="0065635D" w:rsidRPr="005F62F4">
        <w:t>minimal clinical benefit in simple</w:t>
      </w:r>
      <w:r w:rsidR="004820D7" w:rsidRPr="005F62F4">
        <w:t>r</w:t>
      </w:r>
      <w:r w:rsidR="0065635D" w:rsidRPr="005F62F4">
        <w:t xml:space="preserve"> procedures and question</w:t>
      </w:r>
      <w:r w:rsidR="00946530" w:rsidRPr="005F62F4">
        <w:t>ed</w:t>
      </w:r>
      <w:r w:rsidR="0065635D" w:rsidRPr="005F62F4">
        <w:t xml:space="preserve"> if their use was justified, especially in relation to cost</w:t>
      </w:r>
      <w:r w:rsidR="005A3D73" w:rsidRPr="005F62F4">
        <w:t>.</w:t>
      </w:r>
    </w:p>
    <w:p w14:paraId="46909E74" w14:textId="78591DC5" w:rsidR="009D4EF9" w:rsidRPr="005F62F4" w:rsidRDefault="00EB7455" w:rsidP="00F8741E">
      <w:pPr>
        <w:pStyle w:val="Keyfindingsbullet"/>
      </w:pPr>
      <w:r w:rsidRPr="005F62F4">
        <w:t>Overall, s</w:t>
      </w:r>
      <w:r w:rsidR="00312CD0" w:rsidRPr="005F62F4">
        <w:t>urgeons</w:t>
      </w:r>
      <w:r w:rsidRPr="005F62F4">
        <w:t xml:space="preserve"> saw </w:t>
      </w:r>
      <w:proofErr w:type="spellStart"/>
      <w:r w:rsidRPr="005F62F4">
        <w:t>biomodels</w:t>
      </w:r>
      <w:proofErr w:type="spellEnd"/>
      <w:r w:rsidR="00F01A01" w:rsidRPr="005F62F4">
        <w:t xml:space="preserve"> </w:t>
      </w:r>
      <w:r w:rsidR="009D4EF9" w:rsidRPr="005F62F4">
        <w:t>as less useful except in certain categories of CMF surgery, such as TMJ, trauma and oncology procedures where visibility of anatomical structures is hindered</w:t>
      </w:r>
      <w:r w:rsidR="006E19EB" w:rsidRPr="005F62F4">
        <w:t>,</w:t>
      </w:r>
      <w:r w:rsidR="009D4EF9" w:rsidRPr="005F62F4">
        <w:t xml:space="preserve"> when resection or reconstructive assistance is needed</w:t>
      </w:r>
      <w:r w:rsidR="006E19EB" w:rsidRPr="005F62F4">
        <w:t>,</w:t>
      </w:r>
      <w:r w:rsidR="009D4EF9" w:rsidRPr="005F62F4">
        <w:t xml:space="preserve"> or when adapting off-the-shelf plates for implantation</w:t>
      </w:r>
      <w:r w:rsidR="00680C36" w:rsidRPr="005F62F4">
        <w:t>.</w:t>
      </w:r>
    </w:p>
    <w:p w14:paraId="3794588E" w14:textId="2A4B6C4A" w:rsidR="005D6AC7" w:rsidRPr="005F62F4" w:rsidRDefault="00974978" w:rsidP="00F8741E">
      <w:pPr>
        <w:pStyle w:val="Keyfindingsbullet"/>
      </w:pPr>
      <w:r w:rsidRPr="005F62F4">
        <w:t>Stakeholders expect that the u</w:t>
      </w:r>
      <w:r w:rsidR="009D4EF9" w:rsidRPr="005F62F4">
        <w:t xml:space="preserve">se of surgical guides and </w:t>
      </w:r>
      <w:proofErr w:type="spellStart"/>
      <w:r w:rsidR="009D4EF9" w:rsidRPr="005F62F4">
        <w:t>biomodels</w:t>
      </w:r>
      <w:proofErr w:type="spellEnd"/>
      <w:r w:rsidR="009D4EF9" w:rsidRPr="005F62F4">
        <w:t xml:space="preserve"> </w:t>
      </w:r>
      <w:r w:rsidRPr="005F62F4">
        <w:t>will</w:t>
      </w:r>
      <w:r w:rsidR="009D4EF9" w:rsidRPr="005F62F4">
        <w:t xml:space="preserve"> continue </w:t>
      </w:r>
      <w:r w:rsidR="003F00BA" w:rsidRPr="005F62F4">
        <w:t xml:space="preserve">to grow </w:t>
      </w:r>
      <w:r w:rsidR="009D4EF9" w:rsidRPr="005F62F4">
        <w:t>and broaden as the technology improves and manufacturing costs reduce.</w:t>
      </w:r>
    </w:p>
    <w:p w14:paraId="351BA846" w14:textId="7B9C853D" w:rsidR="009D4EF9" w:rsidRPr="005F62F4" w:rsidRDefault="001C6B55" w:rsidP="00F8741E">
      <w:pPr>
        <w:pStyle w:val="Keyfindingsbullet"/>
      </w:pPr>
      <w:r w:rsidRPr="005F62F4">
        <w:t>Surgeon</w:t>
      </w:r>
      <w:r w:rsidR="009D4EF9" w:rsidRPr="005F62F4">
        <w:t xml:space="preserve">s also suggested that </w:t>
      </w:r>
      <w:r w:rsidR="003C1C0D" w:rsidRPr="005F62F4">
        <w:t xml:space="preserve">the </w:t>
      </w:r>
      <w:r w:rsidR="00DD5EB7" w:rsidRPr="005F62F4">
        <w:t xml:space="preserve">recent </w:t>
      </w:r>
      <w:r w:rsidR="003C1C0D" w:rsidRPr="005F62F4">
        <w:t>growth in</w:t>
      </w:r>
      <w:r w:rsidR="00DD5EB7" w:rsidRPr="005F62F4">
        <w:t xml:space="preserve"> the</w:t>
      </w:r>
      <w:r w:rsidR="009D4EF9" w:rsidRPr="005F62F4">
        <w:t xml:space="preserve"> use</w:t>
      </w:r>
      <w:r w:rsidR="00DD5EB7" w:rsidRPr="005F62F4">
        <w:t xml:space="preserve"> of surgical guides and </w:t>
      </w:r>
      <w:proofErr w:type="spellStart"/>
      <w:r w:rsidR="00DD5EB7" w:rsidRPr="005F62F4">
        <w:t>biomodels</w:t>
      </w:r>
      <w:proofErr w:type="spellEnd"/>
      <w:r w:rsidR="009D4EF9" w:rsidRPr="005F62F4">
        <w:t xml:space="preserve"> is driven by improved patient outcomes, and the inclusion of surgical guides and </w:t>
      </w:r>
      <w:proofErr w:type="spellStart"/>
      <w:r w:rsidR="009D4EF9" w:rsidRPr="005F62F4">
        <w:t>biomodels</w:t>
      </w:r>
      <w:proofErr w:type="spellEnd"/>
      <w:r w:rsidR="009D4EF9" w:rsidRPr="005F62F4">
        <w:t xml:space="preserve"> as a core part of surgical training.</w:t>
      </w:r>
    </w:p>
    <w:p w14:paraId="2C14A232" w14:textId="39F3B71B" w:rsidR="00EF4EF9" w:rsidRPr="005F62F4" w:rsidRDefault="00EF4EF9" w:rsidP="0074341B">
      <w:pPr>
        <w:pStyle w:val="Heading03"/>
      </w:pPr>
      <w:bookmarkStart w:id="36" w:name="_Toc120178291"/>
      <w:proofErr w:type="spellStart"/>
      <w:r w:rsidRPr="005F62F4">
        <w:t>ToR</w:t>
      </w:r>
      <w:proofErr w:type="spellEnd"/>
      <w:r w:rsidRPr="005F62F4">
        <w:t xml:space="preserve"> 2: Evidence base</w:t>
      </w:r>
      <w:bookmarkEnd w:id="36"/>
    </w:p>
    <w:p w14:paraId="2E9F1887" w14:textId="1115B81F" w:rsidR="00993605" w:rsidRPr="005F62F4" w:rsidRDefault="00993605" w:rsidP="003434BC">
      <w:pPr>
        <w:pStyle w:val="Boxed"/>
        <w:keepNext/>
      </w:pPr>
      <w:r w:rsidRPr="005F62F4">
        <w:t>2.</w:t>
      </w:r>
      <w:r w:rsidR="00EA5838" w:rsidRPr="005F62F4">
        <w:t xml:space="preserve"> </w:t>
      </w:r>
      <w:r w:rsidRPr="005F62F4">
        <w:t xml:space="preserve">Review the evidence base for the use of surgical guides and </w:t>
      </w:r>
      <w:proofErr w:type="spellStart"/>
      <w:r w:rsidRPr="005F62F4">
        <w:t>biomodels</w:t>
      </w:r>
      <w:proofErr w:type="spellEnd"/>
      <w:r w:rsidRPr="005F62F4">
        <w:t xml:space="preserve"> currently listed on the PL, with a focus on comparative clinical effectiveness and clinical benefits.</w:t>
      </w:r>
    </w:p>
    <w:p w14:paraId="3BF89789" w14:textId="3767B952" w:rsidR="00330223" w:rsidRPr="005F62F4" w:rsidRDefault="00330223" w:rsidP="00F8741E">
      <w:pPr>
        <w:pStyle w:val="Keyfindingsbullet"/>
      </w:pPr>
      <w:r w:rsidRPr="005F62F4">
        <w:t xml:space="preserve">All studies identified in the </w:t>
      </w:r>
      <w:r w:rsidRPr="005F62F4">
        <w:rPr>
          <w:rStyle w:val="Strong"/>
        </w:rPr>
        <w:t>systematic review</w:t>
      </w:r>
      <w:r w:rsidRPr="005F62F4">
        <w:t xml:space="preserve"> related to only one of the in-scope products (</w:t>
      </w:r>
      <w:proofErr w:type="spellStart"/>
      <w:r w:rsidRPr="005F62F4">
        <w:t>ProPlan</w:t>
      </w:r>
      <w:proofErr w:type="spellEnd"/>
      <w:r w:rsidR="001E0F57" w:rsidRPr="005F62F4">
        <w:t xml:space="preserve">, now known as </w:t>
      </w:r>
      <w:proofErr w:type="spellStart"/>
      <w:r w:rsidR="001E0F57" w:rsidRPr="005F62F4">
        <w:t>TruMatch</w:t>
      </w:r>
      <w:proofErr w:type="spellEnd"/>
      <w:r w:rsidRPr="005F62F4">
        <w:t xml:space="preserve">). </w:t>
      </w:r>
      <w:proofErr w:type="gramStart"/>
      <w:r w:rsidRPr="005F62F4">
        <w:t>The majority of</w:t>
      </w:r>
      <w:proofErr w:type="gramEnd"/>
      <w:r w:rsidRPr="005F62F4">
        <w:t xml:space="preserve"> studies related to surgery in the oral and maxillofacial region. Various outcome measures were assessed in these studies. These include, but are not limited to, operative time, </w:t>
      </w:r>
      <w:proofErr w:type="spellStart"/>
      <w:r w:rsidRPr="005F62F4">
        <w:t>ischaemia</w:t>
      </w:r>
      <w:proofErr w:type="spellEnd"/>
      <w:r w:rsidRPr="005F62F4">
        <w:t xml:space="preserve"> time, complications and accuracy. Generally, the findings indicate improved or comparable outcomes for virtual surgical planning groups where surgical guides and/or </w:t>
      </w:r>
      <w:proofErr w:type="spellStart"/>
      <w:r w:rsidRPr="005F62F4">
        <w:t>biomodels</w:t>
      </w:r>
      <w:proofErr w:type="spellEnd"/>
      <w:r w:rsidRPr="005F62F4">
        <w:t xml:space="preserve"> had been used, when compared to the comparator group (</w:t>
      </w:r>
      <w:proofErr w:type="gramStart"/>
      <w:r w:rsidRPr="005F62F4">
        <w:t>e.g.</w:t>
      </w:r>
      <w:proofErr w:type="gramEnd"/>
      <w:r w:rsidRPr="005F62F4">
        <w:t xml:space="preserve"> surgery conducted with a freehand surgical technique).</w:t>
      </w:r>
    </w:p>
    <w:p w14:paraId="4ADA3E7B" w14:textId="77777777" w:rsidR="00330223" w:rsidRPr="005F62F4" w:rsidRDefault="00330223" w:rsidP="00F8741E">
      <w:pPr>
        <w:pStyle w:val="Keyfindingsbullet"/>
      </w:pPr>
      <w:r w:rsidRPr="005F62F4">
        <w:lastRenderedPageBreak/>
        <w:t xml:space="preserve">There are </w:t>
      </w:r>
      <w:r w:rsidRPr="005F62F4">
        <w:rPr>
          <w:rStyle w:val="Strong"/>
        </w:rPr>
        <w:t>limitations</w:t>
      </w:r>
      <w:r w:rsidRPr="005F62F4">
        <w:t xml:space="preserve"> in the included studies in the systematic review, for example, the sample sizes were generally small, there were no randomised controlled trials and 9 of the 13 studies were retrospective in design. Studies were also often confounded by interventions that included a ‘bundling’ of virtual surgical planning and various 3D-printed products, including surgical guides and </w:t>
      </w:r>
      <w:proofErr w:type="spellStart"/>
      <w:r w:rsidRPr="005F62F4">
        <w:t>biomodels</w:t>
      </w:r>
      <w:proofErr w:type="spellEnd"/>
      <w:r w:rsidRPr="005F62F4">
        <w:t xml:space="preserve"> but sometimes also patient-specific implants.</w:t>
      </w:r>
    </w:p>
    <w:p w14:paraId="319BDB1D" w14:textId="6D7A1EDA" w:rsidR="00330223" w:rsidRPr="005F62F4" w:rsidRDefault="00330223" w:rsidP="00F8741E">
      <w:pPr>
        <w:pStyle w:val="Keyfindingsbullet"/>
      </w:pPr>
      <w:r w:rsidRPr="005F62F4">
        <w:t xml:space="preserve">The literature identified through the </w:t>
      </w:r>
      <w:r w:rsidRPr="005F62F4">
        <w:rPr>
          <w:rStyle w:val="Strong"/>
        </w:rPr>
        <w:t xml:space="preserve">desktop review </w:t>
      </w:r>
      <w:r w:rsidRPr="005F62F4">
        <w:t xml:space="preserve">generally supports the use of surgical guides and </w:t>
      </w:r>
      <w:proofErr w:type="spellStart"/>
      <w:r w:rsidRPr="005F62F4">
        <w:t>biomodels</w:t>
      </w:r>
      <w:proofErr w:type="spellEnd"/>
      <w:r w:rsidRPr="005F62F4">
        <w:t xml:space="preserve"> across a range of contexts including oral and CMF applications (primarily dental implants), orthopaedics, cardiovascular surgery and ENT surgery, but almost invariably notes the paucity of randomised controlled trials and other comparative studies and other data quality limitations. The literature frequently suggests that the use of 3D technologies, including surgical guides and </w:t>
      </w:r>
      <w:proofErr w:type="spellStart"/>
      <w:r w:rsidRPr="005F62F4">
        <w:t>biomodels</w:t>
      </w:r>
      <w:proofErr w:type="spellEnd"/>
      <w:r w:rsidRPr="005F62F4">
        <w:t>, produces results that are not inferior to ‘conventional’ techniques, and may facilitate potential improvements in accuracy of implant placement, decreased operative and/or ischaemic time, reduced intraoperative fluoroscopy and reduced complication rates.</w:t>
      </w:r>
    </w:p>
    <w:p w14:paraId="25DBEBA3" w14:textId="5ACD6E1C" w:rsidR="00EF4EF9" w:rsidRPr="005F62F4" w:rsidRDefault="00EF4EF9" w:rsidP="0074341B">
      <w:pPr>
        <w:pStyle w:val="Heading03"/>
      </w:pPr>
      <w:bookmarkStart w:id="37" w:name="_Toc120178292"/>
      <w:proofErr w:type="spellStart"/>
      <w:r w:rsidRPr="005F62F4">
        <w:t>ToR</w:t>
      </w:r>
      <w:proofErr w:type="spellEnd"/>
      <w:r w:rsidRPr="005F62F4">
        <w:t xml:space="preserve"> 3: Utilisation patterns</w:t>
      </w:r>
      <w:bookmarkEnd w:id="37"/>
    </w:p>
    <w:p w14:paraId="1E05CF13" w14:textId="4070FD0E" w:rsidR="00993605" w:rsidRPr="005F62F4" w:rsidRDefault="00993605" w:rsidP="0071377D">
      <w:pPr>
        <w:pStyle w:val="Boxed"/>
      </w:pPr>
      <w:r w:rsidRPr="005F62F4">
        <w:t>3.</w:t>
      </w:r>
      <w:r w:rsidR="00EA5838" w:rsidRPr="005F62F4">
        <w:t xml:space="preserve"> </w:t>
      </w:r>
      <w:r w:rsidRPr="005F62F4">
        <w:t xml:space="preserve">Consider the current utilisation of surgical guides and </w:t>
      </w:r>
      <w:proofErr w:type="spellStart"/>
      <w:r w:rsidRPr="005F62F4">
        <w:t>biomodels</w:t>
      </w:r>
      <w:proofErr w:type="spellEnd"/>
      <w:r w:rsidRPr="005F62F4">
        <w:t xml:space="preserve"> listed on the PL.</w:t>
      </w:r>
    </w:p>
    <w:p w14:paraId="6BCCABC9" w14:textId="4F5CCFBF" w:rsidR="007F564F" w:rsidRPr="005F62F4" w:rsidRDefault="007F564F" w:rsidP="00F8741E">
      <w:pPr>
        <w:pStyle w:val="Keyfindingsbullet"/>
      </w:pPr>
      <w:r w:rsidRPr="005F62F4">
        <w:t xml:space="preserve">When surgical guides and </w:t>
      </w:r>
      <w:proofErr w:type="spellStart"/>
      <w:r w:rsidRPr="005F62F4">
        <w:t>biomodels</w:t>
      </w:r>
      <w:proofErr w:type="spellEnd"/>
      <w:r w:rsidRPr="005F62F4">
        <w:t xml:space="preserve"> were initially listed on the PL in 2013–14, a total of </w:t>
      </w:r>
      <w:r w:rsidR="00D0711E">
        <w:t>[this information has been redacted]</w:t>
      </w:r>
      <w:r w:rsidRPr="005F62F4">
        <w:t> items were used. This utilisation has, on average, doubled each year, and in 2020–21 a total of 7,488 items were used (67% of which were surgical guides).</w:t>
      </w:r>
    </w:p>
    <w:p w14:paraId="25E7226D" w14:textId="77777777" w:rsidR="007F564F" w:rsidRPr="005F62F4" w:rsidRDefault="007F564F" w:rsidP="00F8741E">
      <w:pPr>
        <w:pStyle w:val="Keyfindingsbullet"/>
      </w:pPr>
      <w:r w:rsidRPr="005F62F4">
        <w:t xml:space="preserve">In 2020–21, the average number of surgical guides and </w:t>
      </w:r>
      <w:proofErr w:type="spellStart"/>
      <w:r w:rsidRPr="005F62F4">
        <w:t>biomodels</w:t>
      </w:r>
      <w:proofErr w:type="spellEnd"/>
      <w:r w:rsidRPr="005F62F4">
        <w:t xml:space="preserve"> per patient was 1.8 and 2.1 respectively. This has increased over time, driven in part by high numbers of items being used per patient in a small but growing number of cases.</w:t>
      </w:r>
    </w:p>
    <w:p w14:paraId="2F20725C" w14:textId="2A8613C6" w:rsidR="007F564F" w:rsidRPr="005F62F4" w:rsidRDefault="007F564F" w:rsidP="00F8741E">
      <w:pPr>
        <w:pStyle w:val="Keyfindingsbullet"/>
      </w:pPr>
      <w:r w:rsidRPr="005F62F4">
        <w:t xml:space="preserve">Surgical guides and </w:t>
      </w:r>
      <w:proofErr w:type="spellStart"/>
      <w:r w:rsidRPr="005F62F4">
        <w:t>biomodels</w:t>
      </w:r>
      <w:proofErr w:type="spellEnd"/>
      <w:r w:rsidRPr="005F62F4">
        <w:t xml:space="preserve"> are listed under the plastic and reconstructive product </w:t>
      </w:r>
      <w:proofErr w:type="gramStart"/>
      <w:r w:rsidRPr="005F62F4">
        <w:t>category, and</w:t>
      </w:r>
      <w:proofErr w:type="gramEnd"/>
      <w:r w:rsidRPr="005F62F4">
        <w:t xml:space="preserve"> were used solely in this category in 2013-14 and 2014-15. Since 2015-16, there has been increasing utilisation in other categories –for example, in 2020–21, 28% of total utilisation was outside the plastic and reconstructive category; </w:t>
      </w:r>
      <w:r w:rsidR="00EF1AAC" w:rsidRPr="005F62F4">
        <w:t xml:space="preserve">more than </w:t>
      </w:r>
      <w:r w:rsidRPr="005F62F4">
        <w:t>half of this (15% of total utilisation) was attributable to orthopaedic procedures.</w:t>
      </w:r>
    </w:p>
    <w:p w14:paraId="0AD00732" w14:textId="39C32B28" w:rsidR="007F564F" w:rsidRPr="005F62F4" w:rsidRDefault="007F564F" w:rsidP="00F8741E">
      <w:pPr>
        <w:pStyle w:val="Keyfindingsbullet"/>
      </w:pPr>
      <w:r w:rsidRPr="005F62F4">
        <w:t xml:space="preserve">While the PL benefit amount has not changed, the increase in utilisation has seen annual expenditure grow from </w:t>
      </w:r>
      <w:r w:rsidR="00D0711E">
        <w:t>[this information has been redacted]</w:t>
      </w:r>
      <w:r w:rsidR="00D0711E" w:rsidRPr="005F62F4">
        <w:t> </w:t>
      </w:r>
      <w:r w:rsidRPr="005F62F4">
        <w:t xml:space="preserve">in 2013–14 to $17,680,000 in 2020–21. Overall, </w:t>
      </w:r>
      <w:proofErr w:type="spellStart"/>
      <w:r w:rsidRPr="005F62F4">
        <w:t>biomodels</w:t>
      </w:r>
      <w:proofErr w:type="spellEnd"/>
      <w:r w:rsidRPr="005F62F4">
        <w:t xml:space="preserve"> account for 26% of expenditure and surgical guides for 74% for the 2013-14 to 2020-21 period.</w:t>
      </w:r>
    </w:p>
    <w:p w14:paraId="16864497" w14:textId="77777777" w:rsidR="00F8741E" w:rsidRPr="005F62F4" w:rsidRDefault="00F8741E" w:rsidP="00F8741E">
      <w:bookmarkStart w:id="38" w:name="_Toc120178293"/>
      <w:r w:rsidRPr="005F62F4">
        <w:br w:type="page"/>
      </w:r>
    </w:p>
    <w:p w14:paraId="113E9193" w14:textId="2E79ED02" w:rsidR="00993605" w:rsidRPr="005F62F4" w:rsidRDefault="00351932" w:rsidP="0074341B">
      <w:pPr>
        <w:pStyle w:val="Heading03"/>
      </w:pPr>
      <w:proofErr w:type="spellStart"/>
      <w:r w:rsidRPr="005F62F4">
        <w:lastRenderedPageBreak/>
        <w:t>ToR</w:t>
      </w:r>
      <w:proofErr w:type="spellEnd"/>
      <w:r w:rsidRPr="005F62F4">
        <w:t xml:space="preserve"> 4</w:t>
      </w:r>
      <w:r w:rsidR="00993605" w:rsidRPr="005F62F4">
        <w:t>: Eligibility criteria</w:t>
      </w:r>
      <w:bookmarkEnd w:id="38"/>
    </w:p>
    <w:p w14:paraId="4DFF2F75" w14:textId="08F13EA1" w:rsidR="00993605" w:rsidRPr="005F62F4" w:rsidRDefault="00993605" w:rsidP="002C3B85">
      <w:pPr>
        <w:pStyle w:val="Boxed"/>
      </w:pPr>
      <w:r w:rsidRPr="005F62F4">
        <w:t xml:space="preserve">4. Based on the findings of </w:t>
      </w:r>
      <w:proofErr w:type="spellStart"/>
      <w:r w:rsidRPr="005F62F4">
        <w:t>T</w:t>
      </w:r>
      <w:r w:rsidR="00944726" w:rsidRPr="005F62F4">
        <w:t>o</w:t>
      </w:r>
      <w:r w:rsidRPr="005F62F4">
        <w:t>R</w:t>
      </w:r>
      <w:proofErr w:type="spellEnd"/>
      <w:r w:rsidRPr="005F62F4">
        <w:t xml:space="preserve"> 1, 2 and 3, advise if surgical guides and </w:t>
      </w:r>
      <w:proofErr w:type="spellStart"/>
      <w:r w:rsidRPr="005F62F4">
        <w:t>biomodels</w:t>
      </w:r>
      <w:proofErr w:type="spellEnd"/>
      <w:r w:rsidRPr="005F62F4">
        <w:t xml:space="preserve"> meet the eligibility criteria for listing on the PL. Findings regarding eligibility may differ between products and clinical circumstances.</w:t>
      </w:r>
    </w:p>
    <w:p w14:paraId="5B26DC25" w14:textId="2197AF1E" w:rsidR="00284BB0" w:rsidRPr="005F62F4" w:rsidRDefault="00284BB0" w:rsidP="00E7190F">
      <w:pPr>
        <w:pStyle w:val="ParaKeep"/>
      </w:pPr>
      <w:r w:rsidRPr="005F62F4">
        <w:t xml:space="preserve">We used information from </w:t>
      </w:r>
      <w:proofErr w:type="spellStart"/>
      <w:r w:rsidRPr="005F62F4">
        <w:t>ToR</w:t>
      </w:r>
      <w:proofErr w:type="spellEnd"/>
      <w:r w:rsidRPr="005F62F4">
        <w:t xml:space="preserve"> 1,</w:t>
      </w:r>
      <w:r w:rsidR="000D1AB8" w:rsidRPr="005F62F4">
        <w:t xml:space="preserve"> </w:t>
      </w:r>
      <w:r w:rsidRPr="005F62F4">
        <w:t xml:space="preserve">2 and 3 to inform whether </w:t>
      </w:r>
      <w:r w:rsidR="00925C20" w:rsidRPr="005F62F4">
        <w:t xml:space="preserve">the listed </w:t>
      </w:r>
      <w:r w:rsidRPr="005F62F4">
        <w:t xml:space="preserve">surgical guides and </w:t>
      </w:r>
      <w:proofErr w:type="spellStart"/>
      <w:r w:rsidRPr="005F62F4">
        <w:t>biomodels</w:t>
      </w:r>
      <w:proofErr w:type="spellEnd"/>
      <w:r w:rsidRPr="005F62F4">
        <w:t xml:space="preserve"> meet the </w:t>
      </w:r>
      <w:r w:rsidR="00944BFC" w:rsidRPr="005F62F4">
        <w:t>eligibility criteria for listing on the PL</w:t>
      </w:r>
      <w:r w:rsidR="00FE2C5F" w:rsidRPr="005F62F4">
        <w:t xml:space="preserve"> </w:t>
      </w:r>
      <w:r w:rsidR="00FE2C5F" w:rsidRPr="005F62F4">
        <w:fldChar w:fldCharType="begin" w:fldLock="1"/>
      </w:r>
      <w:r w:rsidR="006D6E3B" w:rsidRPr="005F62F4">
        <w:instrText>ADDIN CSL_CITATION {"citationItems":[{"id":"ITEM-1","itemData":{"ISBN":"9781760073077","author":[{"dropping-particle":"","family":"Department of Health","given":"","non-dropping-particle":"","parse-names":false,"suffix":""}],"id":"ITEM-1","issue":"February 2017","issued":{"date-parts":[["2017"]]},"publisher":"Commonwealth of Australia","title":"Prostheses List guide","type":"book"},"uris":["http://www.mendeley.com/documents/?uuid=8df7b192-cd82-4cdf-b6d6-fc4d6d6cb508"]}],"mendeley":{"formattedCitation":"(Department of Health 2017)","plainTextFormattedCitation":"(Department of Health 2017)","previouslyFormattedCitation":"(Department of Health 2017)"},"properties":{"noteIndex":0},"schema":"https://github.com/citation-style-language/schema/raw/master/csl-citation.json"}</w:instrText>
      </w:r>
      <w:r w:rsidR="00FE2C5F" w:rsidRPr="005F62F4">
        <w:fldChar w:fldCharType="separate"/>
      </w:r>
      <w:r w:rsidR="00FE2C5F" w:rsidRPr="005F62F4">
        <w:rPr>
          <w:noProof/>
        </w:rPr>
        <w:t>(Department of Health 2017)</w:t>
      </w:r>
      <w:r w:rsidR="00FE2C5F" w:rsidRPr="005F62F4">
        <w:fldChar w:fldCharType="end"/>
      </w:r>
      <w:r w:rsidR="002E63E4" w:rsidRPr="005F62F4">
        <w:t>.</w:t>
      </w:r>
      <w:r w:rsidRPr="005F62F4">
        <w:t xml:space="preserve"> In relation to the 5 eligibility criteria</w:t>
      </w:r>
      <w:r w:rsidR="00925C20" w:rsidRPr="005F62F4">
        <w:t>,</w:t>
      </w:r>
      <w:r w:rsidRPr="005F62F4">
        <w:t xml:space="preserve"> we </w:t>
      </w:r>
      <w:r w:rsidR="00925C20" w:rsidRPr="005F62F4">
        <w:t>made the following findings.</w:t>
      </w:r>
    </w:p>
    <w:p w14:paraId="7CD8600A" w14:textId="275FEF1B" w:rsidR="00284BB0" w:rsidRPr="005F62F4" w:rsidRDefault="00284BB0" w:rsidP="004F2931">
      <w:pPr>
        <w:pStyle w:val="Heading4"/>
      </w:pPr>
      <w:bookmarkStart w:id="39" w:name="_Ref128566273"/>
      <w:r w:rsidRPr="005F62F4">
        <w:t xml:space="preserve">Criterion 1: </w:t>
      </w:r>
      <w:r w:rsidR="00604016" w:rsidRPr="005F62F4">
        <w:t xml:space="preserve">The product must be entered and current on the </w:t>
      </w:r>
      <w:r w:rsidRPr="005F62F4">
        <w:t>Australian Register of Therapeutic Goods</w:t>
      </w:r>
      <w:bookmarkEnd w:id="39"/>
    </w:p>
    <w:p w14:paraId="13E94F5B" w14:textId="73FD866A" w:rsidR="00284BB0" w:rsidRPr="005F62F4" w:rsidRDefault="00284BB0" w:rsidP="0074341B">
      <w:pPr>
        <w:pStyle w:val="Para"/>
      </w:pPr>
      <w:r w:rsidRPr="005F62F4">
        <w:t>Of the 32 products</w:t>
      </w:r>
      <w:r w:rsidR="004F7A8F" w:rsidRPr="005F62F4">
        <w:t xml:space="preserve"> in</w:t>
      </w:r>
      <w:r w:rsidR="00502758">
        <w:t xml:space="preserve"> </w:t>
      </w:r>
      <w:r w:rsidR="004F7A8F" w:rsidRPr="005F62F4">
        <w:t>scope for this review</w:t>
      </w:r>
      <w:r w:rsidRPr="005F62F4">
        <w:t>, 30 products are entered and current on the ARTG and the remaining 2 products are registered under transition arrangements</w:t>
      </w:r>
      <w:r w:rsidR="004F5371" w:rsidRPr="005F62F4">
        <w:t>.</w:t>
      </w:r>
      <w:r w:rsidRPr="005F62F4">
        <w:t xml:space="preserve"> </w:t>
      </w:r>
      <w:r w:rsidR="004F5371" w:rsidRPr="005F62F4">
        <w:t>T</w:t>
      </w:r>
      <w:r w:rsidRPr="005F62F4">
        <w:t xml:space="preserve">his criterion is </w:t>
      </w:r>
      <w:r w:rsidR="004F5371" w:rsidRPr="005F62F4">
        <w:t xml:space="preserve">therefore </w:t>
      </w:r>
      <w:r w:rsidRPr="005F62F4">
        <w:rPr>
          <w:rStyle w:val="Strong"/>
        </w:rPr>
        <w:t>met</w:t>
      </w:r>
      <w:r w:rsidRPr="005F62F4">
        <w:t>.</w:t>
      </w:r>
    </w:p>
    <w:p w14:paraId="7F948366" w14:textId="29649673" w:rsidR="002C3B85" w:rsidRPr="005F62F4" w:rsidRDefault="00284BB0" w:rsidP="004F2931">
      <w:pPr>
        <w:pStyle w:val="Heading4"/>
      </w:pPr>
      <w:r w:rsidRPr="005F62F4">
        <w:t xml:space="preserve">Criterion 2: </w:t>
      </w:r>
      <w:r w:rsidR="002C3B85" w:rsidRPr="005F62F4">
        <w:t>The product must be provided to a person as part of an episode of hospital treatment or hospital-substitute treatment</w:t>
      </w:r>
    </w:p>
    <w:p w14:paraId="2DFBA9D3" w14:textId="6D8CAF05" w:rsidR="00284BB0" w:rsidRPr="005F62F4" w:rsidRDefault="00284BB0" w:rsidP="0074341B">
      <w:pPr>
        <w:pStyle w:val="Para"/>
      </w:pPr>
      <w:r w:rsidRPr="005F62F4">
        <w:t xml:space="preserve">Based on the data we have </w:t>
      </w:r>
      <w:proofErr w:type="gramStart"/>
      <w:r w:rsidRPr="005F62F4">
        <w:t>reviewed,</w:t>
      </w:r>
      <w:proofErr w:type="gramEnd"/>
      <w:r w:rsidRPr="005F62F4">
        <w:t xml:space="preserve"> we understand all products have been provided to a person as part of an episode of hospital treatment or hospital-substitute treatment</w:t>
      </w:r>
      <w:r w:rsidR="004F5371" w:rsidRPr="005F62F4">
        <w:t>.</w:t>
      </w:r>
      <w:r w:rsidRPr="005F62F4">
        <w:t xml:space="preserve"> </w:t>
      </w:r>
      <w:r w:rsidR="004F5371" w:rsidRPr="005F62F4">
        <w:t>T</w:t>
      </w:r>
      <w:r w:rsidRPr="005F62F4">
        <w:t xml:space="preserve">his criterion is </w:t>
      </w:r>
      <w:r w:rsidR="004F5371" w:rsidRPr="005F62F4">
        <w:t xml:space="preserve">therefore </w:t>
      </w:r>
      <w:r w:rsidRPr="005F62F4">
        <w:rPr>
          <w:rStyle w:val="Strong"/>
        </w:rPr>
        <w:t>met</w:t>
      </w:r>
      <w:r w:rsidRPr="005F62F4">
        <w:t>.</w:t>
      </w:r>
    </w:p>
    <w:p w14:paraId="305D7C1D" w14:textId="08911653" w:rsidR="002C3B85" w:rsidRPr="005F62F4" w:rsidRDefault="00284BB0" w:rsidP="004F2931">
      <w:pPr>
        <w:pStyle w:val="Heading4"/>
      </w:pPr>
      <w:r w:rsidRPr="005F62F4">
        <w:t xml:space="preserve">Criterion 3: </w:t>
      </w:r>
      <w:r w:rsidR="002C3B85" w:rsidRPr="005F62F4">
        <w:t>A Medicare benefit must be payable in respect of the professional service associated with the provision of the product (or the provision of the product is associated with podiatric treatment by an accredited podiatrist)</w:t>
      </w:r>
    </w:p>
    <w:p w14:paraId="2B4F302C" w14:textId="07CD0386" w:rsidR="00225FEE" w:rsidRPr="005F62F4" w:rsidRDefault="00225FEE" w:rsidP="00225FEE">
      <w:pPr>
        <w:pStyle w:val="ParaKeep"/>
      </w:pPr>
      <w:r w:rsidRPr="005F62F4">
        <w:t xml:space="preserve">Based on the data available, we understand that Medicare benefits were payable for all instances where benefits for the listed surgical guides and </w:t>
      </w:r>
      <w:proofErr w:type="spellStart"/>
      <w:r w:rsidRPr="005F62F4">
        <w:t>biomodels</w:t>
      </w:r>
      <w:proofErr w:type="spellEnd"/>
      <w:r w:rsidRPr="005F62F4">
        <w:t xml:space="preserve"> were paid. This criterion is therefore </w:t>
      </w:r>
      <w:r w:rsidRPr="005F62F4">
        <w:rPr>
          <w:b/>
          <w:bCs/>
        </w:rPr>
        <w:t>met</w:t>
      </w:r>
      <w:r w:rsidRPr="005F62F4">
        <w:t>.</w:t>
      </w:r>
    </w:p>
    <w:p w14:paraId="17F7E26D" w14:textId="77777777" w:rsidR="00225FEE" w:rsidRPr="005F62F4" w:rsidRDefault="00225FEE" w:rsidP="00225FEE">
      <w:pPr>
        <w:pStyle w:val="Para"/>
      </w:pPr>
      <w:r w:rsidRPr="005F62F4">
        <w:t xml:space="preserve">However, it is difficult to determine the extent to which PL benefits paid for listed surgical guides and </w:t>
      </w:r>
      <w:proofErr w:type="spellStart"/>
      <w:r w:rsidRPr="005F62F4">
        <w:t>biomodels</w:t>
      </w:r>
      <w:proofErr w:type="spellEnd"/>
      <w:r w:rsidRPr="005F62F4">
        <w:t xml:space="preserve"> may be attributed to ‘inappropriate’ MBS item numbers (</w:t>
      </w:r>
      <w:proofErr w:type="gramStart"/>
      <w:r w:rsidRPr="005F62F4">
        <w:t>i.e.</w:t>
      </w:r>
      <w:proofErr w:type="gramEnd"/>
      <w:r w:rsidRPr="005F62F4">
        <w:t xml:space="preserve"> where the item number is not specific to the procedure in which the prosthesis is delivered), and this issue warrants further investigation.</w:t>
      </w:r>
    </w:p>
    <w:p w14:paraId="0A922711" w14:textId="77777777" w:rsidR="00F76778" w:rsidRPr="005F62F4" w:rsidRDefault="00F76778" w:rsidP="00F76778">
      <w:r w:rsidRPr="005F62F4">
        <w:br w:type="page"/>
      </w:r>
    </w:p>
    <w:p w14:paraId="00007CE6" w14:textId="3A8139C6" w:rsidR="00925C20" w:rsidRPr="005F62F4" w:rsidRDefault="00925C20" w:rsidP="004F2931">
      <w:pPr>
        <w:pStyle w:val="Heading4"/>
      </w:pPr>
      <w:r w:rsidRPr="005F62F4">
        <w:lastRenderedPageBreak/>
        <w:t xml:space="preserve">Criterion 4: </w:t>
      </w:r>
      <w:r w:rsidR="00604016" w:rsidRPr="005F62F4">
        <w:t>Essential to and specifically designed as an integral single-use aid for implanting a product</w:t>
      </w:r>
    </w:p>
    <w:p w14:paraId="0BE7A30A" w14:textId="3D7CAB41" w:rsidR="00D649AB" w:rsidRPr="005F62F4" w:rsidRDefault="00D649AB" w:rsidP="00D649AB">
      <w:pPr>
        <w:pStyle w:val="Para"/>
      </w:pPr>
      <w:r w:rsidRPr="005F62F4">
        <w:t xml:space="preserve">The clinical uses of listed surgical guides and </w:t>
      </w:r>
      <w:proofErr w:type="spellStart"/>
      <w:r w:rsidRPr="005F62F4">
        <w:t>biomodels</w:t>
      </w:r>
      <w:proofErr w:type="spellEnd"/>
      <w:r w:rsidRPr="005F62F4">
        <w:t xml:space="preserve"> was found to vary considerably, </w:t>
      </w:r>
      <w:r w:rsidR="00895540" w:rsidRPr="005F62F4">
        <w:t>which</w:t>
      </w:r>
      <w:r w:rsidRPr="005F62F4">
        <w:t>, combined with a lack of clarity in the definition of several key terms (particularly ‘essential’ and ‘integral’) makes assessment of this criterion difficult.</w:t>
      </w:r>
    </w:p>
    <w:p w14:paraId="14CF7E0D" w14:textId="3F5A297F" w:rsidR="00016932" w:rsidRPr="005F62F4" w:rsidRDefault="00016932" w:rsidP="00016932">
      <w:pPr>
        <w:pStyle w:val="ParaKeep"/>
      </w:pPr>
      <w:r w:rsidRPr="005F62F4">
        <w:t>Based on analysis, we have found that this criterion is:</w:t>
      </w:r>
    </w:p>
    <w:p w14:paraId="77238718" w14:textId="346AED15" w:rsidR="00016932" w:rsidRPr="005F62F4" w:rsidRDefault="00016932" w:rsidP="00016932">
      <w:pPr>
        <w:pStyle w:val="Bullet1"/>
      </w:pPr>
      <w:r w:rsidRPr="005F62F4">
        <w:rPr>
          <w:b/>
          <w:lang w:val="en-US"/>
        </w:rPr>
        <w:t>not met</w:t>
      </w:r>
      <w:r w:rsidRPr="005F62F4">
        <w:rPr>
          <w:lang w:val="en-US"/>
        </w:rPr>
        <w:t xml:space="preserve"> for surgical guides or </w:t>
      </w:r>
      <w:proofErr w:type="spellStart"/>
      <w:r w:rsidRPr="005F62F4">
        <w:rPr>
          <w:lang w:val="en-US"/>
        </w:rPr>
        <w:t>biomodels</w:t>
      </w:r>
      <w:proofErr w:type="spellEnd"/>
      <w:r w:rsidRPr="005F62F4">
        <w:rPr>
          <w:lang w:val="en-US"/>
        </w:rPr>
        <w:t xml:space="preserve"> when used in </w:t>
      </w:r>
      <w:r w:rsidRPr="005F62F4">
        <w:rPr>
          <w:rStyle w:val="Emphasis"/>
        </w:rPr>
        <w:t>procedures that do not involve implantation</w:t>
      </w:r>
      <w:r w:rsidRPr="005F62F4">
        <w:rPr>
          <w:lang w:val="en-US"/>
        </w:rPr>
        <w:t xml:space="preserve"> of a </w:t>
      </w:r>
      <w:proofErr w:type="gramStart"/>
      <w:r w:rsidRPr="005F62F4">
        <w:rPr>
          <w:lang w:val="en-US"/>
        </w:rPr>
        <w:t>prosthesis</w:t>
      </w:r>
      <w:proofErr w:type="gramEnd"/>
    </w:p>
    <w:p w14:paraId="6551A6BD" w14:textId="38C0F69C" w:rsidR="00016932" w:rsidRPr="005F62F4" w:rsidRDefault="00016932" w:rsidP="00016932">
      <w:pPr>
        <w:pStyle w:val="Bullet1"/>
      </w:pPr>
      <w:r w:rsidRPr="005F62F4">
        <w:rPr>
          <w:rStyle w:val="Strong"/>
        </w:rPr>
        <w:t xml:space="preserve">met </w:t>
      </w:r>
      <w:r w:rsidRPr="005F62F4">
        <w:t xml:space="preserve">for surgical guides and </w:t>
      </w:r>
      <w:proofErr w:type="spellStart"/>
      <w:r w:rsidRPr="005F62F4">
        <w:t>biomodels</w:t>
      </w:r>
      <w:proofErr w:type="spellEnd"/>
      <w:r w:rsidRPr="005F62F4">
        <w:t xml:space="preserve"> used for </w:t>
      </w:r>
      <w:r w:rsidRPr="005F62F4">
        <w:rPr>
          <w:rStyle w:val="Emphasis"/>
        </w:rPr>
        <w:t>complex CMF procedures</w:t>
      </w:r>
    </w:p>
    <w:p w14:paraId="64587ED4" w14:textId="413ED3EA" w:rsidR="00016932" w:rsidRPr="005F62F4" w:rsidRDefault="00016932" w:rsidP="00016932">
      <w:pPr>
        <w:pStyle w:val="Bullet1Keep"/>
      </w:pPr>
      <w:r w:rsidRPr="005F62F4">
        <w:rPr>
          <w:rStyle w:val="Strong"/>
        </w:rPr>
        <w:t>not met</w:t>
      </w:r>
      <w:r w:rsidRPr="005F62F4">
        <w:t xml:space="preserve"> for surgical guides or </w:t>
      </w:r>
      <w:proofErr w:type="spellStart"/>
      <w:r w:rsidRPr="005F62F4">
        <w:t>biomodels</w:t>
      </w:r>
      <w:proofErr w:type="spellEnd"/>
      <w:r w:rsidRPr="005F62F4">
        <w:t xml:space="preserve"> for </w:t>
      </w:r>
      <w:r w:rsidRPr="005F62F4">
        <w:rPr>
          <w:rStyle w:val="Emphasis"/>
        </w:rPr>
        <w:t>simpler procedures</w:t>
      </w:r>
      <w:r w:rsidRPr="005F62F4">
        <w:t>.</w:t>
      </w:r>
    </w:p>
    <w:p w14:paraId="2F6FC7C5" w14:textId="1A6646A9" w:rsidR="00016932" w:rsidRPr="005F62F4" w:rsidRDefault="00016932" w:rsidP="00016932">
      <w:pPr>
        <w:pStyle w:val="Para"/>
        <w:rPr>
          <w:lang w:val="en-US"/>
        </w:rPr>
      </w:pPr>
      <w:r w:rsidRPr="005F62F4">
        <w:t>Examples of procedures that surgeons generally considered complex or simple are provided in Section </w:t>
      </w:r>
      <w:r w:rsidRPr="005F62F4">
        <w:fldChar w:fldCharType="begin"/>
      </w:r>
      <w:r w:rsidRPr="005F62F4">
        <w:instrText xml:space="preserve"> REF _Ref128655932 \n \h </w:instrText>
      </w:r>
      <w:r w:rsidR="005F62F4">
        <w:instrText xml:space="preserve"> \* MERGEFORMAT </w:instrText>
      </w:r>
      <w:r w:rsidRPr="005F62F4">
        <w:fldChar w:fldCharType="separate"/>
      </w:r>
      <w:r w:rsidR="005606BF">
        <w:t>1.2</w:t>
      </w:r>
      <w:r w:rsidRPr="005F62F4">
        <w:fldChar w:fldCharType="end"/>
      </w:r>
      <w:r w:rsidRPr="005F62F4">
        <w:t xml:space="preserve"> and Section </w:t>
      </w:r>
      <w:r w:rsidRPr="005F62F4">
        <w:fldChar w:fldCharType="begin"/>
      </w:r>
      <w:r w:rsidRPr="005F62F4">
        <w:instrText xml:space="preserve"> REF _Ref128756022 \n \h </w:instrText>
      </w:r>
      <w:r w:rsidR="005F62F4">
        <w:instrText xml:space="preserve"> \* MERGEFORMAT </w:instrText>
      </w:r>
      <w:r w:rsidRPr="005F62F4">
        <w:fldChar w:fldCharType="separate"/>
      </w:r>
      <w:r w:rsidR="005606BF">
        <w:t>4.2</w:t>
      </w:r>
      <w:r w:rsidRPr="005F62F4">
        <w:fldChar w:fldCharType="end"/>
      </w:r>
      <w:r w:rsidRPr="005F62F4">
        <w:t xml:space="preserve">. </w:t>
      </w:r>
      <w:r w:rsidRPr="005F62F4">
        <w:rPr>
          <w:lang w:val="en-US"/>
        </w:rPr>
        <w:t>However, surgeons cautioned against blanket assumptions about the complexity of a given procedure type (as this depends on individual clinical circumstances</w:t>
      </w:r>
      <w:proofErr w:type="gramStart"/>
      <w:r w:rsidRPr="005F62F4">
        <w:rPr>
          <w:lang w:val="en-US"/>
        </w:rPr>
        <w:t>), and</w:t>
      </w:r>
      <w:proofErr w:type="gramEnd"/>
      <w:r w:rsidRPr="005F62F4">
        <w:rPr>
          <w:lang w:val="en-US"/>
        </w:rPr>
        <w:t xml:space="preserve"> highlighted the need for appropriate definitions of ‘simple’ and complex’ procedures.</w:t>
      </w:r>
    </w:p>
    <w:p w14:paraId="549B8918" w14:textId="432CCDEA" w:rsidR="005910A4" w:rsidRPr="005F62F4" w:rsidRDefault="00925C20" w:rsidP="004F2931">
      <w:pPr>
        <w:pStyle w:val="Heading4"/>
      </w:pPr>
      <w:r w:rsidRPr="005F62F4">
        <w:t xml:space="preserve">Criterion 5: </w:t>
      </w:r>
      <w:r w:rsidR="00604016" w:rsidRPr="005F62F4">
        <w:t>The product has been compared to alternative products on the Prostheses List or alternative treatments and</w:t>
      </w:r>
      <w:r w:rsidR="00604016" w:rsidRPr="005F62F4">
        <w:br/>
      </w:r>
      <w:r w:rsidR="005910A4" w:rsidRPr="005F62F4">
        <w:t>(</w:t>
      </w:r>
      <w:proofErr w:type="spellStart"/>
      <w:r w:rsidR="005910A4" w:rsidRPr="005F62F4">
        <w:t>i</w:t>
      </w:r>
      <w:proofErr w:type="spellEnd"/>
      <w:r w:rsidR="005910A4" w:rsidRPr="005F62F4">
        <w:t>) assessed as being, at least, of similar clinical effectiveness; and</w:t>
      </w:r>
      <w:r w:rsidR="00604016" w:rsidRPr="005F62F4">
        <w:br/>
      </w:r>
      <w:r w:rsidR="005910A4" w:rsidRPr="005F62F4">
        <w:t>(ii) the cost of the product is relative to its clinical effectiveness</w:t>
      </w:r>
      <w:r w:rsidR="00604016" w:rsidRPr="005F62F4">
        <w:t>.</w:t>
      </w:r>
    </w:p>
    <w:p w14:paraId="65A3C4FC" w14:textId="77777777" w:rsidR="00D57D07" w:rsidRPr="005F62F4" w:rsidRDefault="00D57D07" w:rsidP="00D57D07">
      <w:pPr>
        <w:pStyle w:val="Para"/>
      </w:pPr>
      <w:r w:rsidRPr="005F62F4">
        <w:t xml:space="preserve">There is a paucity of high-quality evidence on the comparative clinical effectiveness or the cost effectiveness of the in-scope products. However, while the broader literature notes similar limitations, this review found support for the clinical effectiveness of surgical guides and </w:t>
      </w:r>
      <w:proofErr w:type="spellStart"/>
      <w:r w:rsidRPr="005F62F4">
        <w:t>biomodels</w:t>
      </w:r>
      <w:proofErr w:type="spellEnd"/>
      <w:r w:rsidRPr="005F62F4">
        <w:t xml:space="preserve"> </w:t>
      </w:r>
      <w:r w:rsidRPr="005F62F4">
        <w:rPr>
          <w:i/>
          <w:iCs/>
        </w:rPr>
        <w:t>in general</w:t>
      </w:r>
      <w:r w:rsidRPr="005F62F4">
        <w:t>, at least in the context of complex CMF surgeries.</w:t>
      </w:r>
    </w:p>
    <w:p w14:paraId="6DE9E453" w14:textId="4C808C31" w:rsidR="00925C20" w:rsidRPr="005F62F4" w:rsidRDefault="00925C20" w:rsidP="001E04EB">
      <w:pPr>
        <w:pStyle w:val="Para"/>
      </w:pPr>
      <w:r w:rsidRPr="005F62F4">
        <w:t>As such</w:t>
      </w:r>
      <w:r w:rsidR="007E4E5F" w:rsidRPr="005F62F4">
        <w:t>,</w:t>
      </w:r>
      <w:r w:rsidRPr="005F62F4">
        <w:t xml:space="preserve"> there is currently </w:t>
      </w:r>
      <w:r w:rsidRPr="005F62F4">
        <w:rPr>
          <w:rStyle w:val="Strong"/>
        </w:rPr>
        <w:t>insufficient evidence</w:t>
      </w:r>
      <w:r w:rsidRPr="005F62F4">
        <w:t xml:space="preserve"> to determine if criterion 5(</w:t>
      </w:r>
      <w:proofErr w:type="spellStart"/>
      <w:r w:rsidRPr="005F62F4">
        <w:t>i</w:t>
      </w:r>
      <w:proofErr w:type="spellEnd"/>
      <w:r w:rsidRPr="005F62F4">
        <w:t>) or 5(ii) is met.</w:t>
      </w:r>
    </w:p>
    <w:p w14:paraId="01028A10" w14:textId="5B13242B" w:rsidR="0028661A" w:rsidRPr="005F62F4" w:rsidRDefault="0028661A" w:rsidP="004F2931">
      <w:pPr>
        <w:pStyle w:val="Heading4"/>
      </w:pPr>
      <w:r w:rsidRPr="005F62F4">
        <w:t>Stakeholder suggestions</w:t>
      </w:r>
    </w:p>
    <w:p w14:paraId="5A8CD603" w14:textId="05160FDB" w:rsidR="00925C20" w:rsidRPr="005F62F4" w:rsidRDefault="00925C20" w:rsidP="001E04EB">
      <w:pPr>
        <w:pStyle w:val="Para"/>
      </w:pPr>
      <w:r w:rsidRPr="005F62F4">
        <w:t xml:space="preserve">Stakeholders suggested </w:t>
      </w:r>
      <w:proofErr w:type="gramStart"/>
      <w:r w:rsidRPr="005F62F4">
        <w:t>a number of</w:t>
      </w:r>
      <w:proofErr w:type="gramEnd"/>
      <w:r w:rsidRPr="005F62F4">
        <w:t xml:space="preserve"> </w:t>
      </w:r>
      <w:r w:rsidRPr="005F62F4">
        <w:rPr>
          <w:rStyle w:val="Strong"/>
        </w:rPr>
        <w:t>improvements to the PL</w:t>
      </w:r>
      <w:r w:rsidRPr="005F62F4">
        <w:t xml:space="preserve"> with respect to surgical guides and </w:t>
      </w:r>
      <w:proofErr w:type="spellStart"/>
      <w:r w:rsidRPr="005F62F4">
        <w:t>biomodels</w:t>
      </w:r>
      <w:proofErr w:type="spellEnd"/>
      <w:r w:rsidRPr="005F62F4">
        <w:t>. These included: clarifying eligibility criteria; reviewing and revising PL sub-categories and product groups; restricting circumstances in which benefits are payable</w:t>
      </w:r>
      <w:r w:rsidR="00065089" w:rsidRPr="005F62F4">
        <w:t>;</w:t>
      </w:r>
      <w:r w:rsidRPr="005F62F4">
        <w:t xml:space="preserve"> reviewing benefits and claims arrangements</w:t>
      </w:r>
      <w:r w:rsidR="0032039A" w:rsidRPr="005F62F4">
        <w:t>;</w:t>
      </w:r>
      <w:r w:rsidRPr="005F62F4">
        <w:t xml:space="preserve"> reviewing costs</w:t>
      </w:r>
      <w:r w:rsidR="008838EE" w:rsidRPr="005F62F4">
        <w:t>; considering the need for further and stronger evidence; and review</w:t>
      </w:r>
      <w:r w:rsidR="006D5FC8" w:rsidRPr="005F62F4">
        <w:t>ing</w:t>
      </w:r>
      <w:r w:rsidR="008838EE" w:rsidRPr="005F62F4">
        <w:t xml:space="preserve"> governance arrangements</w:t>
      </w:r>
      <w:r w:rsidRPr="005F62F4">
        <w:t>.</w:t>
      </w:r>
    </w:p>
    <w:p w14:paraId="7EDAA737" w14:textId="77777777" w:rsidR="00F76778" w:rsidRPr="005F62F4" w:rsidRDefault="00F76778" w:rsidP="00F76778">
      <w:bookmarkStart w:id="40" w:name="_Toc120178294"/>
      <w:r w:rsidRPr="005F62F4">
        <w:br w:type="page"/>
      </w:r>
    </w:p>
    <w:p w14:paraId="719E5715" w14:textId="19D79778" w:rsidR="00787A32" w:rsidRPr="005F62F4" w:rsidRDefault="002A7F60" w:rsidP="008742F8">
      <w:pPr>
        <w:pStyle w:val="Heading03"/>
        <w:rPr>
          <w:b w:val="0"/>
        </w:rPr>
      </w:pPr>
      <w:r w:rsidRPr="005F62F4">
        <w:lastRenderedPageBreak/>
        <w:t>Conclusion</w:t>
      </w:r>
      <w:r w:rsidR="009739C9" w:rsidRPr="005F62F4">
        <w:t>s</w:t>
      </w:r>
      <w:bookmarkEnd w:id="40"/>
    </w:p>
    <w:p w14:paraId="3C2D9205" w14:textId="4E133C0C" w:rsidR="002A7F60" w:rsidRPr="005F62F4" w:rsidRDefault="002A7F60" w:rsidP="001E04EB">
      <w:pPr>
        <w:pStyle w:val="ParaKeep"/>
        <w:rPr>
          <w:lang w:eastAsia="en-AU"/>
        </w:rPr>
      </w:pPr>
      <w:r w:rsidRPr="005F62F4">
        <w:rPr>
          <w:lang w:eastAsia="en-AU"/>
        </w:rPr>
        <w:t>In our conclusion, we suggest that the department consider:</w:t>
      </w:r>
    </w:p>
    <w:p w14:paraId="3B478D54" w14:textId="3451D44B" w:rsidR="002A7F60" w:rsidRPr="005F62F4" w:rsidRDefault="001F75CB" w:rsidP="001E04EB">
      <w:pPr>
        <w:pStyle w:val="Bullet1"/>
      </w:pPr>
      <w:r w:rsidRPr="005F62F4">
        <w:t>C</w:t>
      </w:r>
      <w:r w:rsidR="002A7F60" w:rsidRPr="005F62F4">
        <w:t>larifying PL eligibility criteria (and giving examples of eligible</w:t>
      </w:r>
      <w:r w:rsidR="00215294" w:rsidRPr="005F62F4">
        <w:t xml:space="preserve"> and </w:t>
      </w:r>
      <w:r w:rsidR="002A7F60" w:rsidRPr="005F62F4">
        <w:t xml:space="preserve">ineligible types and usage of surgical guides and </w:t>
      </w:r>
      <w:proofErr w:type="spellStart"/>
      <w:r w:rsidR="002A7F60" w:rsidRPr="005F62F4">
        <w:t>biomodels</w:t>
      </w:r>
      <w:proofErr w:type="spellEnd"/>
      <w:r w:rsidR="00C32958" w:rsidRPr="005F62F4">
        <w:t>)</w:t>
      </w:r>
      <w:r w:rsidR="00215294" w:rsidRPr="005F62F4">
        <w:t>.</w:t>
      </w:r>
      <w:r w:rsidR="0004363E" w:rsidRPr="005F62F4">
        <w:t xml:space="preserve"> This could include the development of regularly</w:t>
      </w:r>
      <w:r w:rsidR="00D23F93">
        <w:t xml:space="preserve"> </w:t>
      </w:r>
      <w:r w:rsidR="0004363E" w:rsidRPr="005F62F4">
        <w:t>updated guidelines driven by expert clinicians.</w:t>
      </w:r>
    </w:p>
    <w:p w14:paraId="3F886717" w14:textId="1981B0E4" w:rsidR="00B36FE6" w:rsidRPr="005F62F4" w:rsidRDefault="00215294" w:rsidP="001E04EB">
      <w:pPr>
        <w:pStyle w:val="Bullet1"/>
      </w:pPr>
      <w:r w:rsidRPr="005F62F4">
        <w:t>A</w:t>
      </w:r>
      <w:r w:rsidR="004D7F91" w:rsidRPr="005F62F4">
        <w:t>ddressing s</w:t>
      </w:r>
      <w:r w:rsidR="00B36FE6" w:rsidRPr="005F62F4">
        <w:t xml:space="preserve">ome of </w:t>
      </w:r>
      <w:r w:rsidR="00CE7202" w:rsidRPr="005F62F4">
        <w:t>the eligibility issues raised</w:t>
      </w:r>
      <w:r w:rsidR="00B36FE6" w:rsidRPr="005F62F4">
        <w:t xml:space="preserve"> in the context of concurrent work</w:t>
      </w:r>
      <w:r w:rsidR="009A1F84" w:rsidRPr="005F62F4">
        <w:t>,</w:t>
      </w:r>
      <w:r w:rsidR="00B36FE6" w:rsidRPr="005F62F4">
        <w:t xml:space="preserve"> to reorganise</w:t>
      </w:r>
      <w:r w:rsidR="005C2BB6" w:rsidRPr="005F62F4">
        <w:t xml:space="preserve"> </w:t>
      </w:r>
      <w:r w:rsidR="009A6A19" w:rsidRPr="005F62F4">
        <w:t xml:space="preserve">or </w:t>
      </w:r>
      <w:proofErr w:type="spellStart"/>
      <w:r w:rsidR="00B36FE6" w:rsidRPr="005F62F4">
        <w:t>recategorise</w:t>
      </w:r>
      <w:proofErr w:type="spellEnd"/>
      <w:r w:rsidR="00B36FE6" w:rsidRPr="005F62F4">
        <w:t xml:space="preserve"> products currently listed on the PL</w:t>
      </w:r>
      <w:r w:rsidR="009A6A19" w:rsidRPr="005F62F4">
        <w:t>.</w:t>
      </w:r>
    </w:p>
    <w:p w14:paraId="6EE7C0C8" w14:textId="6836E31E" w:rsidR="00B36FE6" w:rsidRPr="005F62F4" w:rsidRDefault="00985132" w:rsidP="001E04EB">
      <w:pPr>
        <w:pStyle w:val="Bullet1"/>
      </w:pPr>
      <w:r w:rsidRPr="005F62F4">
        <w:t>C</w:t>
      </w:r>
      <w:r w:rsidR="00B36FE6" w:rsidRPr="005F62F4">
        <w:t xml:space="preserve">larifying the role of </w:t>
      </w:r>
      <w:r w:rsidR="0004363E" w:rsidRPr="005F62F4">
        <w:t xml:space="preserve">and pricing structures for </w:t>
      </w:r>
      <w:r w:rsidR="00B36FE6" w:rsidRPr="005F62F4">
        <w:t xml:space="preserve">surgical guides and </w:t>
      </w:r>
      <w:proofErr w:type="spellStart"/>
      <w:r w:rsidR="00B36FE6" w:rsidRPr="005F62F4">
        <w:t>biomodels</w:t>
      </w:r>
      <w:proofErr w:type="spellEnd"/>
      <w:r w:rsidR="00B36FE6" w:rsidRPr="005F62F4">
        <w:t xml:space="preserve"> </w:t>
      </w:r>
      <w:r w:rsidR="0004363E" w:rsidRPr="005F62F4">
        <w:t xml:space="preserve">supplied </w:t>
      </w:r>
      <w:r w:rsidR="00B36FE6" w:rsidRPr="005F62F4">
        <w:t>as individual products and as elements of ‘kits’ or bundles currently listed on the PL</w:t>
      </w:r>
      <w:r w:rsidR="0004363E" w:rsidRPr="005F62F4">
        <w:t>.</w:t>
      </w:r>
    </w:p>
    <w:p w14:paraId="0369E38C" w14:textId="77777777" w:rsidR="0004363E" w:rsidRPr="005F62F4" w:rsidRDefault="0004363E" w:rsidP="0004363E">
      <w:pPr>
        <w:pStyle w:val="Bullet1"/>
      </w:pPr>
      <w:r w:rsidRPr="005F62F4">
        <w:t>Considering alternative funding structures for virtual surgical planning.</w:t>
      </w:r>
    </w:p>
    <w:p w14:paraId="4BDBBA48" w14:textId="3BF5D13C" w:rsidR="00B36FE6" w:rsidRPr="005F62F4" w:rsidRDefault="0004363E" w:rsidP="002F2D2F">
      <w:pPr>
        <w:pStyle w:val="Bullet1Keep"/>
      </w:pPr>
      <w:r w:rsidRPr="005F62F4">
        <w:t>In consultation with relevant clinical experts, p</w:t>
      </w:r>
      <w:r w:rsidR="00B36FE6" w:rsidRPr="005F62F4">
        <w:t>lacing limits on the benefits payable through the PL, for example:</w:t>
      </w:r>
    </w:p>
    <w:p w14:paraId="0DE11C6B" w14:textId="6754AFEE" w:rsidR="00372B35" w:rsidRPr="005F62F4" w:rsidRDefault="00F91C3D" w:rsidP="00372B35">
      <w:pPr>
        <w:pStyle w:val="Bullet2"/>
      </w:pPr>
      <w:r>
        <w:t>s</w:t>
      </w:r>
      <w:r w:rsidR="00372B35" w:rsidRPr="005F62F4">
        <w:t xml:space="preserve">pecifying the MBS </w:t>
      </w:r>
      <w:r w:rsidR="0004363E" w:rsidRPr="005F62F4">
        <w:t>categor</w:t>
      </w:r>
      <w:r>
        <w:t>ies</w:t>
      </w:r>
      <w:r w:rsidR="0004363E" w:rsidRPr="005F62F4">
        <w:t xml:space="preserve"> or </w:t>
      </w:r>
      <w:r w:rsidR="00372B35" w:rsidRPr="005F62F4">
        <w:t xml:space="preserve">items for which surgical guides and </w:t>
      </w:r>
      <w:proofErr w:type="spellStart"/>
      <w:r w:rsidR="00372B35" w:rsidRPr="005F62F4">
        <w:t>biomodels</w:t>
      </w:r>
      <w:proofErr w:type="spellEnd"/>
      <w:r w:rsidR="00372B35" w:rsidRPr="005F62F4">
        <w:t xml:space="preserve"> are eligible for benefits through the PL mechanism</w:t>
      </w:r>
    </w:p>
    <w:p w14:paraId="0E8EDD79" w14:textId="47CD860C" w:rsidR="00016A6A" w:rsidRPr="005F62F4" w:rsidRDefault="00F91C3D" w:rsidP="00016A6A">
      <w:pPr>
        <w:pStyle w:val="Bullet2"/>
      </w:pPr>
      <w:r>
        <w:t>l</w:t>
      </w:r>
      <w:r w:rsidR="00016A6A" w:rsidRPr="005F62F4">
        <w:t xml:space="preserve">imiting the number of surgical guides and </w:t>
      </w:r>
      <w:proofErr w:type="spellStart"/>
      <w:r w:rsidR="00016A6A" w:rsidRPr="005F62F4">
        <w:t>biomodels</w:t>
      </w:r>
      <w:proofErr w:type="spellEnd"/>
      <w:r w:rsidR="00016A6A" w:rsidRPr="005F62F4">
        <w:t xml:space="preserve"> for which a PL benefit is paid per separation</w:t>
      </w:r>
    </w:p>
    <w:p w14:paraId="4AEAD5A0" w14:textId="2F3440A4" w:rsidR="002A7F60" w:rsidRPr="005F62F4" w:rsidRDefault="002F2D2F" w:rsidP="002A7F60">
      <w:pPr>
        <w:pStyle w:val="Bullet2"/>
      </w:pPr>
      <w:r>
        <w:t>c</w:t>
      </w:r>
      <w:r w:rsidR="00B36FE6" w:rsidRPr="005F62F4">
        <w:t xml:space="preserve">onsidering </w:t>
      </w:r>
      <w:r w:rsidR="002A7F60" w:rsidRPr="005F62F4">
        <w:t>alternative approaches to listing of benefits, such as stratified or tiered approaches</w:t>
      </w:r>
      <w:r w:rsidR="0004363E" w:rsidRPr="005F62F4">
        <w:t>.</w:t>
      </w:r>
    </w:p>
    <w:p w14:paraId="2E12272E" w14:textId="24FE73DE" w:rsidR="002A7F60" w:rsidRPr="005F62F4" w:rsidRDefault="007A3A35" w:rsidP="001E04EB">
      <w:pPr>
        <w:pStyle w:val="Bullet1"/>
      </w:pPr>
      <w:r w:rsidRPr="005F62F4">
        <w:t>I</w:t>
      </w:r>
      <w:r w:rsidR="002A7F60" w:rsidRPr="005F62F4">
        <w:t>nvestigating</w:t>
      </w:r>
      <w:r w:rsidR="0004363E" w:rsidRPr="005F62F4">
        <w:t>, and taking actions to address,</w:t>
      </w:r>
      <w:r w:rsidR="002A7F60" w:rsidRPr="005F62F4">
        <w:t xml:space="preserve"> areas where benefits </w:t>
      </w:r>
      <w:r w:rsidR="0004363E" w:rsidRPr="005F62F4">
        <w:t xml:space="preserve">may </w:t>
      </w:r>
      <w:r w:rsidR="002A7F60" w:rsidRPr="005F62F4">
        <w:t>be claimed inappropriately (</w:t>
      </w:r>
      <w:proofErr w:type="gramStart"/>
      <w:r w:rsidR="002A7F60" w:rsidRPr="005F62F4">
        <w:t>e.g.</w:t>
      </w:r>
      <w:proofErr w:type="gramEnd"/>
      <w:r w:rsidR="002A7F60" w:rsidRPr="005F62F4">
        <w:t xml:space="preserve"> in the absence of a prosthesis, or where the procedure could be performed outside of a hospital or hospital-substitute setting)</w:t>
      </w:r>
      <w:r w:rsidR="00A20131" w:rsidRPr="005F62F4">
        <w:t>.</w:t>
      </w:r>
    </w:p>
    <w:p w14:paraId="4FEE2D08" w14:textId="5F212DD0" w:rsidR="00F64A58" w:rsidRPr="005F62F4" w:rsidRDefault="00FF07BE" w:rsidP="002F2D2F">
      <w:pPr>
        <w:pStyle w:val="Bullet1Keep"/>
      </w:pPr>
      <w:r w:rsidRPr="005F62F4">
        <w:t>C</w:t>
      </w:r>
      <w:r w:rsidR="001B07C8" w:rsidRPr="005F62F4">
        <w:t>onducting an economic analysis</w:t>
      </w:r>
      <w:r w:rsidR="0004363E" w:rsidRPr="005F62F4">
        <w:t xml:space="preserve"> (</w:t>
      </w:r>
      <w:proofErr w:type="gramStart"/>
      <w:r w:rsidR="0004363E" w:rsidRPr="005F62F4">
        <w:t>e.g.</w:t>
      </w:r>
      <w:proofErr w:type="gramEnd"/>
      <w:r w:rsidR="0004363E" w:rsidRPr="005F62F4">
        <w:t xml:space="preserve"> IHACPA review)</w:t>
      </w:r>
      <w:r w:rsidR="001B07C8" w:rsidRPr="005F62F4">
        <w:t xml:space="preserve"> to</w:t>
      </w:r>
      <w:r w:rsidR="00F64A58" w:rsidRPr="005F62F4">
        <w:t>:</w:t>
      </w:r>
    </w:p>
    <w:p w14:paraId="0D1A0A55" w14:textId="427143ED" w:rsidR="00F64A58" w:rsidRPr="005F62F4" w:rsidRDefault="001B07C8" w:rsidP="00F64A58">
      <w:pPr>
        <w:pStyle w:val="Bullet2"/>
      </w:pPr>
      <w:r w:rsidRPr="005F62F4">
        <w:t xml:space="preserve">review </w:t>
      </w:r>
      <w:r w:rsidR="00F84512" w:rsidRPr="005F62F4">
        <w:t xml:space="preserve">the benefit amounts specified on the PL for the listed surgical guides and </w:t>
      </w:r>
      <w:proofErr w:type="spellStart"/>
      <w:r w:rsidR="00F84512" w:rsidRPr="005F62F4">
        <w:t>biomodels</w:t>
      </w:r>
      <w:proofErr w:type="spellEnd"/>
      <w:r w:rsidR="00F84512" w:rsidRPr="005F62F4">
        <w:t>, for example to determine if the benefits listed on the PL are consistent with the cost of manufacture</w:t>
      </w:r>
    </w:p>
    <w:p w14:paraId="4618BC44" w14:textId="72427258" w:rsidR="00F64A58" w:rsidRPr="005F62F4" w:rsidRDefault="00F84512" w:rsidP="00F64A58">
      <w:pPr>
        <w:pStyle w:val="Bullet2"/>
      </w:pPr>
      <w:r w:rsidRPr="005F62F4">
        <w:t>explore whether the benefits paid are proportionate to other costs associated with implantation of prostheses</w:t>
      </w:r>
      <w:r w:rsidR="00244714" w:rsidRPr="005F62F4">
        <w:t xml:space="preserve"> (including</w:t>
      </w:r>
      <w:r w:rsidR="00353623" w:rsidRPr="005F62F4">
        <w:t xml:space="preserve"> other items supplied as part of kits)</w:t>
      </w:r>
    </w:p>
    <w:p w14:paraId="0D887C55" w14:textId="3C9F340F" w:rsidR="00F84512" w:rsidRPr="005F62F4" w:rsidRDefault="00F64A58" w:rsidP="00F64A58">
      <w:pPr>
        <w:pStyle w:val="Bullet2"/>
      </w:pPr>
      <w:r w:rsidRPr="005F62F4">
        <w:t xml:space="preserve">determine whether </w:t>
      </w:r>
      <w:r w:rsidR="00F84512" w:rsidRPr="005F62F4">
        <w:t>the costs of products are comparable to the minimum prices available in the public sector and overseas</w:t>
      </w:r>
      <w:r w:rsidR="00361274" w:rsidRPr="005F62F4">
        <w:t>.</w:t>
      </w:r>
    </w:p>
    <w:p w14:paraId="429D0921" w14:textId="491F9CD9" w:rsidR="0004363E" w:rsidRPr="005F62F4" w:rsidRDefault="0004363E" w:rsidP="0004363E">
      <w:pPr>
        <w:pStyle w:val="Bullet1"/>
        <w:numPr>
          <w:ilvl w:val="0"/>
          <w:numId w:val="5"/>
        </w:numPr>
      </w:pPr>
      <w:r w:rsidRPr="005F62F4">
        <w:t>Exploring options for future consultation and governance arrangements to ensure any changes and guidance to the sector are appropriately informed by stakeholder input.</w:t>
      </w:r>
    </w:p>
    <w:p w14:paraId="607A2F6D" w14:textId="77777777" w:rsidR="001E04EB" w:rsidRPr="005F62F4" w:rsidRDefault="001E04EB" w:rsidP="001E04EB">
      <w:bookmarkStart w:id="41" w:name="_Toc120178295"/>
      <w:r w:rsidRPr="005F62F4">
        <w:br w:type="page"/>
      </w:r>
    </w:p>
    <w:p w14:paraId="3439F7BC" w14:textId="5EB3988B" w:rsidR="00B14CBF" w:rsidRPr="005F62F4" w:rsidRDefault="00B14CBF" w:rsidP="00261AF0">
      <w:pPr>
        <w:pStyle w:val="Heading02"/>
      </w:pPr>
      <w:bookmarkStart w:id="42" w:name="_Toc129954594"/>
      <w:r w:rsidRPr="005F62F4">
        <w:lastRenderedPageBreak/>
        <w:t>Report</w:t>
      </w:r>
      <w:r w:rsidR="00CD4763" w:rsidRPr="005F62F4">
        <w:t xml:space="preserve"> </w:t>
      </w:r>
      <w:r w:rsidR="002412E0" w:rsidRPr="005F62F4">
        <w:t>s</w:t>
      </w:r>
      <w:r w:rsidR="00CD4763" w:rsidRPr="005F62F4">
        <w:t>tructure</w:t>
      </w:r>
      <w:bookmarkEnd w:id="41"/>
      <w:bookmarkEnd w:id="42"/>
    </w:p>
    <w:p w14:paraId="2EE1C555" w14:textId="1AFA3190" w:rsidR="00B7672C" w:rsidRPr="005F62F4" w:rsidRDefault="00B7672C" w:rsidP="00782C68">
      <w:pPr>
        <w:pStyle w:val="Para"/>
        <w:pBdr>
          <w:top w:val="single" w:sz="4" w:space="1" w:color="595959" w:themeColor="text1" w:themeTint="A6"/>
          <w:left w:val="single" w:sz="4" w:space="4" w:color="595959" w:themeColor="text1" w:themeTint="A6"/>
          <w:bottom w:val="single" w:sz="4" w:space="1" w:color="595959" w:themeColor="text1" w:themeTint="A6"/>
          <w:right w:val="single" w:sz="4" w:space="4" w:color="595959" w:themeColor="text1" w:themeTint="A6"/>
        </w:pBdr>
        <w:shd w:val="clear" w:color="auto" w:fill="F2F2F2" w:themeFill="background1" w:themeFillShade="F2"/>
      </w:pPr>
      <w:r w:rsidRPr="005F62F4">
        <w:t xml:space="preserve">This </w:t>
      </w:r>
      <w:r w:rsidR="002412E0" w:rsidRPr="005F62F4">
        <w:t>r</w:t>
      </w:r>
      <w:r w:rsidRPr="005F62F4">
        <w:t xml:space="preserve">eport is presented in </w:t>
      </w:r>
      <w:r w:rsidR="003D1A58" w:rsidRPr="005F62F4">
        <w:t>6 </w:t>
      </w:r>
      <w:r w:rsidRPr="005F62F4">
        <w:t>separate par</w:t>
      </w:r>
      <w:r w:rsidR="00FF519C" w:rsidRPr="005F62F4">
        <w:t xml:space="preserve">ts, as briefly outlined below. </w:t>
      </w:r>
      <w:r w:rsidRPr="005F62F4">
        <w:t xml:space="preserve">The </w:t>
      </w:r>
      <w:r w:rsidR="002412E0" w:rsidRPr="005F62F4">
        <w:t>r</w:t>
      </w:r>
      <w:r w:rsidRPr="005F62F4">
        <w:t xml:space="preserve">eport has been structured in this way to address the </w:t>
      </w:r>
      <w:r w:rsidR="002302C8" w:rsidRPr="005F62F4">
        <w:t>t</w:t>
      </w:r>
      <w:r w:rsidRPr="005F62F4">
        <w:t xml:space="preserve">erms of </w:t>
      </w:r>
      <w:r w:rsidR="002302C8" w:rsidRPr="005F62F4">
        <w:t>r</w:t>
      </w:r>
      <w:r w:rsidRPr="005F62F4">
        <w:t>eference</w:t>
      </w:r>
      <w:r w:rsidR="003C3FA3" w:rsidRPr="005F62F4">
        <w:t xml:space="preserve"> (</w:t>
      </w:r>
      <w:proofErr w:type="spellStart"/>
      <w:r w:rsidR="003C3FA3" w:rsidRPr="005F62F4">
        <w:t>ToR</w:t>
      </w:r>
      <w:proofErr w:type="spellEnd"/>
      <w:r w:rsidR="003C3FA3" w:rsidRPr="005F62F4">
        <w:t>)</w:t>
      </w:r>
      <w:r w:rsidRPr="005F62F4">
        <w:t xml:space="preserve"> of the </w:t>
      </w:r>
      <w:r w:rsidR="002302C8" w:rsidRPr="005F62F4">
        <w:t>r</w:t>
      </w:r>
      <w:r w:rsidRPr="005F62F4">
        <w:t>eview.</w:t>
      </w:r>
    </w:p>
    <w:p w14:paraId="2C672DF0" w14:textId="694833C8" w:rsidR="00B7672C" w:rsidRPr="005F62F4" w:rsidRDefault="00D73E11" w:rsidP="00782C68">
      <w:pPr>
        <w:pStyle w:val="Para"/>
        <w:pBdr>
          <w:top w:val="single" w:sz="4" w:space="1" w:color="595959" w:themeColor="text1" w:themeTint="A6"/>
          <w:left w:val="single" w:sz="4" w:space="4" w:color="595959" w:themeColor="text1" w:themeTint="A6"/>
          <w:bottom w:val="single" w:sz="4" w:space="1" w:color="595959" w:themeColor="text1" w:themeTint="A6"/>
          <w:right w:val="single" w:sz="4" w:space="4" w:color="595959" w:themeColor="text1" w:themeTint="A6"/>
        </w:pBdr>
        <w:shd w:val="clear" w:color="auto" w:fill="F2F2F2" w:themeFill="background1" w:themeFillShade="F2"/>
      </w:pPr>
      <w:r w:rsidRPr="005F62F4">
        <w:rPr>
          <w:rStyle w:val="Strong"/>
        </w:rPr>
        <w:t>Background</w:t>
      </w:r>
      <w:r w:rsidR="00CF6726" w:rsidRPr="005F62F4">
        <w:rPr>
          <w:rStyle w:val="Strong"/>
        </w:rPr>
        <w:t>:</w:t>
      </w:r>
      <w:r w:rsidR="003165B6" w:rsidRPr="005F62F4">
        <w:t xml:space="preserve"> </w:t>
      </w:r>
      <w:r w:rsidR="00D161CA" w:rsidRPr="005F62F4">
        <w:t>The background p</w:t>
      </w:r>
      <w:r w:rsidR="000265EC" w:rsidRPr="005F62F4">
        <w:t xml:space="preserve">rovides the context for the </w:t>
      </w:r>
      <w:r w:rsidR="002D7944" w:rsidRPr="005F62F4">
        <w:t>r</w:t>
      </w:r>
      <w:r w:rsidR="000265EC" w:rsidRPr="005F62F4">
        <w:t>eview</w:t>
      </w:r>
      <w:r w:rsidR="00921C04" w:rsidRPr="005F62F4">
        <w:t xml:space="preserve"> and</w:t>
      </w:r>
      <w:r w:rsidR="000265EC" w:rsidRPr="005F62F4">
        <w:t xml:space="preserve"> </w:t>
      </w:r>
      <w:r w:rsidR="005113A5" w:rsidRPr="005F62F4">
        <w:t xml:space="preserve">background information on </w:t>
      </w:r>
      <w:r w:rsidR="00F90F84" w:rsidRPr="005F62F4">
        <w:t xml:space="preserve">surgical guides and </w:t>
      </w:r>
      <w:proofErr w:type="spellStart"/>
      <w:r w:rsidR="00F90F84" w:rsidRPr="005F62F4">
        <w:t>biomodels</w:t>
      </w:r>
      <w:proofErr w:type="spellEnd"/>
      <w:r w:rsidR="00F90F84" w:rsidRPr="005F62F4">
        <w:t xml:space="preserve"> currently listed on the Prostheses List.</w:t>
      </w:r>
    </w:p>
    <w:p w14:paraId="54845D50" w14:textId="669A910D" w:rsidR="00817892" w:rsidRPr="005F62F4" w:rsidRDefault="00904208" w:rsidP="00782C68">
      <w:pPr>
        <w:pStyle w:val="Para"/>
        <w:pBdr>
          <w:top w:val="single" w:sz="4" w:space="1" w:color="595959" w:themeColor="text1" w:themeTint="A6"/>
          <w:left w:val="single" w:sz="4" w:space="4" w:color="595959" w:themeColor="text1" w:themeTint="A6"/>
          <w:bottom w:val="single" w:sz="4" w:space="1" w:color="595959" w:themeColor="text1" w:themeTint="A6"/>
          <w:right w:val="single" w:sz="4" w:space="4" w:color="595959" w:themeColor="text1" w:themeTint="A6"/>
        </w:pBdr>
        <w:shd w:val="clear" w:color="auto" w:fill="F2F2F2" w:themeFill="background1" w:themeFillShade="F2"/>
      </w:pPr>
      <w:r w:rsidRPr="005F62F4">
        <w:rPr>
          <w:rStyle w:val="Strong"/>
        </w:rPr>
        <w:t xml:space="preserve">Section </w:t>
      </w:r>
      <w:r w:rsidR="00D73E11" w:rsidRPr="005F62F4">
        <w:rPr>
          <w:rStyle w:val="Strong"/>
        </w:rPr>
        <w:t>1</w:t>
      </w:r>
      <w:r w:rsidR="00817892" w:rsidRPr="005F62F4">
        <w:rPr>
          <w:rStyle w:val="Strong"/>
        </w:rPr>
        <w:t xml:space="preserve"> – </w:t>
      </w:r>
      <w:proofErr w:type="spellStart"/>
      <w:r w:rsidR="00D35EC1" w:rsidRPr="005F62F4">
        <w:rPr>
          <w:rStyle w:val="Strong"/>
        </w:rPr>
        <w:t>ToR</w:t>
      </w:r>
      <w:proofErr w:type="spellEnd"/>
      <w:r w:rsidR="00D35EC1" w:rsidRPr="005F62F4">
        <w:rPr>
          <w:rStyle w:val="Strong"/>
        </w:rPr>
        <w:t xml:space="preserve"> 1:</w:t>
      </w:r>
      <w:r w:rsidR="00D35EC1" w:rsidRPr="005F62F4">
        <w:t xml:space="preserve"> </w:t>
      </w:r>
      <w:r w:rsidR="0041220E" w:rsidRPr="005F62F4">
        <w:t xml:space="preserve">Analyse the role in clinical practice of surgical guides and </w:t>
      </w:r>
      <w:proofErr w:type="spellStart"/>
      <w:r w:rsidR="0041220E" w:rsidRPr="005F62F4">
        <w:t>biomodels</w:t>
      </w:r>
      <w:proofErr w:type="spellEnd"/>
      <w:r w:rsidR="0041220E" w:rsidRPr="005F62F4">
        <w:t xml:space="preserve"> currently listed on the PL, including future trends in clinical use.</w:t>
      </w:r>
    </w:p>
    <w:p w14:paraId="1B78081E" w14:textId="52BB7F1B" w:rsidR="003E716F" w:rsidRPr="005F62F4" w:rsidRDefault="00904208" w:rsidP="00782C68">
      <w:pPr>
        <w:pStyle w:val="Para"/>
        <w:pBdr>
          <w:top w:val="single" w:sz="4" w:space="1" w:color="595959" w:themeColor="text1" w:themeTint="A6"/>
          <w:left w:val="single" w:sz="4" w:space="4" w:color="595959" w:themeColor="text1" w:themeTint="A6"/>
          <w:bottom w:val="single" w:sz="4" w:space="1" w:color="595959" w:themeColor="text1" w:themeTint="A6"/>
          <w:right w:val="single" w:sz="4" w:space="4" w:color="595959" w:themeColor="text1" w:themeTint="A6"/>
        </w:pBdr>
        <w:shd w:val="clear" w:color="auto" w:fill="F2F2F2" w:themeFill="background1" w:themeFillShade="F2"/>
      </w:pPr>
      <w:r w:rsidRPr="005F62F4">
        <w:rPr>
          <w:rStyle w:val="Strong"/>
        </w:rPr>
        <w:t xml:space="preserve">Section </w:t>
      </w:r>
      <w:r w:rsidR="00D73E11" w:rsidRPr="005F62F4">
        <w:rPr>
          <w:rStyle w:val="Strong"/>
        </w:rPr>
        <w:t>2</w:t>
      </w:r>
      <w:r w:rsidR="00B7672C" w:rsidRPr="005F62F4">
        <w:rPr>
          <w:rStyle w:val="Strong"/>
        </w:rPr>
        <w:t xml:space="preserve"> –</w:t>
      </w:r>
      <w:r w:rsidR="003E716F" w:rsidRPr="005F62F4">
        <w:rPr>
          <w:rStyle w:val="Strong"/>
        </w:rPr>
        <w:t xml:space="preserve"> </w:t>
      </w:r>
      <w:proofErr w:type="spellStart"/>
      <w:r w:rsidR="00D35EC1" w:rsidRPr="005F62F4">
        <w:rPr>
          <w:rStyle w:val="Strong"/>
        </w:rPr>
        <w:t>ToR</w:t>
      </w:r>
      <w:proofErr w:type="spellEnd"/>
      <w:r w:rsidR="00D35EC1" w:rsidRPr="005F62F4">
        <w:rPr>
          <w:rStyle w:val="Strong"/>
        </w:rPr>
        <w:t xml:space="preserve"> 2</w:t>
      </w:r>
      <w:r w:rsidR="00D35EC1" w:rsidRPr="005F62F4">
        <w:t xml:space="preserve">: </w:t>
      </w:r>
      <w:r w:rsidR="00EF5EA2" w:rsidRPr="005F62F4">
        <w:t xml:space="preserve">Review the evidence base for the use of surgical guides and </w:t>
      </w:r>
      <w:proofErr w:type="spellStart"/>
      <w:r w:rsidR="00EF5EA2" w:rsidRPr="005F62F4">
        <w:t>biomodels</w:t>
      </w:r>
      <w:proofErr w:type="spellEnd"/>
      <w:r w:rsidR="00EF5EA2" w:rsidRPr="005F62F4">
        <w:t xml:space="preserve"> currently listed on the PL, with a focus on comparative clinical effectiveness and clinical benefits.</w:t>
      </w:r>
    </w:p>
    <w:p w14:paraId="26961369" w14:textId="36E7FB9A" w:rsidR="003E716F" w:rsidRPr="005F62F4" w:rsidRDefault="00904208" w:rsidP="00782C68">
      <w:pPr>
        <w:pStyle w:val="Para"/>
        <w:pBdr>
          <w:top w:val="single" w:sz="4" w:space="1" w:color="595959" w:themeColor="text1" w:themeTint="A6"/>
          <w:left w:val="single" w:sz="4" w:space="4" w:color="595959" w:themeColor="text1" w:themeTint="A6"/>
          <w:bottom w:val="single" w:sz="4" w:space="1" w:color="595959" w:themeColor="text1" w:themeTint="A6"/>
          <w:right w:val="single" w:sz="4" w:space="4" w:color="595959" w:themeColor="text1" w:themeTint="A6"/>
        </w:pBdr>
        <w:shd w:val="clear" w:color="auto" w:fill="F2F2F2" w:themeFill="background1" w:themeFillShade="F2"/>
      </w:pPr>
      <w:r w:rsidRPr="005F62F4">
        <w:rPr>
          <w:rStyle w:val="Strong"/>
        </w:rPr>
        <w:t xml:space="preserve">Section </w:t>
      </w:r>
      <w:r w:rsidR="00D73E11" w:rsidRPr="005F62F4">
        <w:rPr>
          <w:rStyle w:val="Strong"/>
        </w:rPr>
        <w:t>3</w:t>
      </w:r>
      <w:r w:rsidR="003E716F" w:rsidRPr="005F62F4">
        <w:rPr>
          <w:rStyle w:val="Strong"/>
        </w:rPr>
        <w:t xml:space="preserve"> – </w:t>
      </w:r>
      <w:proofErr w:type="spellStart"/>
      <w:r w:rsidR="00D35EC1" w:rsidRPr="005F62F4">
        <w:rPr>
          <w:rStyle w:val="Strong"/>
        </w:rPr>
        <w:t>ToR</w:t>
      </w:r>
      <w:proofErr w:type="spellEnd"/>
      <w:r w:rsidR="00D35EC1" w:rsidRPr="005F62F4">
        <w:rPr>
          <w:rStyle w:val="Strong"/>
        </w:rPr>
        <w:t xml:space="preserve"> 3:</w:t>
      </w:r>
      <w:r w:rsidR="00D35EC1" w:rsidRPr="005F62F4">
        <w:t xml:space="preserve"> </w:t>
      </w:r>
      <w:r w:rsidR="00EF5EA2" w:rsidRPr="005F62F4">
        <w:t xml:space="preserve">Consider the current utilisation of surgical guides and </w:t>
      </w:r>
      <w:proofErr w:type="spellStart"/>
      <w:r w:rsidR="00EF5EA2" w:rsidRPr="005F62F4">
        <w:t>biomodels</w:t>
      </w:r>
      <w:proofErr w:type="spellEnd"/>
      <w:r w:rsidR="00EF5EA2" w:rsidRPr="005F62F4">
        <w:t xml:space="preserve"> listed on the PL</w:t>
      </w:r>
      <w:r w:rsidR="003165B6" w:rsidRPr="005F62F4">
        <w:t>.</w:t>
      </w:r>
    </w:p>
    <w:p w14:paraId="77629134" w14:textId="2955A39A" w:rsidR="00E12102" w:rsidRPr="005F62F4" w:rsidRDefault="00904208" w:rsidP="00782C68">
      <w:pPr>
        <w:pStyle w:val="Para"/>
        <w:pBdr>
          <w:top w:val="single" w:sz="4" w:space="1" w:color="595959" w:themeColor="text1" w:themeTint="A6"/>
          <w:left w:val="single" w:sz="4" w:space="4" w:color="595959" w:themeColor="text1" w:themeTint="A6"/>
          <w:bottom w:val="single" w:sz="4" w:space="1" w:color="595959" w:themeColor="text1" w:themeTint="A6"/>
          <w:right w:val="single" w:sz="4" w:space="4" w:color="595959" w:themeColor="text1" w:themeTint="A6"/>
        </w:pBdr>
        <w:shd w:val="clear" w:color="auto" w:fill="F2F2F2" w:themeFill="background1" w:themeFillShade="F2"/>
      </w:pPr>
      <w:r w:rsidRPr="005F62F4">
        <w:rPr>
          <w:rStyle w:val="Strong"/>
        </w:rPr>
        <w:t xml:space="preserve">Section </w:t>
      </w:r>
      <w:r w:rsidR="00D73E11" w:rsidRPr="005F62F4">
        <w:rPr>
          <w:rStyle w:val="Strong"/>
        </w:rPr>
        <w:t>4</w:t>
      </w:r>
      <w:r w:rsidR="00B7672C" w:rsidRPr="005F62F4">
        <w:t xml:space="preserve"> – </w:t>
      </w:r>
      <w:proofErr w:type="spellStart"/>
      <w:r w:rsidR="00E12102" w:rsidRPr="005F62F4">
        <w:rPr>
          <w:rStyle w:val="Strong"/>
        </w:rPr>
        <w:t>ToR</w:t>
      </w:r>
      <w:proofErr w:type="spellEnd"/>
      <w:r w:rsidR="00E12102" w:rsidRPr="005F62F4">
        <w:rPr>
          <w:rStyle w:val="Strong"/>
        </w:rPr>
        <w:t xml:space="preserve"> 4:</w:t>
      </w:r>
      <w:r w:rsidR="00EA5838" w:rsidRPr="005F62F4">
        <w:t xml:space="preserve"> </w:t>
      </w:r>
      <w:r w:rsidR="008258C1" w:rsidRPr="005F62F4">
        <w:t xml:space="preserve">Based on the findings of </w:t>
      </w:r>
      <w:proofErr w:type="spellStart"/>
      <w:r w:rsidR="008258C1" w:rsidRPr="005F62F4">
        <w:t>T</w:t>
      </w:r>
      <w:r w:rsidR="00905B12" w:rsidRPr="005F62F4">
        <w:t>o</w:t>
      </w:r>
      <w:r w:rsidR="008258C1" w:rsidRPr="005F62F4">
        <w:t>R</w:t>
      </w:r>
      <w:proofErr w:type="spellEnd"/>
      <w:r w:rsidR="008258C1" w:rsidRPr="005F62F4">
        <w:t xml:space="preserve"> 1, 2 and 3, advise if surgical guides and </w:t>
      </w:r>
      <w:proofErr w:type="spellStart"/>
      <w:r w:rsidR="008258C1" w:rsidRPr="005F62F4">
        <w:t>biomodels</w:t>
      </w:r>
      <w:proofErr w:type="spellEnd"/>
      <w:r w:rsidR="008258C1" w:rsidRPr="005F62F4">
        <w:t xml:space="preserve"> meet the eligibility criteria for listing on the PL. Findings regarding eligibility may differ between products and clinical circumstances.</w:t>
      </w:r>
    </w:p>
    <w:p w14:paraId="5C469AD1" w14:textId="239552D4" w:rsidR="0006296D" w:rsidRPr="005F62F4" w:rsidRDefault="0006296D" w:rsidP="00782C68">
      <w:pPr>
        <w:pStyle w:val="Para"/>
        <w:pBdr>
          <w:top w:val="single" w:sz="4" w:space="1" w:color="595959" w:themeColor="text1" w:themeTint="A6"/>
          <w:left w:val="single" w:sz="4" w:space="4" w:color="595959" w:themeColor="text1" w:themeTint="A6"/>
          <w:bottom w:val="single" w:sz="4" w:space="1" w:color="595959" w:themeColor="text1" w:themeTint="A6"/>
          <w:right w:val="single" w:sz="4" w:space="4" w:color="595959" w:themeColor="text1" w:themeTint="A6"/>
        </w:pBdr>
        <w:shd w:val="clear" w:color="auto" w:fill="F2F2F2" w:themeFill="background1" w:themeFillShade="F2"/>
      </w:pPr>
      <w:r w:rsidRPr="005F62F4">
        <w:rPr>
          <w:rStyle w:val="Strong"/>
        </w:rPr>
        <w:t>Section 5</w:t>
      </w:r>
      <w:r w:rsidR="00CF3B83" w:rsidRPr="005F62F4">
        <w:t xml:space="preserve"> – </w:t>
      </w:r>
      <w:r w:rsidR="00CF3B83" w:rsidRPr="005F62F4">
        <w:rPr>
          <w:rStyle w:val="Strong"/>
        </w:rPr>
        <w:t>Conclusions</w:t>
      </w:r>
      <w:r w:rsidR="008838EE" w:rsidRPr="005F62F4">
        <w:rPr>
          <w:rStyle w:val="Strong"/>
        </w:rPr>
        <w:t>:</w:t>
      </w:r>
      <w:r w:rsidR="00CF3B83" w:rsidRPr="005F62F4">
        <w:rPr>
          <w:rStyle w:val="Strong"/>
        </w:rPr>
        <w:t xml:space="preserve"> </w:t>
      </w:r>
      <w:r w:rsidR="008838EE" w:rsidRPr="005F62F4">
        <w:t>O</w:t>
      </w:r>
      <w:r w:rsidR="009D7F3E" w:rsidRPr="005F62F4">
        <w:t>utlines a range of suggestions for the department</w:t>
      </w:r>
      <w:r w:rsidR="00821E90" w:rsidRPr="005F62F4">
        <w:t>.</w:t>
      </w:r>
    </w:p>
    <w:p w14:paraId="6025F4A9" w14:textId="3B9ACFEB" w:rsidR="000C5DEA" w:rsidRPr="005F62F4" w:rsidRDefault="000C5DEA" w:rsidP="0041649B"/>
    <w:p w14:paraId="613F9A06" w14:textId="094611CF" w:rsidR="000C5DEA" w:rsidRPr="005F62F4" w:rsidRDefault="000C5DEA" w:rsidP="0041649B">
      <w:pPr>
        <w:sectPr w:rsidR="000C5DEA" w:rsidRPr="005F62F4" w:rsidSect="002841FD">
          <w:headerReference w:type="default" r:id="rId17"/>
          <w:footerReference w:type="first" r:id="rId18"/>
          <w:pgSz w:w="11906" w:h="16838"/>
          <w:pgMar w:top="1134" w:right="1134" w:bottom="1134" w:left="1440" w:header="708" w:footer="708" w:gutter="0"/>
          <w:cols w:space="708"/>
          <w:titlePg/>
          <w:docGrid w:linePitch="360"/>
        </w:sectPr>
      </w:pPr>
    </w:p>
    <w:p w14:paraId="799EF9AE" w14:textId="4C4D360F" w:rsidR="007F4E20" w:rsidRPr="005F62F4" w:rsidRDefault="0096141C" w:rsidP="00851952">
      <w:pPr>
        <w:pStyle w:val="Heading01"/>
      </w:pPr>
      <w:bookmarkStart w:id="43" w:name="_Toc120178296"/>
      <w:bookmarkStart w:id="44" w:name="_Toc129954595"/>
      <w:r w:rsidRPr="005F62F4">
        <w:lastRenderedPageBreak/>
        <w:t>B</w:t>
      </w:r>
      <w:r w:rsidR="008D0D0C" w:rsidRPr="005F62F4">
        <w:t>ackground</w:t>
      </w:r>
      <w:bookmarkEnd w:id="43"/>
      <w:bookmarkEnd w:id="44"/>
    </w:p>
    <w:p w14:paraId="57EDB590" w14:textId="504F4672" w:rsidR="00CF44B8" w:rsidRPr="005F62F4" w:rsidRDefault="00CF44B8" w:rsidP="00727540">
      <w:pPr>
        <w:pStyle w:val="Boxed"/>
        <w:numPr>
          <w:ilvl w:val="0"/>
          <w:numId w:val="10"/>
        </w:numPr>
      </w:pPr>
      <w:bookmarkStart w:id="45" w:name="_Ref118884072"/>
      <w:r w:rsidRPr="005F62F4">
        <w:t xml:space="preserve">The review report is </w:t>
      </w:r>
      <w:r w:rsidR="00CE46FE" w:rsidRPr="005F62F4">
        <w:t>informed by</w:t>
      </w:r>
      <w:r w:rsidRPr="005F62F4">
        <w:t xml:space="preserve"> a wide range of sources including scientific literature, data analysis and stakeholder input. Where </w:t>
      </w:r>
      <w:r w:rsidR="008137DB" w:rsidRPr="005F62F4">
        <w:t>stakeholders have provided</w:t>
      </w:r>
      <w:r w:rsidRPr="005F62F4">
        <w:t xml:space="preserve"> confidential information</w:t>
      </w:r>
      <w:r w:rsidR="009E4791" w:rsidRPr="005F62F4">
        <w:t xml:space="preserve">, </w:t>
      </w:r>
      <w:r w:rsidR="00B03B7D" w:rsidRPr="005F62F4">
        <w:t>this</w:t>
      </w:r>
      <w:r w:rsidRPr="005F62F4">
        <w:t xml:space="preserve"> information </w:t>
      </w:r>
      <w:r w:rsidR="00B03B7D" w:rsidRPr="005F62F4">
        <w:t xml:space="preserve">has been </w:t>
      </w:r>
      <w:r w:rsidRPr="005F62F4">
        <w:t xml:space="preserve">marked and redacted in </w:t>
      </w:r>
      <w:r w:rsidR="00B03B7D" w:rsidRPr="005F62F4">
        <w:t>this</w:t>
      </w:r>
      <w:r w:rsidRPr="005F62F4">
        <w:t xml:space="preserve"> report.</w:t>
      </w:r>
    </w:p>
    <w:p w14:paraId="04906E63" w14:textId="2FC7277A" w:rsidR="0096141C" w:rsidRPr="005F62F4" w:rsidRDefault="00E87BAB" w:rsidP="00D05D9A">
      <w:pPr>
        <w:pStyle w:val="Headingb2"/>
      </w:pPr>
      <w:bookmarkStart w:id="46" w:name="_Toc119483086"/>
      <w:bookmarkStart w:id="47" w:name="_Toc119483087"/>
      <w:bookmarkStart w:id="48" w:name="_Toc119483088"/>
      <w:bookmarkStart w:id="49" w:name="_Toc120178297"/>
      <w:bookmarkStart w:id="50" w:name="_Toc129954596"/>
      <w:bookmarkEnd w:id="45"/>
      <w:bookmarkEnd w:id="46"/>
      <w:bookmarkEnd w:id="47"/>
      <w:bookmarkEnd w:id="48"/>
      <w:r w:rsidRPr="005F62F4">
        <w:t>The Prostheses List</w:t>
      </w:r>
      <w:bookmarkEnd w:id="49"/>
      <w:bookmarkEnd w:id="50"/>
    </w:p>
    <w:p w14:paraId="6ACE856D" w14:textId="6B15F7EA" w:rsidR="00BB797F" w:rsidRPr="005F62F4" w:rsidRDefault="00BB797F" w:rsidP="00727540">
      <w:pPr>
        <w:pStyle w:val="Para"/>
        <w:numPr>
          <w:ilvl w:val="0"/>
          <w:numId w:val="10"/>
        </w:numPr>
      </w:pPr>
      <w:bookmarkStart w:id="51" w:name="_Hlk119873177"/>
      <w:r w:rsidRPr="005F62F4">
        <w:t>The</w:t>
      </w:r>
      <w:r w:rsidRPr="005F62F4" w:rsidDel="0089207F">
        <w:t xml:space="preserve"> </w:t>
      </w:r>
      <w:r w:rsidRPr="005F62F4">
        <w:t>Prosthes</w:t>
      </w:r>
      <w:r w:rsidR="0098000E" w:rsidRPr="005F62F4">
        <w:t>e</w:t>
      </w:r>
      <w:r w:rsidRPr="005F62F4">
        <w:t>s List (</w:t>
      </w:r>
      <w:r w:rsidRPr="005F62F4" w:rsidDel="0089207F">
        <w:t>PL</w:t>
      </w:r>
      <w:r w:rsidRPr="005F62F4">
        <w:t>)</w:t>
      </w:r>
      <w:r w:rsidRPr="005F62F4" w:rsidDel="0089207F">
        <w:t xml:space="preserve"> was first established in 1985 to regulate the price that privately</w:t>
      </w:r>
      <w:r w:rsidR="009B5BC6">
        <w:t xml:space="preserve"> </w:t>
      </w:r>
      <w:r w:rsidRPr="005F62F4" w:rsidDel="0089207F">
        <w:t xml:space="preserve">insured patients paid for prostheses, and to reduce hospital waiting lists for surgical procedures involving implanted prostheses </w:t>
      </w:r>
      <w:r w:rsidR="00BD492E" w:rsidRPr="005F62F4">
        <w:t>(Parliament of Australia 2017)</w:t>
      </w:r>
      <w:r w:rsidRPr="005F62F4" w:rsidDel="0089207F">
        <w:t>.</w:t>
      </w:r>
      <w:r w:rsidRPr="005F62F4">
        <w:rPr>
          <w:rStyle w:val="FootnoteReference"/>
        </w:rPr>
        <w:footnoteReference w:id="2"/>
      </w:r>
    </w:p>
    <w:p w14:paraId="69503BF9" w14:textId="74B151F1" w:rsidR="00CB130A" w:rsidRPr="005F62F4" w:rsidRDefault="00382592" w:rsidP="00CB130A">
      <w:pPr>
        <w:pStyle w:val="Para"/>
      </w:pPr>
      <w:r w:rsidRPr="005F62F4">
        <w:t xml:space="preserve">The PL </w:t>
      </w:r>
      <w:r w:rsidR="0098483E" w:rsidRPr="005F62F4">
        <w:t>lists the</w:t>
      </w:r>
      <w:r w:rsidR="00297C35" w:rsidRPr="005F62F4">
        <w:t xml:space="preserve"> prostheses and related products that private health insurers must pay a benefit for, the circumstances under which this benefit must be paid, and the amount of the benefit.</w:t>
      </w:r>
    </w:p>
    <w:bookmarkEnd w:id="51"/>
    <w:p w14:paraId="5B87F503" w14:textId="33FBE28D" w:rsidR="00627024" w:rsidRPr="005F62F4" w:rsidRDefault="005B4F9D" w:rsidP="0022042E">
      <w:pPr>
        <w:pStyle w:val="ParaKeep"/>
      </w:pPr>
      <w:r w:rsidRPr="005F62F4">
        <w:t xml:space="preserve">Since its </w:t>
      </w:r>
      <w:r w:rsidR="00D54E36" w:rsidRPr="005F62F4">
        <w:t>inception</w:t>
      </w:r>
      <w:r w:rsidRPr="005F62F4">
        <w:t xml:space="preserve">, the PL has been subject to </w:t>
      </w:r>
      <w:proofErr w:type="gramStart"/>
      <w:r w:rsidRPr="005F62F4">
        <w:t>a number of</w:t>
      </w:r>
      <w:proofErr w:type="gramEnd"/>
      <w:r w:rsidRPr="005F62F4">
        <w:t xml:space="preserve"> reforms</w:t>
      </w:r>
      <w:r w:rsidR="00FA7916" w:rsidRPr="005F62F4">
        <w:t xml:space="preserve">. </w:t>
      </w:r>
      <w:r w:rsidR="00627024" w:rsidRPr="005F62F4">
        <w:t xml:space="preserve">Most recently, the 2021-22 Budget allocated $22 million </w:t>
      </w:r>
      <w:r w:rsidR="00AE4C55" w:rsidRPr="005F62F4">
        <w:t xml:space="preserve">over 4 years </w:t>
      </w:r>
      <w:r w:rsidR="00627024" w:rsidRPr="005F62F4">
        <w:t xml:space="preserve">to improve the PL through </w:t>
      </w:r>
      <w:proofErr w:type="gramStart"/>
      <w:r w:rsidR="00627024" w:rsidRPr="005F62F4">
        <w:t>a number of</w:t>
      </w:r>
      <w:proofErr w:type="gramEnd"/>
      <w:r w:rsidR="00627024" w:rsidRPr="005F62F4">
        <w:t xml:space="preserve"> measures, including:</w:t>
      </w:r>
    </w:p>
    <w:p w14:paraId="09CF4876" w14:textId="3A0CB9A8" w:rsidR="00627024" w:rsidRPr="005F62F4" w:rsidRDefault="00A2796D" w:rsidP="00CC23D6">
      <w:pPr>
        <w:pStyle w:val="Bullet1Keep"/>
      </w:pPr>
      <w:r w:rsidRPr="005F62F4">
        <w:t>c</w:t>
      </w:r>
      <w:r w:rsidR="00627024" w:rsidRPr="005F62F4">
        <w:t xml:space="preserve">larifying the ‘scope of the PL by defining which prostheses are eligible for inclusion and removing ineligible items’ </w:t>
      </w:r>
      <w:r w:rsidR="00627024" w:rsidRPr="005F62F4">
        <w:fldChar w:fldCharType="begin" w:fldLock="1"/>
      </w:r>
      <w:r w:rsidR="00F47C90" w:rsidRPr="005F62F4">
        <w:instrText>ADDIN CSL_CITATION {"citationItems":[{"id":"ITEM-1","itemData":{"URL":"https://www.health.gov.au/health-topics/private-health-insurance/the-prostheses-list/the-prostheses-list-reforms","accessed":{"date-parts":[["2022","8","11"]]},"author":[{"dropping-particle":"","family":"Department of Health and Aged Care","given":"","non-dropping-particle":"","parse-names":false,"suffix":""}],"container-title":"Department of Health and Aged Care website","id":"ITEM-1","issued":{"date-parts":[["2022"]]},"title":"The Prostheses List reforms","type":"webpage"},"uris":["http://www.mendeley.com/documents/?uuid=fe65c31d-6754-4285-8c0b-fa7fd585d42f"]}],"mendeley":{"formattedCitation":"(Department of Health and Aged Care 2022b)","plainTextFormattedCitation":"(Department of Health and Aged Care 2022b)","previouslyFormattedCitation":"(Department of Health and Aged Care 2022b)"},"properties":{"noteIndex":0},"schema":"https://github.com/citation-style-language/schema/raw/master/csl-citation.json"}</w:instrText>
      </w:r>
      <w:r w:rsidR="00627024" w:rsidRPr="005F62F4">
        <w:fldChar w:fldCharType="separate"/>
      </w:r>
      <w:r w:rsidR="006D6E3B" w:rsidRPr="005F62F4">
        <w:rPr>
          <w:noProof/>
        </w:rPr>
        <w:t>(Department of Health and Aged Care 2022b)</w:t>
      </w:r>
      <w:r w:rsidR="00627024" w:rsidRPr="005F62F4">
        <w:fldChar w:fldCharType="end"/>
      </w:r>
    </w:p>
    <w:p w14:paraId="701B9E92" w14:textId="299A9FF2" w:rsidR="00627024" w:rsidRPr="005F62F4" w:rsidRDefault="00A2796D" w:rsidP="007C4445">
      <w:pPr>
        <w:pStyle w:val="Bullet1"/>
      </w:pPr>
      <w:r w:rsidRPr="005F62F4">
        <w:t>r</w:t>
      </w:r>
      <w:r w:rsidR="00627024" w:rsidRPr="005F62F4">
        <w:t>egularly reviewing products on the PL to address any post-listing issues.</w:t>
      </w:r>
    </w:p>
    <w:p w14:paraId="25AE7348" w14:textId="0049A4EB" w:rsidR="00627024" w:rsidRPr="005F62F4" w:rsidRDefault="001310F9" w:rsidP="004536F8">
      <w:pPr>
        <w:pStyle w:val="Para"/>
      </w:pPr>
      <w:r w:rsidRPr="005F62F4">
        <w:t>As</w:t>
      </w:r>
      <w:r w:rsidR="006818BD" w:rsidRPr="005F62F4">
        <w:t xml:space="preserve"> part of implementing these measures</w:t>
      </w:r>
      <w:r w:rsidR="009954DE" w:rsidRPr="005F62F4">
        <w:t>, t</w:t>
      </w:r>
      <w:r w:rsidR="00627024" w:rsidRPr="005F62F4">
        <w:t xml:space="preserve">he </w:t>
      </w:r>
      <w:r w:rsidR="009954DE" w:rsidRPr="005F62F4">
        <w:t>D</w:t>
      </w:r>
      <w:r w:rsidR="00627024" w:rsidRPr="005F62F4">
        <w:t xml:space="preserve">epartment </w:t>
      </w:r>
      <w:r w:rsidR="009954DE" w:rsidRPr="005F62F4">
        <w:t xml:space="preserve">of Health and Aged Care (the </w:t>
      </w:r>
      <w:r w:rsidR="00627024" w:rsidRPr="005F62F4">
        <w:t>department</w:t>
      </w:r>
      <w:r w:rsidR="009954DE" w:rsidRPr="005F62F4">
        <w:t>)</w:t>
      </w:r>
      <w:r w:rsidR="00627024" w:rsidRPr="005F62F4">
        <w:t xml:space="preserve"> developed a framework detailing the processes for </w:t>
      </w:r>
      <w:r w:rsidR="00125027" w:rsidRPr="005F62F4">
        <w:t xml:space="preserve">conducting </w:t>
      </w:r>
      <w:r w:rsidR="00627024" w:rsidRPr="005F62F4">
        <w:t xml:space="preserve">post-listing reviews </w:t>
      </w:r>
      <w:r w:rsidR="00627024" w:rsidRPr="005F62F4">
        <w:fldChar w:fldCharType="begin" w:fldLock="1"/>
      </w:r>
      <w:r w:rsidR="00F47C90" w:rsidRPr="005F62F4">
        <w:instrText>ADDIN CSL_CITATION {"citationItems":[{"id":"ITEM-1","itemData":{"URL":"https://www.health.gov.au/health-topics/private-health-insurance/the-prostheses-list/the-prostheses-list-reforms","accessed":{"date-parts":[["2022","8","11"]]},"author":[{"dropping-particle":"","family":"Department of Health and Aged Care","given":"","non-dropping-particle":"","parse-names":false,"suffix":""}],"container-title":"Department of Health and Aged Care website","id":"ITEM-1","issued":{"date-parts":[["2022"]]},"title":"The Prostheses List reforms","type":"webpage"},"uris":["http://www.mendeley.com/documents/?uuid=fe65c31d-6754-4285-8c0b-fa7fd585d42f"]}],"mendeley":{"formattedCitation":"(Department of Health and Aged Care 2022b)","plainTextFormattedCitation":"(Department of Health and Aged Care 2022b)","previouslyFormattedCitation":"(Department of Health and Aged Care 2022b)"},"properties":{"noteIndex":0},"schema":"https://github.com/citation-style-language/schema/raw/master/csl-citation.json"}</w:instrText>
      </w:r>
      <w:r w:rsidR="00627024" w:rsidRPr="005F62F4">
        <w:fldChar w:fldCharType="separate"/>
      </w:r>
      <w:r w:rsidR="006D6E3B" w:rsidRPr="005F62F4">
        <w:rPr>
          <w:noProof/>
        </w:rPr>
        <w:t>(Department of Health and Aged Care 2022b)</w:t>
      </w:r>
      <w:r w:rsidR="00627024" w:rsidRPr="005F62F4">
        <w:fldChar w:fldCharType="end"/>
      </w:r>
      <w:r w:rsidR="00125027" w:rsidRPr="005F62F4">
        <w:t>. The</w:t>
      </w:r>
      <w:r w:rsidR="00627024" w:rsidRPr="005F62F4">
        <w:t xml:space="preserve"> Prostheses List Advisory Committee (PLAC) </w:t>
      </w:r>
      <w:r w:rsidR="00C4018A" w:rsidRPr="005F62F4">
        <w:t>supported</w:t>
      </w:r>
      <w:r w:rsidR="00627024" w:rsidRPr="005F62F4">
        <w:t xml:space="preserve"> 4 </w:t>
      </w:r>
      <w:r w:rsidR="009F40CC" w:rsidRPr="005F62F4">
        <w:t>device types</w:t>
      </w:r>
      <w:r w:rsidR="00627024" w:rsidRPr="005F62F4">
        <w:t xml:space="preserve"> to trial the post-listing review framework</w:t>
      </w:r>
      <w:r w:rsidR="00571B75" w:rsidRPr="005F62F4">
        <w:t>.</w:t>
      </w:r>
      <w:r w:rsidR="00627024" w:rsidRPr="005F62F4">
        <w:t xml:space="preserve"> </w:t>
      </w:r>
      <w:r w:rsidR="00571B75" w:rsidRPr="005F62F4">
        <w:t>O</w:t>
      </w:r>
      <w:r w:rsidR="00627024" w:rsidRPr="005F62F4">
        <w:t xml:space="preserve">ne of these </w:t>
      </w:r>
      <w:r w:rsidR="009F40CC" w:rsidRPr="005F62F4">
        <w:t xml:space="preserve">device types </w:t>
      </w:r>
      <w:r w:rsidR="00627024" w:rsidRPr="005F62F4">
        <w:t xml:space="preserve">was surgical guides and </w:t>
      </w:r>
      <w:proofErr w:type="spellStart"/>
      <w:r w:rsidR="00627024" w:rsidRPr="005F62F4">
        <w:t>biomodels</w:t>
      </w:r>
      <w:proofErr w:type="spellEnd"/>
      <w:r w:rsidR="007C0BDF" w:rsidRPr="005F62F4">
        <w:t>, which are the subject of this review</w:t>
      </w:r>
      <w:r w:rsidR="00627024" w:rsidRPr="005F62F4">
        <w:t>.</w:t>
      </w:r>
    </w:p>
    <w:p w14:paraId="6FB02C34" w14:textId="77777777" w:rsidR="00C55ACD" w:rsidRPr="005F62F4" w:rsidRDefault="00C55ACD" w:rsidP="00C55ACD">
      <w:bookmarkStart w:id="52" w:name="_Toc120178298"/>
      <w:r w:rsidRPr="005F62F4">
        <w:br w:type="page"/>
      </w:r>
    </w:p>
    <w:p w14:paraId="7FC86D21" w14:textId="6A768875" w:rsidR="00EC3E6D" w:rsidRPr="005F62F4" w:rsidRDefault="00EC3E6D" w:rsidP="00656AB8">
      <w:pPr>
        <w:pStyle w:val="Boxedheading"/>
      </w:pPr>
      <w:r w:rsidRPr="005F62F4">
        <w:lastRenderedPageBreak/>
        <w:t xml:space="preserve">Surgical guides and </w:t>
      </w:r>
      <w:proofErr w:type="spellStart"/>
      <w:r w:rsidRPr="005F62F4">
        <w:t>biomodels</w:t>
      </w:r>
      <w:bookmarkEnd w:id="52"/>
      <w:proofErr w:type="spellEnd"/>
    </w:p>
    <w:p w14:paraId="1BBAB43A" w14:textId="3408492A" w:rsidR="00454C33" w:rsidRPr="005F62F4" w:rsidRDefault="00D617BE" w:rsidP="00656AB8">
      <w:pPr>
        <w:pStyle w:val="Boxed"/>
      </w:pPr>
      <w:r w:rsidRPr="005F62F4">
        <w:t>S</w:t>
      </w:r>
      <w:r w:rsidR="00EC3E6D" w:rsidRPr="005F62F4">
        <w:t xml:space="preserve">urgical guides and </w:t>
      </w:r>
      <w:proofErr w:type="spellStart"/>
      <w:r w:rsidR="00EC3E6D" w:rsidRPr="005F62F4">
        <w:t>biomodels</w:t>
      </w:r>
      <w:proofErr w:type="spellEnd"/>
      <w:r w:rsidR="00EC3E6D" w:rsidRPr="005F62F4">
        <w:t xml:space="preserve"> </w:t>
      </w:r>
      <w:r w:rsidRPr="005F62F4">
        <w:t>are</w:t>
      </w:r>
      <w:r w:rsidR="00EC3E6D" w:rsidRPr="005F62F4">
        <w:t xml:space="preserve"> </w:t>
      </w:r>
      <w:r w:rsidR="00E1769F" w:rsidRPr="005F62F4">
        <w:t>‘</w:t>
      </w:r>
      <w:r w:rsidR="00EC3E6D" w:rsidRPr="005F62F4">
        <w:t>non-implantable, single-use devices used in planning and decision making both pre- and intraoperatively</w:t>
      </w:r>
      <w:r w:rsidR="00E1769F" w:rsidRPr="005F62F4">
        <w:t>’</w:t>
      </w:r>
      <w:r w:rsidR="00EC3E6D" w:rsidRPr="005F62F4">
        <w:t xml:space="preserve"> </w:t>
      </w:r>
      <w:r w:rsidR="00EC3E6D" w:rsidRPr="005F62F4">
        <w:fldChar w:fldCharType="begin" w:fldLock="1"/>
      </w:r>
      <w:r w:rsidR="00F47C90" w:rsidRPr="005F62F4">
        <w:instrText>ADDIN CSL_CITATION {"citationItems":[{"id":"ITEM-1","itemData":{"URL":"https://www.health.gov.au/health-topics/private-health-insurance/the-prostheses-list/the-prostheses-list-reforms","accessed":{"date-parts":[["2022","8","11"]]},"author":[{"dropping-particle":"","family":"Department of Health and Aged Care","given":"","non-dropping-particle":"","parse-names":false,"suffix":""}],"container-title":"Department of Health and Aged Care website","id":"ITEM-1","issued":{"date-parts":[["2022"]]},"title":"The Prostheses List reforms","type":"webpage"},"uris":["http://www.mendeley.com/documents/?uuid=fe65c31d-6754-4285-8c0b-fa7fd585d42f"]}],"mendeley":{"formattedCitation":"(Department of Health and Aged Care 2022b)","plainTextFormattedCitation":"(Department of Health and Aged Care 2022b)","previouslyFormattedCitation":"(Department of Health and Aged Care 2022b)"},"properties":{"noteIndex":0},"schema":"https://github.com/citation-style-language/schema/raw/master/csl-citation.json"}</w:instrText>
      </w:r>
      <w:r w:rsidR="00EC3E6D" w:rsidRPr="005F62F4">
        <w:fldChar w:fldCharType="separate"/>
      </w:r>
      <w:r w:rsidR="006D6E3B" w:rsidRPr="005F62F4">
        <w:rPr>
          <w:noProof/>
        </w:rPr>
        <w:t>(Department of Health and Aged Care 2022b)</w:t>
      </w:r>
      <w:r w:rsidR="00EC3E6D" w:rsidRPr="005F62F4">
        <w:fldChar w:fldCharType="end"/>
      </w:r>
      <w:r w:rsidR="00EC3E6D" w:rsidRPr="005F62F4">
        <w:t>.</w:t>
      </w:r>
      <w:r w:rsidR="00E67B4E" w:rsidRPr="005F62F4">
        <w:rPr>
          <w:rStyle w:val="FootnoteReference"/>
        </w:rPr>
        <w:footnoteReference w:id="3"/>
      </w:r>
      <w:r w:rsidR="003F6FE7" w:rsidRPr="005F62F4">
        <w:t xml:space="preserve"> They </w:t>
      </w:r>
      <w:r w:rsidR="00EC3E6D" w:rsidRPr="005F62F4">
        <w:t>are used across a wide range of surgeries including oral, maxillofacial, cranial, neurological, orthopaedic, cardiovascular, plastic and reconstructive, urology and renal, and ear nose and throat (ENT) surgery.</w:t>
      </w:r>
    </w:p>
    <w:p w14:paraId="14583674" w14:textId="713B8A9F" w:rsidR="00EC3E6D" w:rsidRPr="005F62F4" w:rsidRDefault="00EC3E6D" w:rsidP="007E7887">
      <w:pPr>
        <w:pStyle w:val="Boxed"/>
      </w:pPr>
      <w:r w:rsidRPr="005F62F4">
        <w:rPr>
          <w:b/>
          <w:bCs/>
        </w:rPr>
        <w:t>Surgical guides</w:t>
      </w:r>
      <w:r w:rsidRPr="005F62F4">
        <w:t xml:space="preserve"> </w:t>
      </w:r>
      <w:r w:rsidR="00CD1B1C" w:rsidRPr="005F62F4">
        <w:t xml:space="preserve">are tools </w:t>
      </w:r>
      <w:r w:rsidRPr="005F62F4">
        <w:t xml:space="preserve">designed to transfer the planned surgical and prosthetic components of a procedure to the </w:t>
      </w:r>
      <w:r w:rsidR="00433F8C" w:rsidRPr="005F62F4">
        <w:t>actual</w:t>
      </w:r>
      <w:r w:rsidRPr="005F62F4">
        <w:t xml:space="preserve"> surgery</w:t>
      </w:r>
      <w:r w:rsidR="007B4A91" w:rsidRPr="005F62F4">
        <w:t xml:space="preserve"> </w:t>
      </w:r>
      <w:r w:rsidR="007B4A91" w:rsidRPr="005F62F4">
        <w:fldChar w:fldCharType="begin" w:fldLock="1"/>
      </w:r>
      <w:r w:rsidR="00F7188B" w:rsidRPr="005F62F4">
        <w:instrText>ADDIN CSL_CITATION {"citationItems":[{"id":"ITEM-1","itemData":{"URL":"https://www.oralhealthgroup.com/features/cad-cam-surgical-guides-implantology-new-old-essential/","accessed":{"date-parts":[["2022","10","28"]]},"author":[{"dropping-particle":"","family":"Poitros","given":"Yvan","non-dropping-particle":"","parse-names":false,"suffix":""},{"dropping-particle":"","family":"Pena","given":"Alex","non-dropping-particle":"","parse-names":false,"suffix":""}],"id":"ITEM-1","issued":{"date-parts":[["2016"]]},"title":"CAD-CAM surgical guides for implantology: the new, the old and the essential","type":"webpage"},"uris":["http://www.mendeley.com/documents/?uuid=b9f41b05-c089-47b5-aed5-4e67a6537195"]}],"mendeley":{"formattedCitation":"(Poitros and Pena 2016)","plainTextFormattedCitation":"(Poitros and Pena 2016)","previouslyFormattedCitation":"(Poitros and Pena 2016)"},"properties":{"noteIndex":0},"schema":"https://github.com/citation-style-language/schema/raw/master/csl-citation.json"}</w:instrText>
      </w:r>
      <w:r w:rsidR="007B4A91" w:rsidRPr="005F62F4">
        <w:fldChar w:fldCharType="separate"/>
      </w:r>
      <w:r w:rsidR="007B4A91" w:rsidRPr="005F62F4">
        <w:rPr>
          <w:noProof/>
        </w:rPr>
        <w:t>(Poitros and Pena 2016)</w:t>
      </w:r>
      <w:r w:rsidR="007B4A91" w:rsidRPr="005F62F4">
        <w:fldChar w:fldCharType="end"/>
      </w:r>
      <w:r w:rsidRPr="005F62F4">
        <w:t xml:space="preserve">. </w:t>
      </w:r>
      <w:r w:rsidR="00AF4B68" w:rsidRPr="005F62F4">
        <w:t>They</w:t>
      </w:r>
      <w:r w:rsidRPr="005F62F4">
        <w:t xml:space="preserve"> are </w:t>
      </w:r>
      <w:r w:rsidR="009D18D4" w:rsidRPr="005F62F4">
        <w:t>contoured</w:t>
      </w:r>
      <w:r w:rsidRPr="005F62F4">
        <w:t xml:space="preserve"> to each patient’s </w:t>
      </w:r>
      <w:r w:rsidR="00D26E92" w:rsidRPr="005F62F4">
        <w:t xml:space="preserve">specific </w:t>
      </w:r>
      <w:r w:rsidRPr="005F62F4">
        <w:t>anatom</w:t>
      </w:r>
      <w:r w:rsidR="00D26E92" w:rsidRPr="005F62F4">
        <w:t>y</w:t>
      </w:r>
      <w:r w:rsidRPr="005F62F4">
        <w:t xml:space="preserve"> and are designed to avoid critical structures</w:t>
      </w:r>
      <w:r w:rsidR="00880F77" w:rsidRPr="005F62F4">
        <w:t>.</w:t>
      </w:r>
      <w:r w:rsidR="00723DF7" w:rsidRPr="005F62F4">
        <w:t xml:space="preserve"> </w:t>
      </w:r>
      <w:r w:rsidRPr="005F62F4">
        <w:t xml:space="preserve">This enables </w:t>
      </w:r>
      <w:r w:rsidR="002934F0" w:rsidRPr="005F62F4">
        <w:t xml:space="preserve">precise cutting of bone or drilling of holes as needed for </w:t>
      </w:r>
      <w:r w:rsidRPr="005F62F4">
        <w:t>the accurate placement of an implant in a pre-planned location</w:t>
      </w:r>
      <w:r w:rsidR="007E67F2" w:rsidRPr="005F62F4">
        <w:t xml:space="preserve"> </w:t>
      </w:r>
      <w:r w:rsidR="007E67F2" w:rsidRPr="005F62F4">
        <w:fldChar w:fldCharType="begin" w:fldLock="1"/>
      </w:r>
      <w:r w:rsidR="007E67F2" w:rsidRPr="005F62F4">
        <w:instrText>ADDIN CSL_CITATION {"citationItems":[{"id":"ITEM-1","itemData":{"author":[{"dropping-particle":"","family":"Francoisse","given":"CA","non-dropping-particle":"","parse-names":false,"suffix":""},{"dropping-particle":"","family":"Sescleifer","given":"AM","non-dropping-particle":"","parse-names":false,"suffix":""},{"dropping-particle":"","family":"King","given":"WT","non-dropping-particle":"","parse-names":false,"suffix":""},{"dropping-particle":"","family":"Lin","given":"AY","non-dropping-particle":"","parse-names":false,"suffix":""}],"container-title":"Pediatric Research","id":"ITEM-1","issue":"415-425","issued":{"date-parts":[["2020"]]},"title":"Three-dimensional printing in medicine: a systematic review of pediatric applications","type":"article-journal","volume":"89"},"uris":["http://www.mendeley.com/documents/?uuid=9194c245-ce1e-4fc8-96e0-2785fb337851"]}],"mendeley":{"formattedCitation":"(Francoisse et al. 2020)","plainTextFormattedCitation":"(Francoisse et al. 2020)","previouslyFormattedCitation":"(Francoisse et al. 2020)"},"properties":{"noteIndex":0},"schema":"https://github.com/citation-style-language/schema/raw/master/csl-citation.json"}</w:instrText>
      </w:r>
      <w:r w:rsidR="007E67F2" w:rsidRPr="005F62F4">
        <w:fldChar w:fldCharType="separate"/>
      </w:r>
      <w:r w:rsidR="007E67F2" w:rsidRPr="005F62F4">
        <w:rPr>
          <w:noProof/>
        </w:rPr>
        <w:t>(Francoisse et al. 2020)</w:t>
      </w:r>
      <w:r w:rsidR="007E67F2" w:rsidRPr="005F62F4">
        <w:fldChar w:fldCharType="end"/>
      </w:r>
      <w:r w:rsidR="007E67F2" w:rsidRPr="005F62F4">
        <w:t>.</w:t>
      </w:r>
      <w:r w:rsidR="0001650B" w:rsidRPr="005F62F4">
        <w:t xml:space="preserve"> Surgical guides include surgical templates, pilot guides, cutting and drilling guides, splints and jigs.</w:t>
      </w:r>
      <w:r w:rsidR="00050519" w:rsidRPr="005F62F4">
        <w:rPr>
          <w:rStyle w:val="FootnoteReference"/>
        </w:rPr>
        <w:footnoteReference w:id="4"/>
      </w:r>
    </w:p>
    <w:p w14:paraId="0652AD92" w14:textId="042D534D" w:rsidR="00D85685" w:rsidRPr="005F62F4" w:rsidRDefault="00EC3E6D" w:rsidP="007E7887">
      <w:pPr>
        <w:pStyle w:val="Boxed"/>
      </w:pPr>
      <w:proofErr w:type="spellStart"/>
      <w:r w:rsidRPr="005F62F4">
        <w:rPr>
          <w:b/>
          <w:bCs/>
        </w:rPr>
        <w:t>Biomodels</w:t>
      </w:r>
      <w:proofErr w:type="spellEnd"/>
      <w:r w:rsidRPr="005F62F4">
        <w:rPr>
          <w:b/>
        </w:rPr>
        <w:t xml:space="preserve"> </w:t>
      </w:r>
      <w:r w:rsidRPr="005F62F4">
        <w:t>are derived from patient imaging data to replicate the geometry or morphology (i.e.</w:t>
      </w:r>
      <w:r w:rsidR="001F26E6" w:rsidRPr="005F62F4">
        <w:t> </w:t>
      </w:r>
      <w:r w:rsidRPr="005F62F4">
        <w:t xml:space="preserve">the form or shape) of a biological structure </w:t>
      </w:r>
      <w:r w:rsidRPr="005F62F4">
        <w:fldChar w:fldCharType="begin" w:fldLock="1"/>
      </w:r>
      <w:r w:rsidR="00F7188B" w:rsidRPr="005F62F4">
        <w:instrText>ADDIN CSL_CITATION {"citationItems":[{"id":"ITEM-1","itemData":{"DOI":"10.1007/S10439-005-5873-X","ISSN":"00906964","PMID":"16240079","abstract":"In this paper, a definition of a biomodel is presented, based on which different specific types of biomodels are identified, viz., virtual biomodels, computational biomodels, and physical biomodels. The paper then focuses on both physical and virtual biomodels of bone, and presents a review of model generation methodologies, giving examples of typical biomodel applications. The use of macroscale biomodels for such issues as the design and preclinical testing of surgical implants and preoperative planning is discussed. At the microscale, biomodels of trabecular bone are examined and the link with scaffolds for tissue engineering is established. Conclusions are drawn on the state of the art, and the major developments necessary for the continued expansion of the field are identified. Finally, arguments are given on the benefits of integrating the use of the different types of biomodels reviewed in this paper, for the benefit of future research in biomechanics and biomaterials. © 2005 Biomedical Engineering Society.","author":[{"dropping-particle":"","family":"Lohfeld","given":"S.","non-dropping-particle":"","parse-names":false,"suffix":""},{"dropping-particle":"","family":"Barron","given":"V.","non-dropping-particle":"","parse-names":false,"suffix":""},{"dropping-particle":"","family":"McHugh","given":"P. E.","non-dropping-particle":"","parse-names":false,"suffix":""}],"container-title":"Annals of Biomedical Engineering","id":"ITEM-1","issue":"10","issued":{"date-parts":[["2005","10"]]},"page":"1295-1311","title":"Biomodels of bone: a review","type":"article-journal","volume":"33"},"uris":["http://www.mendeley.com/documents/?uuid=91096577-ac72-34e2-bbb9-e7911b331ffc"]}],"mendeley":{"formattedCitation":"(Lohfeld et al. 2005)","plainTextFormattedCitation":"(Lohfeld et al. 2005)","previouslyFormattedCitation":"(Lohfeld et al. 2005)"},"properties":{"noteIndex":0},"schema":"https://github.com/citation-style-language/schema/raw/master/csl-citation.json"}</w:instrText>
      </w:r>
      <w:r w:rsidRPr="005F62F4">
        <w:fldChar w:fldCharType="separate"/>
      </w:r>
      <w:r w:rsidRPr="005F62F4">
        <w:rPr>
          <w:noProof/>
        </w:rPr>
        <w:t>(Lohfeld et al. 2005)</w:t>
      </w:r>
      <w:r w:rsidRPr="005F62F4">
        <w:fldChar w:fldCharType="end"/>
      </w:r>
      <w:r w:rsidRPr="005F62F4">
        <w:t>.</w:t>
      </w:r>
      <w:r w:rsidR="00F83590" w:rsidRPr="005F62F4">
        <w:t xml:space="preserve"> They</w:t>
      </w:r>
      <w:r w:rsidRPr="005F62F4">
        <w:t xml:space="preserve"> can</w:t>
      </w:r>
      <w:r w:rsidR="00F83590" w:rsidRPr="005F62F4">
        <w:t xml:space="preserve"> help </w:t>
      </w:r>
      <w:r w:rsidR="002E1C0D" w:rsidRPr="005F62F4">
        <w:t xml:space="preserve">clinicians to </w:t>
      </w:r>
      <w:r w:rsidRPr="005F62F4">
        <w:t>visualis</w:t>
      </w:r>
      <w:r w:rsidR="002E1C0D" w:rsidRPr="005F62F4">
        <w:t>e</w:t>
      </w:r>
      <w:r w:rsidRPr="005F62F4">
        <w:t xml:space="preserve"> abnormal or disturbed anatomy</w:t>
      </w:r>
      <w:r w:rsidR="00D8753D" w:rsidRPr="005F62F4">
        <w:t xml:space="preserve"> and are used for</w:t>
      </w:r>
      <w:r w:rsidRPr="005F62F4">
        <w:t xml:space="preserve"> diagnosis, surgical treatment planning and simulation, patient education, </w:t>
      </w:r>
      <w:r w:rsidR="00D8753D" w:rsidRPr="005F62F4">
        <w:t xml:space="preserve">and </w:t>
      </w:r>
      <w:r w:rsidRPr="005F62F4">
        <w:t>designing and fabricating patient-specific prostheses</w:t>
      </w:r>
      <w:r w:rsidR="00D8753D" w:rsidRPr="005F62F4">
        <w:t>. They</w:t>
      </w:r>
      <w:r w:rsidRPr="005F62F4">
        <w:t xml:space="preserve"> can </w:t>
      </w:r>
      <w:r w:rsidR="006E0511" w:rsidRPr="005F62F4">
        <w:t xml:space="preserve">also </w:t>
      </w:r>
      <w:r w:rsidRPr="005F62F4">
        <w:t>serve as an intraoperative anatomical reference, including for surgeries involving the placement of an implant</w:t>
      </w:r>
      <w:r w:rsidR="00587AA1" w:rsidRPr="005F62F4">
        <w:t xml:space="preserve"> or </w:t>
      </w:r>
      <w:r w:rsidRPr="005F62F4">
        <w:t>prosthesis.</w:t>
      </w:r>
    </w:p>
    <w:p w14:paraId="5BE1B416" w14:textId="3CEBB0B1" w:rsidR="00FF55ED" w:rsidRPr="005F62F4" w:rsidRDefault="001508EE" w:rsidP="007E7887">
      <w:pPr>
        <w:pStyle w:val="Boxed"/>
      </w:pPr>
      <w:proofErr w:type="spellStart"/>
      <w:r w:rsidRPr="005F62F4">
        <w:t>Biomodels</w:t>
      </w:r>
      <w:proofErr w:type="spellEnd"/>
      <w:r w:rsidRPr="005F62F4">
        <w:t xml:space="preserve"> </w:t>
      </w:r>
      <w:r w:rsidR="003C45EF" w:rsidRPr="005F62F4">
        <w:t>can</w:t>
      </w:r>
      <w:r w:rsidRPr="005F62F4">
        <w:t xml:space="preserve"> be either digital representations</w:t>
      </w:r>
      <w:r w:rsidR="00A24E5D" w:rsidRPr="005F62F4">
        <w:t xml:space="preserve"> (virtual mode</w:t>
      </w:r>
      <w:r w:rsidR="00EA175C" w:rsidRPr="005F62F4">
        <w:t>l</w:t>
      </w:r>
      <w:r w:rsidR="00A24E5D" w:rsidRPr="005F62F4">
        <w:t>s)</w:t>
      </w:r>
      <w:r w:rsidRPr="005F62F4">
        <w:t xml:space="preserve"> or </w:t>
      </w:r>
      <w:r w:rsidR="00A91156" w:rsidRPr="005F62F4">
        <w:t>physical</w:t>
      </w:r>
      <w:r w:rsidRPr="005F62F4">
        <w:t xml:space="preserve"> </w:t>
      </w:r>
      <w:r w:rsidR="00D51D46" w:rsidRPr="005F62F4">
        <w:t>models</w:t>
      </w:r>
      <w:r w:rsidR="003C45EF" w:rsidRPr="005F62F4">
        <w:t xml:space="preserve">; however, the only </w:t>
      </w:r>
      <w:proofErr w:type="spellStart"/>
      <w:r w:rsidR="003C45EF" w:rsidRPr="005F62F4">
        <w:t>biomodels</w:t>
      </w:r>
      <w:proofErr w:type="spellEnd"/>
      <w:r w:rsidR="003C45EF" w:rsidRPr="005F62F4">
        <w:t xml:space="preserve"> listed on the PL – and therefore in</w:t>
      </w:r>
      <w:r w:rsidR="00966F92" w:rsidRPr="005F62F4">
        <w:t xml:space="preserve"> </w:t>
      </w:r>
      <w:r w:rsidR="003C45EF" w:rsidRPr="005F62F4">
        <w:t>scope for this review –</w:t>
      </w:r>
      <w:r w:rsidR="00A91156" w:rsidRPr="005F62F4">
        <w:t xml:space="preserve"> are physical models.</w:t>
      </w:r>
    </w:p>
    <w:p w14:paraId="7EC97B52" w14:textId="1F7E06B5" w:rsidR="00340CE0" w:rsidRPr="005F62F4" w:rsidRDefault="00340CE0" w:rsidP="00340CE0">
      <w:r w:rsidRPr="005F62F4">
        <w:br w:type="page"/>
      </w:r>
    </w:p>
    <w:p w14:paraId="3034EB9D" w14:textId="51A18189" w:rsidR="00766E32" w:rsidRPr="005F62F4" w:rsidRDefault="00BD5771" w:rsidP="002B57E2">
      <w:pPr>
        <w:pStyle w:val="Heading3"/>
      </w:pPr>
      <w:r w:rsidRPr="005F62F4">
        <w:lastRenderedPageBreak/>
        <w:t>Criteria for listing</w:t>
      </w:r>
    </w:p>
    <w:p w14:paraId="557B5823" w14:textId="06193AD1" w:rsidR="00766E32" w:rsidRPr="005F62F4" w:rsidRDefault="00766E32" w:rsidP="002B57E2">
      <w:pPr>
        <w:pStyle w:val="Para"/>
        <w:numPr>
          <w:ilvl w:val="0"/>
          <w:numId w:val="10"/>
        </w:numPr>
        <w:spacing w:before="120"/>
      </w:pPr>
      <w:r w:rsidRPr="005F62F4">
        <w:t xml:space="preserve">The process and criteria for listing products on the PL, and for setting the benefit, are outlined in </w:t>
      </w:r>
      <w:r w:rsidRPr="005F62F4">
        <w:rPr>
          <w:rStyle w:val="BookTitle"/>
        </w:rPr>
        <w:t>Prostheses List: Guide to listing and setting benefits for prostheses</w:t>
      </w:r>
      <w:r w:rsidRPr="005F62F4">
        <w:t xml:space="preserve"> (PL guide) (Department of Health 2017).</w:t>
      </w:r>
      <w:r w:rsidRPr="005F62F4" w:rsidDel="006818BD">
        <w:t xml:space="preserve"> </w:t>
      </w:r>
      <w:r w:rsidRPr="005F62F4">
        <w:t xml:space="preserve">For a product to be listed on the PL, </w:t>
      </w:r>
      <w:r w:rsidR="00BC5E66" w:rsidRPr="005F62F4">
        <w:t xml:space="preserve">or for a listing to be modified, </w:t>
      </w:r>
      <w:r w:rsidRPr="005F62F4">
        <w:t xml:space="preserve">a product sponsor (typically the supplier) must </w:t>
      </w:r>
      <w:proofErr w:type="gramStart"/>
      <w:r w:rsidRPr="005F62F4">
        <w:t>submit an application</w:t>
      </w:r>
      <w:proofErr w:type="gramEnd"/>
      <w:r w:rsidRPr="005F62F4">
        <w:t xml:space="preserve"> to the department. Applications are assessed by the P</w:t>
      </w:r>
      <w:r w:rsidR="00F44B0B">
        <w:t>LAC</w:t>
      </w:r>
      <w:r w:rsidRPr="005F62F4">
        <w:t>, who makes recommendations about which products should be included on the PL.</w:t>
      </w:r>
      <w:r w:rsidRPr="005F62F4">
        <w:rPr>
          <w:rStyle w:val="FootnoteReference"/>
        </w:rPr>
        <w:footnoteReference w:id="5"/>
      </w:r>
      <w:r w:rsidR="00CA3515" w:rsidRPr="005F62F4">
        <w:t xml:space="preserve"> </w:t>
      </w:r>
      <w:r w:rsidRPr="005F62F4">
        <w:t xml:space="preserve">The PL is updated 3 times a year (in March, July and November); at the time </w:t>
      </w:r>
      <w:r w:rsidR="004D7BFA" w:rsidRPr="005F62F4">
        <w:t>this review was conducted</w:t>
      </w:r>
      <w:r w:rsidRPr="005F62F4">
        <w:t>, the latest version was 1 November 2022.</w:t>
      </w:r>
    </w:p>
    <w:p w14:paraId="35C84B40" w14:textId="148F2C94" w:rsidR="007E1DB3" w:rsidRPr="005F62F4" w:rsidDel="001705F4" w:rsidRDefault="00340CE0" w:rsidP="007E1DB3">
      <w:pPr>
        <w:pStyle w:val="Para"/>
      </w:pPr>
      <w:r w:rsidRPr="005F62F4">
        <w:t>The PL is currently separated into 4 parts (A, B, C and D), which collectively contain more than 11,000 products.</w:t>
      </w:r>
      <w:r w:rsidR="00091FD6" w:rsidRPr="005F62F4">
        <w:rPr>
          <w:rStyle w:val="FootnoteReference"/>
        </w:rPr>
        <w:footnoteReference w:id="6"/>
      </w:r>
      <w:r w:rsidRPr="005F62F4">
        <w:t xml:space="preserve"> Part A lists products that are surgically implanted, and associated products such as surgical guides and </w:t>
      </w:r>
      <w:proofErr w:type="spellStart"/>
      <w:r w:rsidRPr="005F62F4">
        <w:t>biomodels</w:t>
      </w:r>
      <w:proofErr w:type="spellEnd"/>
      <w:r w:rsidRPr="005F62F4">
        <w:t xml:space="preserve">. </w:t>
      </w:r>
      <w:r w:rsidR="007E1DB3" w:rsidRPr="005F62F4" w:rsidDel="001705F4">
        <w:t xml:space="preserve">Surgical guides and </w:t>
      </w:r>
      <w:proofErr w:type="spellStart"/>
      <w:r w:rsidR="007E1DB3" w:rsidRPr="005F62F4" w:rsidDel="001705F4">
        <w:t>biomodels</w:t>
      </w:r>
      <w:proofErr w:type="spellEnd"/>
      <w:r w:rsidR="007E1DB3" w:rsidRPr="005F62F4" w:rsidDel="001705F4">
        <w:t xml:space="preserve"> were first added to the PL in 2013-14, and there </w:t>
      </w:r>
      <w:r w:rsidR="0073682B" w:rsidRPr="005F62F4">
        <w:t>were</w:t>
      </w:r>
      <w:r w:rsidR="007E1DB3" w:rsidRPr="005F62F4" w:rsidDel="001705F4">
        <w:t xml:space="preserve"> 32 </w:t>
      </w:r>
      <w:r w:rsidR="00523A09" w:rsidRPr="005F62F4">
        <w:t xml:space="preserve">in-scope </w:t>
      </w:r>
      <w:r w:rsidR="0073682B" w:rsidRPr="005F62F4">
        <w:t xml:space="preserve">products </w:t>
      </w:r>
      <w:r w:rsidR="007E1DB3" w:rsidRPr="005F62F4" w:rsidDel="001705F4">
        <w:t>listed at the time of this review.</w:t>
      </w:r>
    </w:p>
    <w:p w14:paraId="00913A67" w14:textId="3BF34FB1" w:rsidR="003F3C7F" w:rsidRPr="005F62F4" w:rsidRDefault="003F3C7F" w:rsidP="00A25C2F">
      <w:pPr>
        <w:pStyle w:val="Para"/>
      </w:pPr>
      <w:r w:rsidRPr="005F62F4">
        <w:t>The criteria for listing</w:t>
      </w:r>
      <w:r w:rsidR="000E1E23" w:rsidRPr="005F62F4">
        <w:t xml:space="preserve"> in Part A are detailed below. </w:t>
      </w:r>
      <w:r w:rsidRPr="005F62F4">
        <w:t>Criteria</w:t>
      </w:r>
      <w:r w:rsidR="000E1E23" w:rsidRPr="005F62F4">
        <w:t> </w:t>
      </w:r>
      <w:r w:rsidRPr="005F62F4">
        <w:t>1 to 3 are mandated by legislation</w:t>
      </w:r>
      <w:r w:rsidR="000E1E23" w:rsidRPr="005F62F4">
        <w:t>,</w:t>
      </w:r>
      <w:r w:rsidRPr="005F62F4">
        <w:t xml:space="preserve"> and criteria 4 and 5, while not legislatively based, need to be fulfilled </w:t>
      </w:r>
      <w:proofErr w:type="gramStart"/>
      <w:r w:rsidRPr="005F62F4">
        <w:t>in order for</w:t>
      </w:r>
      <w:proofErr w:type="gramEnd"/>
      <w:r w:rsidRPr="005F62F4">
        <w:t xml:space="preserve"> a product to be listed, as agreed by PLAC.</w:t>
      </w:r>
    </w:p>
    <w:p w14:paraId="3184653E" w14:textId="19085252" w:rsidR="00BD5771" w:rsidRPr="005F62F4" w:rsidRDefault="00BD5771" w:rsidP="002C5262">
      <w:pPr>
        <w:pStyle w:val="Criteria"/>
        <w:spacing w:before="100"/>
        <w:ind w:left="284" w:hanging="284"/>
      </w:pPr>
      <w:r w:rsidRPr="005F62F4">
        <w:t>1.</w:t>
      </w:r>
      <w:r w:rsidR="00FA45FF" w:rsidRPr="005F62F4">
        <w:tab/>
      </w:r>
      <w:r w:rsidRPr="005F62F4">
        <w:t>The product must be entered and current on the Australian Register of Therapeutic Goods</w:t>
      </w:r>
    </w:p>
    <w:p w14:paraId="3F2CCEFE" w14:textId="6F4AD68C" w:rsidR="00BD5771" w:rsidRPr="005F62F4" w:rsidRDefault="00BD5771" w:rsidP="002C5262">
      <w:pPr>
        <w:pStyle w:val="Criteria"/>
        <w:spacing w:before="100"/>
        <w:ind w:left="284" w:hanging="284"/>
      </w:pPr>
      <w:r w:rsidRPr="005F62F4">
        <w:t>2.</w:t>
      </w:r>
      <w:r w:rsidR="00FA45FF" w:rsidRPr="005F62F4">
        <w:tab/>
      </w:r>
      <w:r w:rsidRPr="005F62F4">
        <w:t>The product must be provided to a person as part of an episode of hospital treatment or hospital-substitute treatment</w:t>
      </w:r>
    </w:p>
    <w:p w14:paraId="350DCD73" w14:textId="2515B2FF" w:rsidR="00BD5771" w:rsidRPr="005F62F4" w:rsidRDefault="00BD5771" w:rsidP="002C5262">
      <w:pPr>
        <w:pStyle w:val="Criteria"/>
        <w:spacing w:before="100"/>
        <w:ind w:left="284" w:hanging="284"/>
      </w:pPr>
      <w:r w:rsidRPr="005F62F4">
        <w:t>3.</w:t>
      </w:r>
      <w:r w:rsidR="00FA45FF" w:rsidRPr="005F62F4">
        <w:tab/>
      </w:r>
      <w:r w:rsidRPr="005F62F4">
        <w:t>A Medicare benefit must be payable in respect of the professional service associated with the provision of the product (or the provision of the product is associated with podiatric treatment by an accredited podiatrist)</w:t>
      </w:r>
    </w:p>
    <w:p w14:paraId="6D8F932F" w14:textId="4C80971C" w:rsidR="00BD5771" w:rsidRPr="005F62F4" w:rsidRDefault="00BD5771" w:rsidP="002C5262">
      <w:pPr>
        <w:pStyle w:val="Criteria"/>
        <w:spacing w:before="100" w:after="0"/>
        <w:ind w:left="284" w:hanging="284"/>
      </w:pPr>
      <w:r w:rsidRPr="005F62F4">
        <w:t>4.</w:t>
      </w:r>
      <w:r w:rsidR="00FA45FF" w:rsidRPr="005F62F4">
        <w:tab/>
      </w:r>
      <w:r w:rsidRPr="005F62F4">
        <w:t>A prosthesis should:</w:t>
      </w:r>
    </w:p>
    <w:p w14:paraId="380E6D2F" w14:textId="7C31E908" w:rsidR="00BD5771" w:rsidRPr="005F62F4" w:rsidRDefault="00FA45FF" w:rsidP="00C06DEB">
      <w:pPr>
        <w:pStyle w:val="Criteria"/>
        <w:spacing w:before="0" w:after="0"/>
        <w:ind w:left="284" w:hanging="284"/>
      </w:pPr>
      <w:r w:rsidRPr="005F62F4">
        <w:tab/>
      </w:r>
      <w:r w:rsidR="00BD5771" w:rsidRPr="005F62F4">
        <w:t>(a)</w:t>
      </w:r>
      <w:r w:rsidRPr="005F62F4">
        <w:tab/>
      </w:r>
      <w:r w:rsidR="00BD5771" w:rsidRPr="005F62F4">
        <w:t xml:space="preserve">be surgically implanted in the patient and be purposely designed </w:t>
      </w:r>
      <w:proofErr w:type="gramStart"/>
      <w:r w:rsidR="00BD5771" w:rsidRPr="005F62F4">
        <w:t>in order to</w:t>
      </w:r>
      <w:proofErr w:type="gramEnd"/>
    </w:p>
    <w:p w14:paraId="1C7F6856" w14:textId="77777777" w:rsidR="00BD5771" w:rsidRPr="005F62F4" w:rsidRDefault="00BD5771" w:rsidP="00B34D73">
      <w:pPr>
        <w:pStyle w:val="Criteria"/>
        <w:spacing w:before="0" w:after="0"/>
        <w:ind w:left="284" w:hanging="284"/>
      </w:pPr>
      <w:r w:rsidRPr="005F62F4">
        <w:tab/>
      </w:r>
      <w:r w:rsidRPr="005F62F4">
        <w:tab/>
        <w:t>(</w:t>
      </w:r>
      <w:proofErr w:type="spellStart"/>
      <w:r w:rsidRPr="005F62F4">
        <w:t>i</w:t>
      </w:r>
      <w:proofErr w:type="spellEnd"/>
      <w:r w:rsidRPr="005F62F4">
        <w:t>) replace an anatomical body part; or</w:t>
      </w:r>
    </w:p>
    <w:p w14:paraId="5ED270ED" w14:textId="00451ADD" w:rsidR="00BD5771" w:rsidRPr="005F62F4" w:rsidRDefault="00BD5771" w:rsidP="00B34D73">
      <w:pPr>
        <w:pStyle w:val="Criteria"/>
        <w:spacing w:before="0" w:after="0"/>
        <w:ind w:left="284" w:hanging="284"/>
      </w:pPr>
      <w:r w:rsidRPr="005F62F4">
        <w:tab/>
      </w:r>
      <w:r w:rsidRPr="005F62F4">
        <w:tab/>
        <w:t>(ii) combat a pathological process; or</w:t>
      </w:r>
    </w:p>
    <w:p w14:paraId="4A430B17" w14:textId="77777777" w:rsidR="00BD5771" w:rsidRPr="005F62F4" w:rsidRDefault="00BD5771" w:rsidP="00B34D73">
      <w:pPr>
        <w:pStyle w:val="Criteria"/>
        <w:spacing w:before="0" w:after="0"/>
        <w:ind w:left="284" w:hanging="284"/>
      </w:pPr>
      <w:r w:rsidRPr="005F62F4">
        <w:tab/>
      </w:r>
      <w:r w:rsidRPr="005F62F4">
        <w:tab/>
        <w:t xml:space="preserve">(iii) modulate a physiological </w:t>
      </w:r>
      <w:proofErr w:type="gramStart"/>
      <w:r w:rsidRPr="005F62F4">
        <w:t>process;</w:t>
      </w:r>
      <w:proofErr w:type="gramEnd"/>
    </w:p>
    <w:p w14:paraId="090D46C7" w14:textId="7624306D" w:rsidR="00BD5771" w:rsidRPr="005F62F4" w:rsidRDefault="00B34D73" w:rsidP="003B3317">
      <w:pPr>
        <w:pStyle w:val="Criteria"/>
        <w:spacing w:before="60" w:after="60"/>
        <w:ind w:left="284" w:hanging="284"/>
      </w:pPr>
      <w:r w:rsidRPr="005F62F4">
        <w:tab/>
      </w:r>
      <w:r w:rsidR="00BD5771" w:rsidRPr="005F62F4">
        <w:t>Or</w:t>
      </w:r>
    </w:p>
    <w:p w14:paraId="5D60F677" w14:textId="21C5CC46" w:rsidR="00BD5771" w:rsidRPr="005F62F4" w:rsidRDefault="00BD5771" w:rsidP="009A3498">
      <w:pPr>
        <w:pStyle w:val="Criteria"/>
        <w:spacing w:before="60"/>
        <w:ind w:left="567" w:hanging="567"/>
      </w:pPr>
      <w:r w:rsidRPr="005F62F4">
        <w:tab/>
        <w:t>(b)</w:t>
      </w:r>
      <w:r w:rsidR="00FA45FF" w:rsidRPr="005F62F4">
        <w:tab/>
      </w:r>
      <w:r w:rsidRPr="005F62F4">
        <w:t>be essential to and specifically designed as an integral single-use aid for implanting a product, described in (a) (</w:t>
      </w:r>
      <w:proofErr w:type="spellStart"/>
      <w:r w:rsidRPr="005F62F4">
        <w:t>i</w:t>
      </w:r>
      <w:proofErr w:type="spellEnd"/>
      <w:r w:rsidRPr="005F62F4">
        <w:t>), (ii) or (iii) above, which is only suitable for use with the patient in whom that product is implanted</w:t>
      </w:r>
    </w:p>
    <w:p w14:paraId="6BDC1995" w14:textId="3C3A505A" w:rsidR="00BD5771" w:rsidRPr="005F62F4" w:rsidRDefault="00BD5771" w:rsidP="002C5262">
      <w:pPr>
        <w:pStyle w:val="Criteria"/>
        <w:spacing w:before="100" w:after="0"/>
        <w:ind w:left="284" w:hanging="284"/>
      </w:pPr>
      <w:r w:rsidRPr="005F62F4">
        <w:t>5)</w:t>
      </w:r>
      <w:r w:rsidR="00FA45FF" w:rsidRPr="005F62F4">
        <w:tab/>
      </w:r>
      <w:r w:rsidRPr="005F62F4">
        <w:t>The product has been compared to alternative products on the Prostheses List or alternative treatments and</w:t>
      </w:r>
    </w:p>
    <w:p w14:paraId="75CE479C" w14:textId="3832D1F7" w:rsidR="00BD5771" w:rsidRPr="005F62F4" w:rsidRDefault="00FA45FF" w:rsidP="006F21C7">
      <w:pPr>
        <w:pStyle w:val="Criteria"/>
        <w:spacing w:before="0" w:after="0"/>
        <w:ind w:left="284" w:hanging="284"/>
      </w:pPr>
      <w:r w:rsidRPr="005F62F4">
        <w:tab/>
      </w:r>
      <w:r w:rsidR="00BD5771" w:rsidRPr="005F62F4">
        <w:t>(</w:t>
      </w:r>
      <w:proofErr w:type="spellStart"/>
      <w:r w:rsidR="00BD5771" w:rsidRPr="005F62F4">
        <w:t>i</w:t>
      </w:r>
      <w:proofErr w:type="spellEnd"/>
      <w:r w:rsidR="00BD5771" w:rsidRPr="005F62F4">
        <w:t>) assessed as being, at least, of similar clinical effectiveness; and</w:t>
      </w:r>
    </w:p>
    <w:p w14:paraId="059E2DD4" w14:textId="59D40AA1" w:rsidR="00BD5771" w:rsidRPr="005F62F4" w:rsidRDefault="00B60FE2" w:rsidP="006F21C7">
      <w:pPr>
        <w:pStyle w:val="Criteria"/>
        <w:spacing w:before="0" w:after="0"/>
        <w:ind w:left="284" w:hanging="284"/>
      </w:pPr>
      <w:r w:rsidRPr="005F62F4">
        <w:tab/>
      </w:r>
      <w:r w:rsidR="00BD5771" w:rsidRPr="005F62F4">
        <w:t>(ii) the cost of the product is relative to its clinical effectiveness.</w:t>
      </w:r>
    </w:p>
    <w:p w14:paraId="11C02104" w14:textId="3B78C90C" w:rsidR="008F19DD" w:rsidRPr="005F62F4" w:rsidRDefault="00E61458" w:rsidP="00933831">
      <w:pPr>
        <w:pStyle w:val="Heading3"/>
      </w:pPr>
      <w:r w:rsidRPr="005F62F4">
        <w:lastRenderedPageBreak/>
        <w:t>Product categories, groupings and b</w:t>
      </w:r>
      <w:r w:rsidR="003E6CEB" w:rsidRPr="005F62F4">
        <w:t>enefits</w:t>
      </w:r>
    </w:p>
    <w:p w14:paraId="7424E845" w14:textId="44C7830A" w:rsidR="00C63E2E" w:rsidRPr="005F62F4" w:rsidRDefault="00F616A4" w:rsidP="00C63E2E">
      <w:pPr>
        <w:pStyle w:val="Para"/>
      </w:pPr>
      <w:r w:rsidRPr="005F62F4">
        <w:t>The PL is divided into product categories, subcategories, groups and sub-groups</w:t>
      </w:r>
      <w:r w:rsidR="008F1023" w:rsidRPr="005F62F4">
        <w:t>, based on</w:t>
      </w:r>
      <w:r w:rsidRPr="005F62F4">
        <w:t xml:space="preserve"> </w:t>
      </w:r>
      <w:r w:rsidR="001739D4" w:rsidRPr="005F62F4">
        <w:t xml:space="preserve">clinical </w:t>
      </w:r>
      <w:r w:rsidR="00370FEA" w:rsidRPr="005F62F4">
        <w:t>use and</w:t>
      </w:r>
      <w:r w:rsidR="001739D4" w:rsidRPr="005F62F4">
        <w:t xml:space="preserve"> effectiveness</w:t>
      </w:r>
      <w:r w:rsidR="001D72F0" w:rsidRPr="005F62F4">
        <w:t>.</w:t>
      </w:r>
    </w:p>
    <w:p w14:paraId="7935FBCF" w14:textId="6562C2E1" w:rsidR="00B4613E" w:rsidRPr="005F62F4" w:rsidRDefault="003E6CEB" w:rsidP="00884895">
      <w:pPr>
        <w:pStyle w:val="ParaKeep"/>
      </w:pPr>
      <w:r w:rsidRPr="005F62F4">
        <w:t xml:space="preserve">All surgical guides and </w:t>
      </w:r>
      <w:proofErr w:type="spellStart"/>
      <w:r w:rsidRPr="005F62F4">
        <w:t>biomodels</w:t>
      </w:r>
      <w:proofErr w:type="spellEnd"/>
      <w:r w:rsidRPr="005F62F4">
        <w:t xml:space="preserve"> </w:t>
      </w:r>
      <w:r w:rsidR="008302A8" w:rsidRPr="005F62F4">
        <w:t xml:space="preserve">currently on the PL </w:t>
      </w:r>
      <w:r w:rsidRPr="005F62F4">
        <w:t xml:space="preserve">are listed </w:t>
      </w:r>
      <w:r w:rsidR="008838EE" w:rsidRPr="005F62F4">
        <w:t xml:space="preserve">in Part A </w:t>
      </w:r>
      <w:r w:rsidRPr="005F62F4">
        <w:t xml:space="preserve">under the same product category </w:t>
      </w:r>
      <w:r w:rsidR="00D765A3" w:rsidRPr="005F62F4">
        <w:t xml:space="preserve">(07 – Plastic and reconstructive) </w:t>
      </w:r>
      <w:r w:rsidRPr="005F62F4">
        <w:t>and sub-category</w:t>
      </w:r>
      <w:r w:rsidR="00D765A3" w:rsidRPr="005F62F4">
        <w:t xml:space="preserve"> (07.02 – </w:t>
      </w:r>
      <w:r w:rsidR="00675369" w:rsidRPr="005F62F4">
        <w:t xml:space="preserve">CMF </w:t>
      </w:r>
      <w:r w:rsidR="00D765A3" w:rsidRPr="005F62F4">
        <w:t>implants)</w:t>
      </w:r>
      <w:r w:rsidR="000D6C7C" w:rsidRPr="005F62F4">
        <w:t>.</w:t>
      </w:r>
    </w:p>
    <w:p w14:paraId="6982320D" w14:textId="0EC5BAA4" w:rsidR="00B4613E" w:rsidRPr="005F62F4" w:rsidRDefault="000013A9" w:rsidP="00B40FA7">
      <w:pPr>
        <w:pStyle w:val="Bullet1"/>
      </w:pPr>
      <w:proofErr w:type="spellStart"/>
      <w:r w:rsidRPr="005F62F4">
        <w:t>Biomodels</w:t>
      </w:r>
      <w:proofErr w:type="spellEnd"/>
      <w:r w:rsidRPr="005F62F4">
        <w:t xml:space="preserve"> are listed in their own</w:t>
      </w:r>
      <w:r w:rsidR="00B01B52" w:rsidRPr="005F62F4">
        <w:t xml:space="preserve"> product</w:t>
      </w:r>
      <w:r w:rsidRPr="005F62F4">
        <w:t xml:space="preserve"> group</w:t>
      </w:r>
      <w:r w:rsidR="00B4613E" w:rsidRPr="005F62F4">
        <w:t xml:space="preserve">: 07.02.09 – Anatomical </w:t>
      </w:r>
      <w:proofErr w:type="spellStart"/>
      <w:r w:rsidR="00B4613E" w:rsidRPr="005F62F4">
        <w:t>biomodels</w:t>
      </w:r>
      <w:proofErr w:type="spellEnd"/>
      <w:r w:rsidR="00B4613E" w:rsidRPr="005F62F4">
        <w:t>.</w:t>
      </w:r>
    </w:p>
    <w:p w14:paraId="0894BD1A" w14:textId="25C0DA47" w:rsidR="003E6CEB" w:rsidRPr="005F62F4" w:rsidRDefault="00B4613E" w:rsidP="00B40FA7">
      <w:pPr>
        <w:pStyle w:val="Bullet1"/>
      </w:pPr>
      <w:r w:rsidRPr="005F62F4">
        <w:t>S</w:t>
      </w:r>
      <w:r w:rsidR="000013A9" w:rsidRPr="005F62F4">
        <w:t>urgical guides are listed in their own subgroup</w:t>
      </w:r>
      <w:r w:rsidR="000655D3" w:rsidRPr="005F62F4">
        <w:t>s</w:t>
      </w:r>
      <w:r w:rsidR="003E6CEB" w:rsidRPr="005F62F4">
        <w:t xml:space="preserve"> under </w:t>
      </w:r>
      <w:r w:rsidR="000655D3" w:rsidRPr="005F62F4">
        <w:t>the relevant</w:t>
      </w:r>
      <w:r w:rsidR="003E6CEB" w:rsidRPr="005F62F4">
        <w:t xml:space="preserve"> </w:t>
      </w:r>
      <w:r w:rsidR="008445A4" w:rsidRPr="005F62F4">
        <w:t xml:space="preserve">anatomical </w:t>
      </w:r>
      <w:r w:rsidR="00B01B52" w:rsidRPr="005F62F4">
        <w:t xml:space="preserve">product </w:t>
      </w:r>
      <w:r w:rsidR="003E6CEB" w:rsidRPr="005F62F4">
        <w:t>groups:</w:t>
      </w:r>
    </w:p>
    <w:p w14:paraId="247EC199" w14:textId="57EDA737" w:rsidR="003E6CEB" w:rsidRPr="005F62F4" w:rsidRDefault="003E6CEB" w:rsidP="002E085E">
      <w:pPr>
        <w:pStyle w:val="Bullet2"/>
        <w:spacing w:after="120"/>
      </w:pPr>
      <w:r w:rsidRPr="005F62F4">
        <w:t xml:space="preserve">07.02.02 – Cranium </w:t>
      </w:r>
      <w:r w:rsidRPr="005F62F4">
        <w:br/>
        <w:t>(subgroup 07.02.02.04 – surgical guides</w:t>
      </w:r>
      <w:r w:rsidR="00D41CA6" w:rsidRPr="005F62F4">
        <w:t>, suffix ‘</w:t>
      </w:r>
      <w:proofErr w:type="spellStart"/>
      <w:r w:rsidR="00D41CA6" w:rsidRPr="005F62F4">
        <w:t>biomodelled</w:t>
      </w:r>
      <w:proofErr w:type="spellEnd"/>
      <w:r w:rsidR="00D41CA6" w:rsidRPr="005F62F4">
        <w:t>’</w:t>
      </w:r>
      <w:r w:rsidRPr="005F62F4">
        <w:t>)</w:t>
      </w:r>
    </w:p>
    <w:p w14:paraId="017DB6DA" w14:textId="1FDCBDF3" w:rsidR="003E6CEB" w:rsidRPr="005F62F4" w:rsidRDefault="003E6CEB" w:rsidP="00B40FA7">
      <w:pPr>
        <w:pStyle w:val="Bullet2"/>
      </w:pPr>
      <w:r w:rsidRPr="005F62F4">
        <w:t xml:space="preserve">07.02.05 – Mandible, Maxilla and Temporomandibular Joint (TMJ) </w:t>
      </w:r>
      <w:r w:rsidRPr="005F62F4">
        <w:br/>
        <w:t>(subgroup 07.02.05.07 – surgical guides</w:t>
      </w:r>
      <w:r w:rsidR="00D41CA6" w:rsidRPr="005F62F4">
        <w:t>, suffix ‘</w:t>
      </w:r>
      <w:proofErr w:type="spellStart"/>
      <w:r w:rsidR="00D41CA6" w:rsidRPr="005F62F4">
        <w:t>biomodelled</w:t>
      </w:r>
      <w:proofErr w:type="spellEnd"/>
      <w:r w:rsidR="00D41CA6" w:rsidRPr="005F62F4">
        <w:t>’</w:t>
      </w:r>
      <w:r w:rsidRPr="005F62F4">
        <w:t>)</w:t>
      </w:r>
      <w:r w:rsidR="002F2D2F">
        <w:t>.</w:t>
      </w:r>
      <w:r w:rsidR="00B77A25" w:rsidRPr="005F62F4">
        <w:rPr>
          <w:rStyle w:val="FootnoteReference"/>
        </w:rPr>
        <w:footnoteReference w:id="7"/>
      </w:r>
    </w:p>
    <w:p w14:paraId="2780736A" w14:textId="1F484FB9" w:rsidR="00343A59" w:rsidRPr="005F62F4" w:rsidDel="00B40FA7" w:rsidRDefault="00343A59" w:rsidP="00343A59">
      <w:pPr>
        <w:pStyle w:val="Para"/>
      </w:pPr>
      <w:r w:rsidRPr="005F62F4" w:rsidDel="00B40FA7">
        <w:t>The maximum benefit amount for each product is determined by the product grouping (including the subgroup and suffix, if applicable). While every product is given a unique billing code, each product grouping has a single group benefit – though sponsors can choose to list at a lower benefit.</w:t>
      </w:r>
    </w:p>
    <w:p w14:paraId="09D5E952" w14:textId="30862480" w:rsidR="007E07A4" w:rsidRPr="005F62F4" w:rsidDel="00B40FA7" w:rsidRDefault="0055206B" w:rsidP="003039E8">
      <w:pPr>
        <w:pStyle w:val="Para"/>
      </w:pPr>
      <w:r w:rsidRPr="005F62F4" w:rsidDel="00B40FA7">
        <w:t>Because they are based on clinical use, t</w:t>
      </w:r>
      <w:r w:rsidR="0099083E" w:rsidRPr="005F62F4" w:rsidDel="00B40FA7">
        <w:t xml:space="preserve">he PL product categories and groupings </w:t>
      </w:r>
      <w:r w:rsidRPr="005F62F4" w:rsidDel="00B40FA7">
        <w:t>have some relationship to the MBS</w:t>
      </w:r>
      <w:r w:rsidR="006A3B8B" w:rsidRPr="005F62F4" w:rsidDel="00B40FA7">
        <w:t xml:space="preserve"> clinical categories</w:t>
      </w:r>
      <w:r w:rsidR="00622251" w:rsidRPr="005F62F4" w:rsidDel="00B40FA7">
        <w:t>; however, t</w:t>
      </w:r>
      <w:r w:rsidR="004C3FCE" w:rsidRPr="005F62F4" w:rsidDel="00B40FA7">
        <w:t xml:space="preserve">he PL </w:t>
      </w:r>
      <w:r w:rsidR="00786B88">
        <w:t>g</w:t>
      </w:r>
      <w:r w:rsidR="004C3FCE" w:rsidRPr="005F62F4" w:rsidDel="00B40FA7">
        <w:t xml:space="preserve">uide acknowledges that ‘some products may fit into more than one category’ </w:t>
      </w:r>
      <w:r w:rsidR="00D3392A" w:rsidRPr="005F62F4">
        <w:fldChar w:fldCharType="begin" w:fldLock="1"/>
      </w:r>
      <w:r w:rsidR="001E0F57" w:rsidRPr="005F62F4">
        <w:instrText>ADDIN CSL_CITATION {"citationItems":[{"id":"ITEM-1","itemData":{"ISBN":"9781760073077","author":[{"dropping-particle":"","family":"Department of Health","given":"","non-dropping-particle":"","parse-names":false,"suffix":""}],"id":"ITEM-1","issue":"February 2017","issued":{"date-parts":[["2017"]]},"publisher":"Commonwealth of Australia","title":"Prostheses List guide","type":"book"},"uris":["http://www.mendeley.com/documents/?uuid=8df7b192-cd82-4cdf-b6d6-fc4d6d6cb508"]}],"mendeley":{"formattedCitation":"(Department of Health 2017)","manualFormatting":"(Department of Health 2017, p. 49)","plainTextFormattedCitation":"(Department of Health 2017)","previouslyFormattedCitation":"(Department of Health 2017)"},"properties":{"noteIndex":0},"schema":"https://github.com/citation-style-language/schema/raw/master/csl-citation.json"}</w:instrText>
      </w:r>
      <w:r w:rsidR="00D3392A" w:rsidRPr="005F62F4">
        <w:fldChar w:fldCharType="separate"/>
      </w:r>
      <w:r w:rsidR="00D3392A" w:rsidRPr="005F62F4">
        <w:rPr>
          <w:noProof/>
        </w:rPr>
        <w:t>(Department of Health 2017, p. 49)</w:t>
      </w:r>
      <w:r w:rsidR="00D3392A" w:rsidRPr="005F62F4">
        <w:fldChar w:fldCharType="end"/>
      </w:r>
      <w:r w:rsidR="004C3FCE" w:rsidRPr="005F62F4" w:rsidDel="00B40FA7">
        <w:t>.</w:t>
      </w:r>
    </w:p>
    <w:p w14:paraId="402D17F3" w14:textId="19F7C967" w:rsidR="007C157F" w:rsidRPr="005F62F4" w:rsidRDefault="00FA4C0F" w:rsidP="004F2931">
      <w:pPr>
        <w:pStyle w:val="Heading3"/>
      </w:pPr>
      <w:r w:rsidRPr="005F62F4">
        <w:t>Increased usage</w:t>
      </w:r>
    </w:p>
    <w:p w14:paraId="3DB65A10" w14:textId="4CC2FFFD" w:rsidR="003355F2" w:rsidRPr="005F62F4" w:rsidRDefault="003355F2" w:rsidP="00C769DA">
      <w:pPr>
        <w:pStyle w:val="Para"/>
      </w:pPr>
      <w:r w:rsidRPr="005F62F4">
        <w:t>In recent years, prostheses have become one of the fastest</w:t>
      </w:r>
      <w:r w:rsidR="00AA5410">
        <w:t xml:space="preserve"> </w:t>
      </w:r>
      <w:r w:rsidRPr="005F62F4">
        <w:t>growing areas of private health expenditure</w:t>
      </w:r>
      <w:r w:rsidRPr="005F62F4" w:rsidDel="00935612">
        <w:t xml:space="preserve"> </w:t>
      </w:r>
      <w:r w:rsidRPr="005F62F4">
        <w:fldChar w:fldCharType="begin" w:fldLock="1"/>
      </w:r>
      <w:r w:rsidRPr="005F62F4">
        <w:instrText>ADDIN CSL_CITATION {"citationItems":[{"id":"ITEM-1","itemData":{"author":[{"dropping-particle":"","family":"Harris","given":"Ben","non-dropping-particle":"","parse-names":false,"suffix":""},{"dropping-particle":"","family":"Lim","given":"Julian","non-dropping-particle":"","parse-names":false,"suffix":""}],"edition":"1","id":"ITEM-1","issued":{"date-parts":[["2021"]]},"publisher":"Private Healthcare Australia","title":"Prostheses List usage 2020-2021: product groups with the highest single-year volume growth across Australia","type":"book"},"uris":["http://www.mendeley.com/documents/?uuid=8da80fca-3a99-43e6-877c-a63813150776"]}],"mendeley":{"formattedCitation":"(Harris and Lim 2021)","plainTextFormattedCitation":"(Harris and Lim 2021)","previouslyFormattedCitation":"(Harris and Lim 2021)"},"properties":{"noteIndex":0},"schema":"https://github.com/citation-style-language/schema/raw/master/csl-citation.json"}</w:instrText>
      </w:r>
      <w:r w:rsidRPr="005F62F4">
        <w:fldChar w:fldCharType="separate"/>
      </w:r>
      <w:r w:rsidRPr="005F62F4">
        <w:rPr>
          <w:noProof/>
        </w:rPr>
        <w:t>(Harris and Lim 2021)</w:t>
      </w:r>
      <w:r w:rsidRPr="005F62F4">
        <w:fldChar w:fldCharType="end"/>
      </w:r>
      <w:r w:rsidRPr="005F62F4">
        <w:t>. There are concerns that this</w:t>
      </w:r>
      <w:r w:rsidR="0026307F" w:rsidRPr="005F62F4">
        <w:t xml:space="preserve"> growth</w:t>
      </w:r>
      <w:r w:rsidRPr="005F62F4">
        <w:t xml:space="preserve"> could have wider impacts on the health care system</w:t>
      </w:r>
      <w:r w:rsidR="004C7CFA" w:rsidRPr="005F62F4">
        <w:t>:</w:t>
      </w:r>
      <w:r w:rsidRPr="005F62F4">
        <w:t xml:space="preserve"> for example, </w:t>
      </w:r>
      <w:r w:rsidR="000F0EB6" w:rsidRPr="005F62F4">
        <w:t xml:space="preserve">a report from </w:t>
      </w:r>
      <w:r w:rsidR="00E902FB" w:rsidRPr="005F62F4">
        <w:t>Private Healthcare Australia</w:t>
      </w:r>
      <w:r w:rsidR="008F04D6" w:rsidRPr="005F62F4">
        <w:t xml:space="preserve"> suggest</w:t>
      </w:r>
      <w:r w:rsidR="000F0EB6" w:rsidRPr="005F62F4">
        <w:t>s</w:t>
      </w:r>
      <w:r w:rsidR="008F04D6" w:rsidRPr="005F62F4">
        <w:t xml:space="preserve"> </w:t>
      </w:r>
      <w:r w:rsidRPr="005F62F4">
        <w:t>that it could result in increased private health insurance premiums,</w:t>
      </w:r>
      <w:r w:rsidRPr="005F62F4" w:rsidDel="00091A3C">
        <w:t xml:space="preserve"> </w:t>
      </w:r>
      <w:r w:rsidRPr="005F62F4">
        <w:t xml:space="preserve">which could consequently lead people to opt out of private health insurance, reducing healthcare funding availability and exacerbating pressure on the public health system </w:t>
      </w:r>
      <w:r w:rsidRPr="005F62F4">
        <w:fldChar w:fldCharType="begin" w:fldLock="1"/>
      </w:r>
      <w:r w:rsidRPr="005F62F4">
        <w:instrText>ADDIN CSL_CITATION {"citationItems":[{"id":"ITEM-1","itemData":{"author":[{"dropping-particle":"","family":"Harris","given":"Ben","non-dropping-particle":"","parse-names":false,"suffix":""},{"dropping-particle":"","family":"Lim","given":"Julian","non-dropping-particle":"","parse-names":false,"suffix":""}],"edition":"1","id":"ITEM-1","issued":{"date-parts":[["2021"]]},"publisher":"Private Healthcare Australia","title":"Prostheses List usage 2020-2021: product groups with the highest single-year volume growth across Australia","type":"book"},"uris":["http://www.mendeley.com/documents/?uuid=8da80fca-3a99-43e6-877c-a63813150776"]}],"mendeley":{"formattedCitation":"(Harris and Lim 2021)","plainTextFormattedCitation":"(Harris and Lim 2021)","previouslyFormattedCitation":"(Harris and Lim 2021)"},"properties":{"noteIndex":0},"schema":"https://github.com/citation-style-language/schema/raw/master/csl-citation.json"}</w:instrText>
      </w:r>
      <w:r w:rsidRPr="005F62F4">
        <w:fldChar w:fldCharType="separate"/>
      </w:r>
      <w:r w:rsidRPr="005F62F4">
        <w:rPr>
          <w:noProof/>
        </w:rPr>
        <w:t>(Harris and Lim 2021)</w:t>
      </w:r>
      <w:r w:rsidRPr="005F62F4">
        <w:fldChar w:fldCharType="end"/>
      </w:r>
      <w:r w:rsidRPr="005F62F4">
        <w:t>.</w:t>
      </w:r>
    </w:p>
    <w:p w14:paraId="133AA5DC" w14:textId="2AB0306B" w:rsidR="00DB6A87" w:rsidRPr="005F62F4" w:rsidRDefault="00C86528" w:rsidP="00676136">
      <w:pPr>
        <w:pStyle w:val="Para"/>
      </w:pPr>
      <w:r w:rsidRPr="005F62F4">
        <w:t xml:space="preserve">The use of </w:t>
      </w:r>
      <w:r w:rsidR="00BE2CE1" w:rsidRPr="005F62F4">
        <w:t xml:space="preserve">surgical guides and </w:t>
      </w:r>
      <w:proofErr w:type="spellStart"/>
      <w:r w:rsidR="00BE2CE1" w:rsidRPr="005F62F4">
        <w:t>biomodels</w:t>
      </w:r>
      <w:proofErr w:type="spellEnd"/>
      <w:r w:rsidR="00BE2CE1" w:rsidRPr="005F62F4">
        <w:t xml:space="preserve"> is </w:t>
      </w:r>
      <w:r w:rsidR="00AB1F61" w:rsidRPr="005F62F4">
        <w:t xml:space="preserve">also </w:t>
      </w:r>
      <w:r w:rsidR="00BE2CE1" w:rsidRPr="005F62F4">
        <w:t>rapidly increasing</w:t>
      </w:r>
      <w:r w:rsidR="00FB33AD" w:rsidRPr="005F62F4">
        <w:t xml:space="preserve">, </w:t>
      </w:r>
      <w:r w:rsidR="00214327" w:rsidRPr="005F62F4">
        <w:t xml:space="preserve">contributing to the </w:t>
      </w:r>
      <w:r w:rsidR="00503A5B" w:rsidRPr="005F62F4">
        <w:t>growing expenditure on</w:t>
      </w:r>
      <w:r w:rsidR="00214327" w:rsidRPr="005F62F4">
        <w:t xml:space="preserve"> </w:t>
      </w:r>
      <w:r w:rsidR="00503A5B" w:rsidRPr="005F62F4">
        <w:t>prostheses mentioned above</w:t>
      </w:r>
      <w:r w:rsidR="00BE2CE1" w:rsidRPr="005F62F4">
        <w:t xml:space="preserve">. Between 2016–17 and 2020–21, the total annual benefit paid for </w:t>
      </w:r>
      <w:r w:rsidR="000E7720" w:rsidRPr="005F62F4">
        <w:t xml:space="preserve">surgical guides and </w:t>
      </w:r>
      <w:proofErr w:type="spellStart"/>
      <w:r w:rsidR="000E7720" w:rsidRPr="005F62F4">
        <w:t>biomodels</w:t>
      </w:r>
      <w:proofErr w:type="spellEnd"/>
      <w:r w:rsidR="00BE2CE1" w:rsidRPr="005F62F4">
        <w:t xml:space="preserve"> increased from $1.9 million to $17.2 million </w:t>
      </w:r>
      <w:r w:rsidR="00BE2CE1" w:rsidRPr="005F62F4">
        <w:fldChar w:fldCharType="begin" w:fldLock="1"/>
      </w:r>
      <w:r w:rsidR="00F47C90" w:rsidRPr="005F62F4">
        <w:instrText>ADDIN CSL_CITATION {"citationItems":[{"id":"ITEM-1","itemData":{"URL":"https://www.health.gov.au/health-topics/private-health-insurance/the-prostheses-list/the-prostheses-list-reforms","accessed":{"date-parts":[["2022","8","11"]]},"author":[{"dropping-particle":"","family":"Department of Health and Aged Care","given":"","non-dropping-particle":"","parse-names":false,"suffix":""}],"container-title":"Department of Health and Aged Care website","id":"ITEM-1","issued":{"date-parts":[["2022"]]},"title":"The Prostheses List reforms","type":"webpage"},"uris":["http://www.mendeley.com/documents/?uuid=fe65c31d-6754-4285-8c0b-fa7fd585d42f"]}],"mendeley":{"formattedCitation":"(Department of Health and Aged Care 2022b)","plainTextFormattedCitation":"(Department of Health and Aged Care 2022b)","previouslyFormattedCitation":"(Department of Health and Aged Care 2022b)"},"properties":{"noteIndex":0},"schema":"https://github.com/citation-style-language/schema/raw/master/csl-citation.json"}</w:instrText>
      </w:r>
      <w:r w:rsidR="00BE2CE1" w:rsidRPr="005F62F4">
        <w:fldChar w:fldCharType="separate"/>
      </w:r>
      <w:r w:rsidR="006D6E3B" w:rsidRPr="005F62F4">
        <w:rPr>
          <w:noProof/>
        </w:rPr>
        <w:t>(Department of Health and Aged Care 2022b)</w:t>
      </w:r>
      <w:r w:rsidR="00BE2CE1" w:rsidRPr="005F62F4">
        <w:fldChar w:fldCharType="end"/>
      </w:r>
      <w:r w:rsidR="00BE2CE1" w:rsidRPr="005F62F4">
        <w:t>.</w:t>
      </w:r>
    </w:p>
    <w:p w14:paraId="528C5342" w14:textId="242A9030" w:rsidR="00983F56" w:rsidRPr="005F62F4" w:rsidRDefault="00633C6D" w:rsidP="00D05D9A">
      <w:pPr>
        <w:pStyle w:val="Headingb2"/>
      </w:pPr>
      <w:bookmarkStart w:id="53" w:name="_Toc120178299"/>
      <w:bookmarkStart w:id="54" w:name="_Toc129954597"/>
      <w:r w:rsidRPr="005F62F4">
        <w:lastRenderedPageBreak/>
        <w:t>About t</w:t>
      </w:r>
      <w:r w:rsidR="00941A0D" w:rsidRPr="005F62F4">
        <w:t>his review</w:t>
      </w:r>
      <w:bookmarkEnd w:id="53"/>
      <w:bookmarkEnd w:id="54"/>
    </w:p>
    <w:p w14:paraId="4AFCE2D1" w14:textId="34F05B87" w:rsidR="006E2AD7" w:rsidRPr="005F62F4" w:rsidRDefault="00AA0713" w:rsidP="00FA4C0F">
      <w:pPr>
        <w:pStyle w:val="ParaKeep"/>
      </w:pPr>
      <w:r w:rsidRPr="005F62F4">
        <w:t xml:space="preserve">The department </w:t>
      </w:r>
      <w:r w:rsidR="005A25B5" w:rsidRPr="005F62F4">
        <w:t>commissioned</w:t>
      </w:r>
      <w:r w:rsidRPr="005F62F4">
        <w:t xml:space="preserve"> Australian Healthcare Associates (AHA) to undertake a review of surgical guides and </w:t>
      </w:r>
      <w:proofErr w:type="spellStart"/>
      <w:r w:rsidRPr="005F62F4">
        <w:t>biomodels</w:t>
      </w:r>
      <w:proofErr w:type="spellEnd"/>
      <w:r w:rsidRPr="005F62F4">
        <w:t xml:space="preserve"> currently listed on the PL.</w:t>
      </w:r>
    </w:p>
    <w:p w14:paraId="5D7E0C31" w14:textId="03F415A6" w:rsidR="00E101EA" w:rsidRPr="005F62F4" w:rsidRDefault="006E2AD7" w:rsidP="004536F8">
      <w:pPr>
        <w:pStyle w:val="Para"/>
      </w:pPr>
      <w:r w:rsidRPr="005F62F4">
        <w:t xml:space="preserve">The review was </w:t>
      </w:r>
      <w:r w:rsidR="00C37E0A" w:rsidRPr="005F62F4">
        <w:t>undertaken</w:t>
      </w:r>
      <w:r w:rsidRPr="005F62F4">
        <w:t xml:space="preserve"> to inform the department whether the listed surgical guides and </w:t>
      </w:r>
      <w:proofErr w:type="spellStart"/>
      <w:r w:rsidRPr="005F62F4">
        <w:t>biomodels</w:t>
      </w:r>
      <w:proofErr w:type="spellEnd"/>
      <w:r w:rsidRPr="005F62F4">
        <w:t xml:space="preserve"> are eligible for PL listing, and if a further cost-effectiveness review is required.</w:t>
      </w:r>
    </w:p>
    <w:p w14:paraId="3118FD87" w14:textId="45EF3F58" w:rsidR="00CE29D8" w:rsidRPr="005F62F4" w:rsidRDefault="006E2AD7" w:rsidP="004536F8">
      <w:pPr>
        <w:pStyle w:val="Para"/>
      </w:pPr>
      <w:r w:rsidRPr="005F62F4">
        <w:t xml:space="preserve">This review considers the role of surgical guides and </w:t>
      </w:r>
      <w:proofErr w:type="spellStart"/>
      <w:r w:rsidRPr="005F62F4">
        <w:t>biomodels</w:t>
      </w:r>
      <w:proofErr w:type="spellEnd"/>
      <w:r w:rsidRPr="005F62F4">
        <w:t xml:space="preserve"> in clinical practice, utilisation patterns</w:t>
      </w:r>
      <w:r w:rsidR="003135BD" w:rsidRPr="005F62F4">
        <w:t>,</w:t>
      </w:r>
      <w:r w:rsidRPr="005F62F4">
        <w:t xml:space="preserve"> and the evidence for their clinical benefits and clinical effectiveness.</w:t>
      </w:r>
    </w:p>
    <w:p w14:paraId="01E11B25" w14:textId="0EF10259" w:rsidR="00EE6685" w:rsidRPr="005F62F4" w:rsidRDefault="00EE6685" w:rsidP="00330A66">
      <w:pPr>
        <w:pStyle w:val="Headingb3"/>
      </w:pPr>
      <w:bookmarkStart w:id="55" w:name="_Toc120178300"/>
      <w:r w:rsidRPr="005F62F4">
        <w:t>Products covered by this review</w:t>
      </w:r>
      <w:bookmarkEnd w:id="55"/>
    </w:p>
    <w:p w14:paraId="4F0B1964" w14:textId="14BD6B17" w:rsidR="00FF7419" w:rsidRPr="005F62F4" w:rsidRDefault="00C8110A" w:rsidP="00FF7419">
      <w:pPr>
        <w:pStyle w:val="Para"/>
      </w:pPr>
      <w:r w:rsidRPr="005F62F4">
        <w:t>T</w:t>
      </w:r>
      <w:r w:rsidR="00FF7419" w:rsidRPr="005F62F4">
        <w:t>his review</w:t>
      </w:r>
      <w:r w:rsidR="00D828F0" w:rsidRPr="005F62F4">
        <w:t xml:space="preserve"> covers</w:t>
      </w:r>
      <w:r w:rsidR="00FF7419" w:rsidRPr="005F62F4">
        <w:t xml:space="preserve"> </w:t>
      </w:r>
      <w:r w:rsidR="004F4889" w:rsidRPr="005F62F4">
        <w:t xml:space="preserve">all </w:t>
      </w:r>
      <w:r w:rsidR="00FF7419" w:rsidRPr="005F62F4">
        <w:t xml:space="preserve">32 surgical guides and </w:t>
      </w:r>
      <w:proofErr w:type="spellStart"/>
      <w:r w:rsidR="00FF7419" w:rsidRPr="005F62F4">
        <w:t>biomodels</w:t>
      </w:r>
      <w:proofErr w:type="spellEnd"/>
      <w:r w:rsidR="00FF7419" w:rsidRPr="005F62F4">
        <w:t xml:space="preserve"> </w:t>
      </w:r>
      <w:r w:rsidR="004F4889" w:rsidRPr="005F62F4">
        <w:t>on the</w:t>
      </w:r>
      <w:r w:rsidR="00FD5D6F" w:rsidRPr="005F62F4">
        <w:t xml:space="preserve"> PL</w:t>
      </w:r>
      <w:r w:rsidR="009E2E12" w:rsidRPr="005F62F4">
        <w:t xml:space="preserve"> as of November 2022</w:t>
      </w:r>
      <w:r w:rsidR="00EF7A03" w:rsidRPr="005F62F4">
        <w:rPr>
          <w:lang w:eastAsia="en-AU"/>
        </w:rPr>
        <w:t>.</w:t>
      </w:r>
      <w:r w:rsidR="002E3A7A" w:rsidRPr="005F62F4">
        <w:rPr>
          <w:lang w:eastAsia="en-AU"/>
        </w:rPr>
        <w:t xml:space="preserve"> </w:t>
      </w:r>
      <w:r w:rsidR="00303935" w:rsidRPr="005F62F4">
        <w:t>A full list of</w:t>
      </w:r>
      <w:r w:rsidR="00FF7419" w:rsidRPr="005F62F4">
        <w:t xml:space="preserve"> these products</w:t>
      </w:r>
      <w:r w:rsidR="00303935" w:rsidRPr="005F62F4">
        <w:t xml:space="preserve"> is provided in </w:t>
      </w:r>
      <w:r w:rsidR="00B0597A" w:rsidRPr="005F62F4">
        <w:fldChar w:fldCharType="begin"/>
      </w:r>
      <w:r w:rsidR="00B0597A" w:rsidRPr="005F62F4">
        <w:instrText xml:space="preserve"> REF _Ref119605250 \n \h </w:instrText>
      </w:r>
      <w:r w:rsidR="005F62F4">
        <w:instrText xml:space="preserve"> \* MERGEFORMAT </w:instrText>
      </w:r>
      <w:r w:rsidR="00B0597A" w:rsidRPr="005F62F4">
        <w:fldChar w:fldCharType="separate"/>
      </w:r>
      <w:r w:rsidR="005606BF">
        <w:t>Appendix B</w:t>
      </w:r>
      <w:r w:rsidR="00B0597A" w:rsidRPr="005F62F4">
        <w:fldChar w:fldCharType="end"/>
      </w:r>
      <w:r w:rsidR="00FF7419" w:rsidRPr="005F62F4">
        <w:t>.</w:t>
      </w:r>
    </w:p>
    <w:p w14:paraId="3D896CD7" w14:textId="0A0EA83B" w:rsidR="00F53E43" w:rsidRPr="005F62F4" w:rsidRDefault="00F53E43" w:rsidP="00D05D9A">
      <w:pPr>
        <w:pStyle w:val="Headingb3"/>
      </w:pPr>
      <w:bookmarkStart w:id="56" w:name="_Toc120178301"/>
      <w:r w:rsidRPr="005F62F4">
        <w:t xml:space="preserve">Terms of </w:t>
      </w:r>
      <w:r w:rsidR="00146DBE" w:rsidRPr="005F62F4">
        <w:t>r</w:t>
      </w:r>
      <w:r w:rsidRPr="005F62F4">
        <w:t>eference</w:t>
      </w:r>
      <w:bookmarkEnd w:id="56"/>
    </w:p>
    <w:p w14:paraId="0419F5B4" w14:textId="77777777" w:rsidR="00F53E43" w:rsidRPr="005F62F4" w:rsidRDefault="00F53E43" w:rsidP="00CA4645">
      <w:pPr>
        <w:pStyle w:val="List1"/>
      </w:pPr>
      <w:r w:rsidRPr="005F62F4">
        <w:t>1.</w:t>
      </w:r>
      <w:r w:rsidRPr="005F62F4">
        <w:tab/>
        <w:t xml:space="preserve">Analyse the role in clinical practice of surgical guides and </w:t>
      </w:r>
      <w:proofErr w:type="spellStart"/>
      <w:r w:rsidRPr="005F62F4">
        <w:t>biomodels</w:t>
      </w:r>
      <w:proofErr w:type="spellEnd"/>
      <w:r w:rsidRPr="005F62F4">
        <w:t xml:space="preserve"> currently listed on the PL, including future trends in clinical use.</w:t>
      </w:r>
    </w:p>
    <w:p w14:paraId="72F3A9E4" w14:textId="77777777" w:rsidR="00F53E43" w:rsidRPr="005F62F4" w:rsidRDefault="00F53E43" w:rsidP="00CA4645">
      <w:pPr>
        <w:pStyle w:val="List1"/>
      </w:pPr>
      <w:r w:rsidRPr="005F62F4">
        <w:t>2.</w:t>
      </w:r>
      <w:r w:rsidRPr="005F62F4">
        <w:tab/>
        <w:t xml:space="preserve">Review the evidence base for the use of surgical guides and </w:t>
      </w:r>
      <w:proofErr w:type="spellStart"/>
      <w:r w:rsidRPr="005F62F4">
        <w:t>biomodels</w:t>
      </w:r>
      <w:proofErr w:type="spellEnd"/>
      <w:r w:rsidRPr="005F62F4">
        <w:t xml:space="preserve"> currently listed on the PL, with a focus on comparative clinical effectiveness and clinical benefits.</w:t>
      </w:r>
    </w:p>
    <w:p w14:paraId="08C9962E" w14:textId="77777777" w:rsidR="00F53E43" w:rsidRPr="005F62F4" w:rsidRDefault="00F53E43" w:rsidP="00CA4645">
      <w:pPr>
        <w:pStyle w:val="List1"/>
      </w:pPr>
      <w:r w:rsidRPr="005F62F4">
        <w:t>3.</w:t>
      </w:r>
      <w:r w:rsidRPr="005F62F4">
        <w:tab/>
        <w:t xml:space="preserve">Consider the current utilisation of surgical guides and </w:t>
      </w:r>
      <w:proofErr w:type="spellStart"/>
      <w:r w:rsidRPr="005F62F4">
        <w:t>biomodels</w:t>
      </w:r>
      <w:proofErr w:type="spellEnd"/>
      <w:r w:rsidRPr="005F62F4">
        <w:t xml:space="preserve"> listed on the PL.</w:t>
      </w:r>
    </w:p>
    <w:p w14:paraId="0C0248AE" w14:textId="45B4EA15" w:rsidR="006A7622" w:rsidRPr="005F62F4" w:rsidRDefault="00F53E43" w:rsidP="00CA4645">
      <w:pPr>
        <w:pStyle w:val="List1"/>
      </w:pPr>
      <w:r w:rsidRPr="005F62F4">
        <w:t>4.</w:t>
      </w:r>
      <w:r w:rsidRPr="005F62F4">
        <w:tab/>
        <w:t xml:space="preserve">Based on the findings of </w:t>
      </w:r>
      <w:proofErr w:type="spellStart"/>
      <w:r w:rsidRPr="005F62F4">
        <w:t>T</w:t>
      </w:r>
      <w:r w:rsidR="00184D63" w:rsidRPr="005F62F4">
        <w:t>o</w:t>
      </w:r>
      <w:r w:rsidRPr="005F62F4">
        <w:t>R</w:t>
      </w:r>
      <w:proofErr w:type="spellEnd"/>
      <w:r w:rsidRPr="005F62F4">
        <w:t xml:space="preserve"> 1, 2 and 3, advise if surgical guides and </w:t>
      </w:r>
      <w:proofErr w:type="spellStart"/>
      <w:r w:rsidRPr="005F62F4">
        <w:t>biomodels</w:t>
      </w:r>
      <w:proofErr w:type="spellEnd"/>
      <w:r w:rsidRPr="005F62F4">
        <w:t xml:space="preserve"> meet the eligibility criteria for listing on the PL. Findings regarding eligibility may differ between products and clinical circumstances</w:t>
      </w:r>
      <w:r w:rsidR="006E2AD7" w:rsidRPr="005F62F4">
        <w:t>.</w:t>
      </w:r>
    </w:p>
    <w:p w14:paraId="69765A4F" w14:textId="6E6DAE3B" w:rsidR="00933831" w:rsidRPr="005F62F4" w:rsidRDefault="00933831">
      <w:pPr>
        <w:spacing w:after="200" w:line="276" w:lineRule="auto"/>
      </w:pPr>
      <w:r w:rsidRPr="005F62F4">
        <w:br w:type="page"/>
      </w:r>
    </w:p>
    <w:p w14:paraId="126A3F29" w14:textId="5DC8791B" w:rsidR="00633C6D" w:rsidRPr="005F62F4" w:rsidRDefault="00C01243" w:rsidP="00D05D9A">
      <w:pPr>
        <w:pStyle w:val="Headingb3"/>
      </w:pPr>
      <w:bookmarkStart w:id="57" w:name="_Toc120178302"/>
      <w:r w:rsidRPr="005F62F4">
        <w:lastRenderedPageBreak/>
        <w:t>M</w:t>
      </w:r>
      <w:r w:rsidR="00263DB0" w:rsidRPr="005F62F4">
        <w:t>ethodology</w:t>
      </w:r>
      <w:bookmarkEnd w:id="57"/>
    </w:p>
    <w:p w14:paraId="4D2E8684" w14:textId="5AB56F9F" w:rsidR="00E127DA" w:rsidRPr="005F62F4" w:rsidRDefault="003A606C" w:rsidP="00C82D10">
      <w:pPr>
        <w:pStyle w:val="ParaKeep"/>
      </w:pPr>
      <w:r w:rsidRPr="005F62F4">
        <w:t>An overview of the</w:t>
      </w:r>
      <w:r w:rsidR="00E127DA" w:rsidRPr="005F62F4">
        <w:t xml:space="preserve"> methodology and data sources </w:t>
      </w:r>
      <w:r w:rsidR="00C207DC" w:rsidRPr="005F62F4">
        <w:t xml:space="preserve">for </w:t>
      </w:r>
      <w:r w:rsidR="00E127DA" w:rsidRPr="005F62F4">
        <w:t>address</w:t>
      </w:r>
      <w:r w:rsidR="00C207DC" w:rsidRPr="005F62F4">
        <w:t>ing</w:t>
      </w:r>
      <w:r w:rsidR="00E127DA" w:rsidRPr="005F62F4">
        <w:t xml:space="preserve"> each of the terms of reference are outlined in </w:t>
      </w:r>
      <w:r w:rsidR="00DE20E6" w:rsidRPr="005F62F4">
        <w:fldChar w:fldCharType="begin"/>
      </w:r>
      <w:r w:rsidR="00DE20E6" w:rsidRPr="005F62F4">
        <w:instrText xml:space="preserve"> REF _Ref119911713 \h </w:instrText>
      </w:r>
      <w:r w:rsidR="005F62F4">
        <w:instrText xml:space="preserve"> \* MERGEFORMAT </w:instrText>
      </w:r>
      <w:r w:rsidR="00DE20E6" w:rsidRPr="005F62F4">
        <w:fldChar w:fldCharType="separate"/>
      </w:r>
      <w:r w:rsidR="005606BF" w:rsidRPr="005F62F4">
        <w:t>Table </w:t>
      </w:r>
      <w:r w:rsidR="005606BF">
        <w:t>1</w:t>
      </w:r>
      <w:r w:rsidR="00DE20E6" w:rsidRPr="005F62F4">
        <w:fldChar w:fldCharType="end"/>
      </w:r>
      <w:r w:rsidR="00D21E93" w:rsidRPr="005F62F4">
        <w:t xml:space="preserve"> </w:t>
      </w:r>
      <w:r w:rsidR="00500503" w:rsidRPr="005F62F4">
        <w:t>and described in more detail below</w:t>
      </w:r>
      <w:r w:rsidR="00E127DA" w:rsidRPr="005F62F4">
        <w:t>.</w:t>
      </w:r>
    </w:p>
    <w:p w14:paraId="0CD522BA" w14:textId="7CC090D3" w:rsidR="006F798C" w:rsidRPr="005F62F4" w:rsidRDefault="00E56C05" w:rsidP="006F798C">
      <w:pPr>
        <w:pStyle w:val="Caption"/>
      </w:pPr>
      <w:bookmarkStart w:id="58" w:name="_Ref119911713"/>
      <w:bookmarkStart w:id="59" w:name="_Toc129954638"/>
      <w:r w:rsidRPr="005F62F4">
        <w:t>Table </w:t>
      </w:r>
      <w:r w:rsidRPr="005F62F4">
        <w:fldChar w:fldCharType="begin"/>
      </w:r>
      <w:r w:rsidRPr="005F62F4">
        <w:instrText>SEQ Table \* ARABIC</w:instrText>
      </w:r>
      <w:r w:rsidRPr="005F62F4">
        <w:fldChar w:fldCharType="separate"/>
      </w:r>
      <w:r w:rsidR="005606BF">
        <w:rPr>
          <w:noProof/>
        </w:rPr>
        <w:t>1</w:t>
      </w:r>
      <w:r w:rsidRPr="005F62F4">
        <w:fldChar w:fldCharType="end"/>
      </w:r>
      <w:bookmarkEnd w:id="58"/>
      <w:r w:rsidR="006F798C" w:rsidRPr="005F62F4">
        <w:t>: Methodology and data sources</w:t>
      </w:r>
      <w:bookmarkEnd w:id="59"/>
    </w:p>
    <w:tbl>
      <w:tblPr>
        <w:tblStyle w:val="SGB"/>
        <w:tblW w:w="9498" w:type="dxa"/>
        <w:tblLayout w:type="fixed"/>
        <w:tblLook w:val="04A0" w:firstRow="1" w:lastRow="0" w:firstColumn="1" w:lastColumn="0" w:noHBand="0" w:noVBand="1"/>
      </w:tblPr>
      <w:tblGrid>
        <w:gridCol w:w="1701"/>
        <w:gridCol w:w="6804"/>
        <w:gridCol w:w="993"/>
      </w:tblGrid>
      <w:tr w:rsidR="00A353E6" w:rsidRPr="005F62F4" w14:paraId="0D2B6C30" w14:textId="148188A7" w:rsidTr="00121B2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3FB84E29" w14:textId="72EBCA46" w:rsidR="00E127DA" w:rsidRPr="005F62F4" w:rsidRDefault="00E127DA" w:rsidP="00787617">
            <w:pPr>
              <w:pStyle w:val="TableText"/>
              <w:rPr>
                <w:sz w:val="22"/>
                <w:szCs w:val="24"/>
              </w:rPr>
            </w:pPr>
            <w:bookmarkStart w:id="60" w:name="ColumnTitle_3"/>
            <w:r w:rsidRPr="005F62F4">
              <w:rPr>
                <w:sz w:val="22"/>
                <w:szCs w:val="24"/>
              </w:rPr>
              <w:t>Method</w:t>
            </w:r>
          </w:p>
        </w:tc>
        <w:tc>
          <w:tcPr>
            <w:tcW w:w="6804" w:type="dxa"/>
          </w:tcPr>
          <w:p w14:paraId="1C9B4ED1" w14:textId="3399D824" w:rsidR="00E127DA" w:rsidRPr="005F62F4" w:rsidRDefault="00E127DA" w:rsidP="00787617">
            <w:pPr>
              <w:pStyle w:val="TableText"/>
              <w:cnfStyle w:val="100000000000" w:firstRow="1" w:lastRow="0" w:firstColumn="0" w:lastColumn="0" w:oddVBand="0" w:evenVBand="0" w:oddHBand="0" w:evenHBand="0" w:firstRowFirstColumn="0" w:firstRowLastColumn="0" w:lastRowFirstColumn="0" w:lastRowLastColumn="0"/>
              <w:rPr>
                <w:sz w:val="22"/>
                <w:szCs w:val="24"/>
              </w:rPr>
            </w:pPr>
            <w:r w:rsidRPr="005F62F4">
              <w:rPr>
                <w:sz w:val="22"/>
                <w:szCs w:val="24"/>
              </w:rPr>
              <w:t xml:space="preserve">Data sources </w:t>
            </w:r>
          </w:p>
        </w:tc>
        <w:tc>
          <w:tcPr>
            <w:tcW w:w="993" w:type="dxa"/>
          </w:tcPr>
          <w:p w14:paraId="6B27FF2F" w14:textId="452BB884" w:rsidR="003708E8" w:rsidRPr="005F62F4" w:rsidRDefault="003708E8" w:rsidP="00240C14">
            <w:pPr>
              <w:pStyle w:val="Tabletextkeep"/>
              <w:jc w:val="center"/>
              <w:cnfStyle w:val="100000000000" w:firstRow="1" w:lastRow="0" w:firstColumn="0" w:lastColumn="0" w:oddVBand="0" w:evenVBand="0" w:oddHBand="0" w:evenHBand="0" w:firstRowFirstColumn="0" w:firstRowLastColumn="0" w:lastRowFirstColumn="0" w:lastRowLastColumn="0"/>
              <w:rPr>
                <w:sz w:val="22"/>
                <w:szCs w:val="24"/>
              </w:rPr>
            </w:pPr>
            <w:proofErr w:type="spellStart"/>
            <w:r w:rsidRPr="005F62F4">
              <w:rPr>
                <w:sz w:val="22"/>
                <w:szCs w:val="24"/>
              </w:rPr>
              <w:t>T</w:t>
            </w:r>
            <w:r w:rsidR="00184D63" w:rsidRPr="005F62F4">
              <w:rPr>
                <w:sz w:val="22"/>
                <w:szCs w:val="24"/>
              </w:rPr>
              <w:t>o</w:t>
            </w:r>
            <w:r w:rsidRPr="005F62F4">
              <w:rPr>
                <w:sz w:val="22"/>
                <w:szCs w:val="24"/>
              </w:rPr>
              <w:t>R</w:t>
            </w:r>
            <w:proofErr w:type="spellEnd"/>
          </w:p>
        </w:tc>
      </w:tr>
      <w:bookmarkEnd w:id="60"/>
      <w:tr w:rsidR="00E127DA" w:rsidRPr="005F62F4" w14:paraId="679CD171" w14:textId="07A0D441" w:rsidTr="00121B20">
        <w:tc>
          <w:tcPr>
            <w:cnfStyle w:val="001000000000" w:firstRow="0" w:lastRow="0" w:firstColumn="1" w:lastColumn="0" w:oddVBand="0" w:evenVBand="0" w:oddHBand="0" w:evenHBand="0" w:firstRowFirstColumn="0" w:firstRowLastColumn="0" w:lastRowFirstColumn="0" w:lastRowLastColumn="0"/>
            <w:tcW w:w="1701" w:type="dxa"/>
          </w:tcPr>
          <w:p w14:paraId="61D00340" w14:textId="0B634F85" w:rsidR="00E127DA" w:rsidRPr="005F62F4" w:rsidRDefault="004D3831" w:rsidP="00247760">
            <w:pPr>
              <w:pStyle w:val="Tabletextkeep"/>
            </w:pPr>
            <w:r w:rsidRPr="005F62F4">
              <w:rPr>
                <w:rStyle w:val="Strong"/>
                <w:sz w:val="22"/>
                <w:szCs w:val="24"/>
              </w:rPr>
              <w:t>D</w:t>
            </w:r>
            <w:r w:rsidR="00BC4FC7" w:rsidRPr="005F62F4">
              <w:rPr>
                <w:rStyle w:val="Strong"/>
                <w:sz w:val="22"/>
                <w:szCs w:val="24"/>
              </w:rPr>
              <w:t>esktop review</w:t>
            </w:r>
          </w:p>
        </w:tc>
        <w:tc>
          <w:tcPr>
            <w:tcW w:w="6804" w:type="dxa"/>
          </w:tcPr>
          <w:p w14:paraId="4C0749E5" w14:textId="013AA14B" w:rsidR="00396A6E" w:rsidRPr="005F62F4" w:rsidRDefault="00396A6E" w:rsidP="00D05D9A">
            <w:pPr>
              <w:pStyle w:val="TableBullet1"/>
              <w:cnfStyle w:val="000000000000" w:firstRow="0" w:lastRow="0" w:firstColumn="0" w:lastColumn="0" w:oddVBand="0" w:evenVBand="0" w:oddHBand="0" w:evenHBand="0" w:firstRowFirstColumn="0" w:firstRowLastColumn="0" w:lastRowFirstColumn="0" w:lastRowLastColumn="0"/>
              <w:rPr>
                <w:sz w:val="22"/>
                <w:szCs w:val="24"/>
              </w:rPr>
            </w:pPr>
            <w:r w:rsidRPr="005F62F4">
              <w:rPr>
                <w:sz w:val="22"/>
                <w:szCs w:val="24"/>
              </w:rPr>
              <w:t>D</w:t>
            </w:r>
            <w:r w:rsidR="00A81909" w:rsidRPr="005F62F4">
              <w:rPr>
                <w:sz w:val="22"/>
                <w:szCs w:val="24"/>
              </w:rPr>
              <w:t>ocuments provided by the department</w:t>
            </w:r>
          </w:p>
          <w:p w14:paraId="0419AA09" w14:textId="33F1C7E2" w:rsidR="00E127DA" w:rsidRPr="005F62F4" w:rsidRDefault="00396A6E" w:rsidP="00D05D9A">
            <w:pPr>
              <w:pStyle w:val="TableBullet1"/>
              <w:cnfStyle w:val="000000000000" w:firstRow="0" w:lastRow="0" w:firstColumn="0" w:lastColumn="0" w:oddVBand="0" w:evenVBand="0" w:oddHBand="0" w:evenHBand="0" w:firstRowFirstColumn="0" w:firstRowLastColumn="0" w:lastRowFirstColumn="0" w:lastRowLastColumn="0"/>
              <w:rPr>
                <w:sz w:val="22"/>
                <w:szCs w:val="24"/>
              </w:rPr>
            </w:pPr>
            <w:r w:rsidRPr="005F62F4">
              <w:rPr>
                <w:sz w:val="22"/>
                <w:szCs w:val="24"/>
              </w:rPr>
              <w:t>P</w:t>
            </w:r>
            <w:r w:rsidR="00A81909" w:rsidRPr="005F62F4">
              <w:rPr>
                <w:sz w:val="22"/>
                <w:szCs w:val="24"/>
              </w:rPr>
              <w:t>ublicly</w:t>
            </w:r>
            <w:r w:rsidR="00495B27" w:rsidRPr="005F62F4">
              <w:rPr>
                <w:sz w:val="22"/>
                <w:szCs w:val="24"/>
              </w:rPr>
              <w:t xml:space="preserve"> </w:t>
            </w:r>
            <w:r w:rsidR="00A81909" w:rsidRPr="005F62F4">
              <w:rPr>
                <w:sz w:val="22"/>
                <w:szCs w:val="24"/>
              </w:rPr>
              <w:t xml:space="preserve">available </w:t>
            </w:r>
            <w:r w:rsidRPr="005F62F4">
              <w:rPr>
                <w:sz w:val="22"/>
                <w:szCs w:val="24"/>
              </w:rPr>
              <w:t xml:space="preserve">and </w:t>
            </w:r>
            <w:r w:rsidR="00A81909" w:rsidRPr="005F62F4">
              <w:rPr>
                <w:sz w:val="22"/>
                <w:szCs w:val="24"/>
              </w:rPr>
              <w:t xml:space="preserve">supplied </w:t>
            </w:r>
            <w:r w:rsidR="007D538E" w:rsidRPr="005F62F4">
              <w:rPr>
                <w:sz w:val="22"/>
                <w:szCs w:val="24"/>
              </w:rPr>
              <w:t xml:space="preserve">academic and </w:t>
            </w:r>
            <w:r w:rsidR="00A81909" w:rsidRPr="005F62F4">
              <w:rPr>
                <w:sz w:val="22"/>
                <w:szCs w:val="24"/>
              </w:rPr>
              <w:t xml:space="preserve">grey literature, including </w:t>
            </w:r>
            <w:r w:rsidR="00503DB2" w:rsidRPr="005F62F4">
              <w:rPr>
                <w:sz w:val="22"/>
                <w:szCs w:val="24"/>
              </w:rPr>
              <w:t>study report</w:t>
            </w:r>
            <w:r w:rsidR="00576833" w:rsidRPr="005F62F4">
              <w:rPr>
                <w:sz w:val="22"/>
                <w:szCs w:val="24"/>
              </w:rPr>
              <w:t>s</w:t>
            </w:r>
            <w:r w:rsidR="00503DB2" w:rsidRPr="005F62F4">
              <w:rPr>
                <w:sz w:val="22"/>
                <w:szCs w:val="24"/>
              </w:rPr>
              <w:t xml:space="preserve">, </w:t>
            </w:r>
            <w:r w:rsidR="00A81909" w:rsidRPr="005F62F4">
              <w:rPr>
                <w:sz w:val="22"/>
                <w:szCs w:val="24"/>
              </w:rPr>
              <w:t>product information, clinical guidance and other relevant documents</w:t>
            </w:r>
          </w:p>
        </w:tc>
        <w:tc>
          <w:tcPr>
            <w:tcW w:w="993" w:type="dxa"/>
          </w:tcPr>
          <w:p w14:paraId="06856643" w14:textId="0457A8B2" w:rsidR="003708E8" w:rsidRPr="005F62F4" w:rsidRDefault="003708E8" w:rsidP="00240C14">
            <w:pPr>
              <w:pStyle w:val="Tabletextkeep"/>
              <w:jc w:val="center"/>
              <w:cnfStyle w:val="000000000000" w:firstRow="0" w:lastRow="0" w:firstColumn="0" w:lastColumn="0" w:oddVBand="0" w:evenVBand="0" w:oddHBand="0" w:evenHBand="0" w:firstRowFirstColumn="0" w:firstRowLastColumn="0" w:lastRowFirstColumn="0" w:lastRowLastColumn="0"/>
              <w:rPr>
                <w:sz w:val="22"/>
                <w:szCs w:val="24"/>
              </w:rPr>
            </w:pPr>
            <w:r w:rsidRPr="005F62F4">
              <w:rPr>
                <w:sz w:val="22"/>
                <w:szCs w:val="24"/>
              </w:rPr>
              <w:t>1</w:t>
            </w:r>
            <w:r w:rsidR="0095305C" w:rsidRPr="005F62F4">
              <w:rPr>
                <w:sz w:val="22"/>
                <w:szCs w:val="24"/>
              </w:rPr>
              <w:t>, 2, 3, 4</w:t>
            </w:r>
          </w:p>
        </w:tc>
      </w:tr>
      <w:tr w:rsidR="00B20E67" w:rsidRPr="005F62F4" w14:paraId="45F3F369" w14:textId="0F84101A" w:rsidTr="00121B2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189421EF" w14:textId="4B2304E7" w:rsidR="004D3831" w:rsidRPr="005F62F4" w:rsidRDefault="004D3831" w:rsidP="0094565C">
            <w:pPr>
              <w:pStyle w:val="TableText"/>
              <w:rPr>
                <w:sz w:val="22"/>
                <w:szCs w:val="24"/>
              </w:rPr>
            </w:pPr>
            <w:r w:rsidRPr="005F62F4">
              <w:rPr>
                <w:rStyle w:val="Strong"/>
                <w:sz w:val="22"/>
                <w:szCs w:val="24"/>
              </w:rPr>
              <w:t>Stakeholder consultations</w:t>
            </w:r>
            <w:r w:rsidR="007F0DBC" w:rsidRPr="005F62F4">
              <w:rPr>
                <w:rStyle w:val="Strong"/>
                <w:sz w:val="22"/>
                <w:szCs w:val="24"/>
              </w:rPr>
              <w:t xml:space="preserve"> </w:t>
            </w:r>
            <w:r w:rsidR="001601F8" w:rsidRPr="005F62F4">
              <w:rPr>
                <w:rStyle w:val="Strong"/>
                <w:sz w:val="22"/>
                <w:szCs w:val="24"/>
              </w:rPr>
              <w:t>and submissions</w:t>
            </w:r>
          </w:p>
        </w:tc>
        <w:tc>
          <w:tcPr>
            <w:tcW w:w="6804" w:type="dxa"/>
          </w:tcPr>
          <w:p w14:paraId="305B84FB" w14:textId="1F013A3F" w:rsidR="00106CA5" w:rsidRPr="005F62F4" w:rsidRDefault="0094565C" w:rsidP="00D05D9A">
            <w:pPr>
              <w:pStyle w:val="TableBullet1"/>
              <w:cnfStyle w:val="000000010000" w:firstRow="0" w:lastRow="0" w:firstColumn="0" w:lastColumn="0" w:oddVBand="0" w:evenVBand="0" w:oddHBand="0" w:evenHBand="1" w:firstRowFirstColumn="0" w:firstRowLastColumn="0" w:lastRowFirstColumn="0" w:lastRowLastColumn="0"/>
              <w:rPr>
                <w:sz w:val="22"/>
                <w:szCs w:val="24"/>
              </w:rPr>
            </w:pPr>
            <w:r w:rsidRPr="005F62F4">
              <w:rPr>
                <w:sz w:val="22"/>
                <w:szCs w:val="24"/>
              </w:rPr>
              <w:t>I</w:t>
            </w:r>
            <w:r w:rsidR="004D3831" w:rsidRPr="005F62F4">
              <w:rPr>
                <w:sz w:val="22"/>
                <w:szCs w:val="24"/>
              </w:rPr>
              <w:t>nterview</w:t>
            </w:r>
            <w:r w:rsidRPr="005F62F4">
              <w:rPr>
                <w:sz w:val="22"/>
                <w:szCs w:val="24"/>
              </w:rPr>
              <w:t>s</w:t>
            </w:r>
            <w:r w:rsidR="004D3831" w:rsidRPr="005F62F4">
              <w:rPr>
                <w:sz w:val="22"/>
                <w:szCs w:val="24"/>
              </w:rPr>
              <w:t xml:space="preserve"> </w:t>
            </w:r>
            <w:r w:rsidRPr="005F62F4">
              <w:rPr>
                <w:sz w:val="22"/>
                <w:szCs w:val="24"/>
              </w:rPr>
              <w:t xml:space="preserve">with </w:t>
            </w:r>
            <w:r w:rsidR="003704C6" w:rsidRPr="005F62F4">
              <w:rPr>
                <w:sz w:val="22"/>
                <w:szCs w:val="24"/>
              </w:rPr>
              <w:t xml:space="preserve">surgeons </w:t>
            </w:r>
            <w:r w:rsidRPr="005F62F4">
              <w:rPr>
                <w:sz w:val="22"/>
                <w:szCs w:val="24"/>
              </w:rPr>
              <w:t>and relevant organisations</w:t>
            </w:r>
          </w:p>
          <w:p w14:paraId="3622985A" w14:textId="09440D04" w:rsidR="004D3831" w:rsidRPr="005F62F4" w:rsidRDefault="0094565C" w:rsidP="00D05D9A">
            <w:pPr>
              <w:pStyle w:val="TableBullet1"/>
              <w:cnfStyle w:val="000000010000" w:firstRow="0" w:lastRow="0" w:firstColumn="0" w:lastColumn="0" w:oddVBand="0" w:evenVBand="0" w:oddHBand="0" w:evenHBand="1" w:firstRowFirstColumn="0" w:firstRowLastColumn="0" w:lastRowFirstColumn="0" w:lastRowLastColumn="0"/>
              <w:rPr>
                <w:sz w:val="22"/>
                <w:szCs w:val="24"/>
              </w:rPr>
            </w:pPr>
            <w:r w:rsidRPr="005F62F4">
              <w:rPr>
                <w:sz w:val="22"/>
                <w:szCs w:val="24"/>
              </w:rPr>
              <w:t>A</w:t>
            </w:r>
            <w:r w:rsidR="004D3831" w:rsidRPr="005F62F4">
              <w:rPr>
                <w:sz w:val="22"/>
                <w:szCs w:val="24"/>
              </w:rPr>
              <w:t>dditional documentation provided by stakeholders</w:t>
            </w:r>
          </w:p>
          <w:p w14:paraId="36AF59C4" w14:textId="77777777" w:rsidR="004D3831" w:rsidRPr="005F62F4" w:rsidRDefault="0054184B" w:rsidP="00D05D9A">
            <w:pPr>
              <w:pStyle w:val="TableBullet1"/>
              <w:cnfStyle w:val="000000010000" w:firstRow="0" w:lastRow="0" w:firstColumn="0" w:lastColumn="0" w:oddVBand="0" w:evenVBand="0" w:oddHBand="0" w:evenHBand="1" w:firstRowFirstColumn="0" w:firstRowLastColumn="0" w:lastRowFirstColumn="0" w:lastRowLastColumn="0"/>
              <w:rPr>
                <w:sz w:val="22"/>
                <w:szCs w:val="24"/>
              </w:rPr>
            </w:pPr>
            <w:r w:rsidRPr="005F62F4">
              <w:rPr>
                <w:sz w:val="22"/>
                <w:szCs w:val="24"/>
              </w:rPr>
              <w:t>Submissions from sponsors</w:t>
            </w:r>
          </w:p>
          <w:p w14:paraId="05E68A98" w14:textId="21D7A851" w:rsidR="00513504" w:rsidRPr="005F62F4" w:rsidRDefault="008F3996" w:rsidP="00D05D9A">
            <w:pPr>
              <w:pStyle w:val="TableBullet1"/>
              <w:cnfStyle w:val="000000010000" w:firstRow="0" w:lastRow="0" w:firstColumn="0" w:lastColumn="0" w:oddVBand="0" w:evenVBand="0" w:oddHBand="0" w:evenHBand="1" w:firstRowFirstColumn="0" w:firstRowLastColumn="0" w:lastRowFirstColumn="0" w:lastRowLastColumn="0"/>
              <w:rPr>
                <w:sz w:val="22"/>
                <w:szCs w:val="24"/>
              </w:rPr>
            </w:pPr>
            <w:r w:rsidRPr="005F62F4">
              <w:rPr>
                <w:sz w:val="22"/>
                <w:szCs w:val="24"/>
              </w:rPr>
              <w:t>Stakeholder f</w:t>
            </w:r>
            <w:r w:rsidR="00513504" w:rsidRPr="005F62F4">
              <w:rPr>
                <w:sz w:val="22"/>
                <w:szCs w:val="24"/>
              </w:rPr>
              <w:t>eedback on draft report</w:t>
            </w:r>
          </w:p>
        </w:tc>
        <w:tc>
          <w:tcPr>
            <w:tcW w:w="993" w:type="dxa"/>
          </w:tcPr>
          <w:p w14:paraId="2FD19F20" w14:textId="64CD398C" w:rsidR="003708E8" w:rsidRPr="005F62F4" w:rsidRDefault="003708E8" w:rsidP="00240C14">
            <w:pPr>
              <w:pStyle w:val="Tabletextkeep"/>
              <w:jc w:val="center"/>
              <w:cnfStyle w:val="000000010000" w:firstRow="0" w:lastRow="0" w:firstColumn="0" w:lastColumn="0" w:oddVBand="0" w:evenVBand="0" w:oddHBand="0" w:evenHBand="1" w:firstRowFirstColumn="0" w:firstRowLastColumn="0" w:lastRowFirstColumn="0" w:lastRowLastColumn="0"/>
              <w:rPr>
                <w:sz w:val="22"/>
                <w:szCs w:val="24"/>
              </w:rPr>
            </w:pPr>
            <w:r w:rsidRPr="005F62F4">
              <w:rPr>
                <w:sz w:val="22"/>
                <w:szCs w:val="24"/>
              </w:rPr>
              <w:t>1</w:t>
            </w:r>
            <w:r w:rsidR="007C4634" w:rsidRPr="005F62F4">
              <w:rPr>
                <w:sz w:val="22"/>
                <w:szCs w:val="24"/>
              </w:rPr>
              <w:t>,</w:t>
            </w:r>
            <w:r w:rsidR="005A49D5" w:rsidRPr="005F62F4">
              <w:rPr>
                <w:sz w:val="22"/>
                <w:szCs w:val="24"/>
              </w:rPr>
              <w:t xml:space="preserve"> </w:t>
            </w:r>
            <w:r w:rsidR="007C4634" w:rsidRPr="005F62F4">
              <w:rPr>
                <w:sz w:val="22"/>
                <w:szCs w:val="24"/>
              </w:rPr>
              <w:t>3,</w:t>
            </w:r>
            <w:r w:rsidR="005A49D5" w:rsidRPr="005F62F4">
              <w:rPr>
                <w:sz w:val="22"/>
                <w:szCs w:val="24"/>
              </w:rPr>
              <w:t xml:space="preserve"> </w:t>
            </w:r>
            <w:r w:rsidR="00A25029" w:rsidRPr="005F62F4">
              <w:rPr>
                <w:sz w:val="22"/>
                <w:szCs w:val="24"/>
              </w:rPr>
              <w:t>4</w:t>
            </w:r>
          </w:p>
        </w:tc>
      </w:tr>
      <w:tr w:rsidR="00E127DA" w:rsidRPr="005F62F4" w14:paraId="5C863AEA" w14:textId="3998D433" w:rsidTr="00121B20">
        <w:tc>
          <w:tcPr>
            <w:cnfStyle w:val="001000000000" w:firstRow="0" w:lastRow="0" w:firstColumn="1" w:lastColumn="0" w:oddVBand="0" w:evenVBand="0" w:oddHBand="0" w:evenHBand="0" w:firstRowFirstColumn="0" w:firstRowLastColumn="0" w:lastRowFirstColumn="0" w:lastRowLastColumn="0"/>
            <w:tcW w:w="1701" w:type="dxa"/>
          </w:tcPr>
          <w:p w14:paraId="71FDC7E6" w14:textId="5814B1FB" w:rsidR="00E127DA" w:rsidRPr="005F62F4" w:rsidRDefault="00984077" w:rsidP="00787617">
            <w:pPr>
              <w:pStyle w:val="TableText"/>
              <w:rPr>
                <w:rStyle w:val="Strong"/>
                <w:sz w:val="22"/>
                <w:szCs w:val="24"/>
              </w:rPr>
            </w:pPr>
            <w:r w:rsidRPr="005F62F4">
              <w:rPr>
                <w:rStyle w:val="Strong"/>
                <w:sz w:val="22"/>
                <w:szCs w:val="24"/>
              </w:rPr>
              <w:t>S</w:t>
            </w:r>
            <w:r w:rsidR="00871B7F" w:rsidRPr="005F62F4">
              <w:rPr>
                <w:rStyle w:val="Strong"/>
                <w:sz w:val="22"/>
                <w:szCs w:val="24"/>
              </w:rPr>
              <w:t xml:space="preserve">ystematic review </w:t>
            </w:r>
          </w:p>
        </w:tc>
        <w:tc>
          <w:tcPr>
            <w:tcW w:w="6804" w:type="dxa"/>
          </w:tcPr>
          <w:p w14:paraId="2FEAC4A2" w14:textId="08992B74" w:rsidR="00E127DA" w:rsidRPr="005F62F4" w:rsidRDefault="005C32A8" w:rsidP="00C14319">
            <w:pPr>
              <w:pStyle w:val="TableBullet1"/>
              <w:cnfStyle w:val="000000000000" w:firstRow="0" w:lastRow="0" w:firstColumn="0" w:lastColumn="0" w:oddVBand="0" w:evenVBand="0" w:oddHBand="0" w:evenHBand="0" w:firstRowFirstColumn="0" w:firstRowLastColumn="0" w:lastRowFirstColumn="0" w:lastRowLastColumn="0"/>
              <w:rPr>
                <w:sz w:val="22"/>
                <w:szCs w:val="24"/>
              </w:rPr>
            </w:pPr>
            <w:r w:rsidRPr="005F62F4">
              <w:rPr>
                <w:sz w:val="22"/>
                <w:szCs w:val="24"/>
              </w:rPr>
              <w:t xml:space="preserve">Peer-reviewed </w:t>
            </w:r>
            <w:r w:rsidR="00667499" w:rsidRPr="005F62F4">
              <w:rPr>
                <w:sz w:val="22"/>
                <w:szCs w:val="24"/>
              </w:rPr>
              <w:t>li</w:t>
            </w:r>
            <w:r w:rsidR="00871FC4" w:rsidRPr="005F62F4">
              <w:rPr>
                <w:sz w:val="22"/>
                <w:szCs w:val="24"/>
              </w:rPr>
              <w:t xml:space="preserve">terature </w:t>
            </w:r>
            <w:r w:rsidR="001C043E" w:rsidRPr="005F62F4">
              <w:rPr>
                <w:sz w:val="22"/>
                <w:szCs w:val="24"/>
              </w:rPr>
              <w:t>(</w:t>
            </w:r>
            <w:r w:rsidR="00871FC4" w:rsidRPr="005F62F4">
              <w:rPr>
                <w:sz w:val="22"/>
                <w:szCs w:val="24"/>
              </w:rPr>
              <w:t>identified through a M</w:t>
            </w:r>
            <w:r w:rsidR="00126FFE" w:rsidRPr="005F62F4">
              <w:rPr>
                <w:sz w:val="22"/>
                <w:szCs w:val="24"/>
              </w:rPr>
              <w:t>EDLINE</w:t>
            </w:r>
            <w:r w:rsidR="00871FC4" w:rsidRPr="005F62F4">
              <w:rPr>
                <w:sz w:val="22"/>
                <w:szCs w:val="24"/>
              </w:rPr>
              <w:t xml:space="preserve"> search and</w:t>
            </w:r>
            <w:r w:rsidR="009A5918" w:rsidRPr="005F62F4">
              <w:rPr>
                <w:sz w:val="22"/>
                <w:szCs w:val="24"/>
              </w:rPr>
              <w:t xml:space="preserve"> stakeholder submissions and</w:t>
            </w:r>
            <w:r w:rsidR="00871FC4" w:rsidRPr="005F62F4">
              <w:rPr>
                <w:sz w:val="22"/>
                <w:szCs w:val="24"/>
              </w:rPr>
              <w:t xml:space="preserve"> meeting pre</w:t>
            </w:r>
            <w:r w:rsidR="00E75979" w:rsidRPr="005F62F4">
              <w:rPr>
                <w:sz w:val="22"/>
                <w:szCs w:val="24"/>
              </w:rPr>
              <w:t>-</w:t>
            </w:r>
            <w:r w:rsidR="00871FC4" w:rsidRPr="005F62F4">
              <w:rPr>
                <w:sz w:val="22"/>
                <w:szCs w:val="24"/>
              </w:rPr>
              <w:t>defined inclusion criteria</w:t>
            </w:r>
            <w:r w:rsidR="001C043E" w:rsidRPr="005F62F4">
              <w:rPr>
                <w:sz w:val="22"/>
                <w:szCs w:val="24"/>
              </w:rPr>
              <w:t>)</w:t>
            </w:r>
          </w:p>
        </w:tc>
        <w:tc>
          <w:tcPr>
            <w:tcW w:w="993" w:type="dxa"/>
          </w:tcPr>
          <w:p w14:paraId="00A27853" w14:textId="2E784F23" w:rsidR="0054184B" w:rsidRPr="005F62F4" w:rsidRDefault="0054184B" w:rsidP="00240C14">
            <w:pPr>
              <w:pStyle w:val="Tabletextkeep"/>
              <w:jc w:val="center"/>
              <w:cnfStyle w:val="000000000000" w:firstRow="0" w:lastRow="0" w:firstColumn="0" w:lastColumn="0" w:oddVBand="0" w:evenVBand="0" w:oddHBand="0" w:evenHBand="0" w:firstRowFirstColumn="0" w:firstRowLastColumn="0" w:lastRowFirstColumn="0" w:lastRowLastColumn="0"/>
              <w:rPr>
                <w:sz w:val="22"/>
                <w:szCs w:val="24"/>
              </w:rPr>
            </w:pPr>
            <w:r w:rsidRPr="005F62F4">
              <w:rPr>
                <w:sz w:val="22"/>
                <w:szCs w:val="24"/>
              </w:rPr>
              <w:t>2</w:t>
            </w:r>
            <w:r w:rsidR="00CB1032" w:rsidRPr="005F62F4">
              <w:rPr>
                <w:sz w:val="22"/>
                <w:szCs w:val="24"/>
              </w:rPr>
              <w:t>, 4</w:t>
            </w:r>
          </w:p>
        </w:tc>
      </w:tr>
      <w:tr w:rsidR="00E127DA" w:rsidRPr="005F62F4" w14:paraId="54914344" w14:textId="44758F00" w:rsidTr="00121B2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1E446E76" w14:textId="2CB781DA" w:rsidR="00E127DA" w:rsidRPr="005F62F4" w:rsidRDefault="009B30E1" w:rsidP="00787617">
            <w:pPr>
              <w:pStyle w:val="TableText"/>
              <w:rPr>
                <w:sz w:val="22"/>
                <w:szCs w:val="24"/>
              </w:rPr>
            </w:pPr>
            <w:r w:rsidRPr="005F62F4">
              <w:rPr>
                <w:rStyle w:val="Strong"/>
                <w:sz w:val="22"/>
                <w:szCs w:val="24"/>
              </w:rPr>
              <w:t>A</w:t>
            </w:r>
            <w:r w:rsidR="00CB7186" w:rsidRPr="005F62F4">
              <w:rPr>
                <w:rStyle w:val="Strong"/>
                <w:sz w:val="22"/>
                <w:szCs w:val="24"/>
              </w:rPr>
              <w:t xml:space="preserve">nalysis of </w:t>
            </w:r>
            <w:r w:rsidR="004F025A" w:rsidRPr="005F62F4">
              <w:rPr>
                <w:rStyle w:val="Strong"/>
                <w:sz w:val="22"/>
                <w:szCs w:val="24"/>
              </w:rPr>
              <w:t>ut</w:t>
            </w:r>
            <w:r w:rsidR="00720331" w:rsidRPr="005F62F4">
              <w:rPr>
                <w:rStyle w:val="Strong"/>
                <w:sz w:val="22"/>
                <w:szCs w:val="24"/>
              </w:rPr>
              <w:t>ilisation</w:t>
            </w:r>
            <w:r w:rsidR="000E3563" w:rsidRPr="005F62F4">
              <w:rPr>
                <w:rStyle w:val="Strong"/>
                <w:sz w:val="22"/>
                <w:szCs w:val="24"/>
              </w:rPr>
              <w:t xml:space="preserve"> data</w:t>
            </w:r>
            <w:r w:rsidR="000E3563" w:rsidRPr="005F62F4">
              <w:rPr>
                <w:sz w:val="22"/>
                <w:szCs w:val="24"/>
              </w:rPr>
              <w:t xml:space="preserve"> </w:t>
            </w:r>
          </w:p>
        </w:tc>
        <w:tc>
          <w:tcPr>
            <w:tcW w:w="6804" w:type="dxa"/>
          </w:tcPr>
          <w:p w14:paraId="113ED029" w14:textId="65D2CED4" w:rsidR="009D0BAA" w:rsidRPr="005F62F4" w:rsidRDefault="00E65267" w:rsidP="00D05D9A">
            <w:pPr>
              <w:pStyle w:val="TableBullet1"/>
              <w:cnfStyle w:val="000000010000" w:firstRow="0" w:lastRow="0" w:firstColumn="0" w:lastColumn="0" w:oddVBand="0" w:evenVBand="0" w:oddHBand="0" w:evenHBand="1" w:firstRowFirstColumn="0" w:firstRowLastColumn="0" w:lastRowFirstColumn="0" w:lastRowLastColumn="0"/>
              <w:rPr>
                <w:sz w:val="22"/>
                <w:szCs w:val="24"/>
              </w:rPr>
            </w:pPr>
            <w:r w:rsidRPr="005F62F4">
              <w:rPr>
                <w:sz w:val="22"/>
                <w:szCs w:val="24"/>
              </w:rPr>
              <w:t>U</w:t>
            </w:r>
            <w:r w:rsidR="008912D9" w:rsidRPr="005F62F4">
              <w:rPr>
                <w:sz w:val="22"/>
                <w:szCs w:val="24"/>
              </w:rPr>
              <w:t>tilisation data provided by the department (</w:t>
            </w:r>
            <w:r w:rsidRPr="005F62F4">
              <w:rPr>
                <w:sz w:val="22"/>
                <w:szCs w:val="24"/>
              </w:rPr>
              <w:t xml:space="preserve">an extract of </w:t>
            </w:r>
            <w:r w:rsidR="008912D9" w:rsidRPr="005F62F4">
              <w:rPr>
                <w:sz w:val="22"/>
                <w:szCs w:val="24"/>
              </w:rPr>
              <w:t xml:space="preserve">Hospital </w:t>
            </w:r>
            <w:proofErr w:type="spellStart"/>
            <w:r w:rsidR="008912D9" w:rsidRPr="005F62F4">
              <w:rPr>
                <w:sz w:val="22"/>
                <w:szCs w:val="24"/>
              </w:rPr>
              <w:t>Casemix</w:t>
            </w:r>
            <w:proofErr w:type="spellEnd"/>
            <w:r w:rsidR="008912D9" w:rsidRPr="005F62F4">
              <w:rPr>
                <w:sz w:val="22"/>
                <w:szCs w:val="24"/>
              </w:rPr>
              <w:t xml:space="preserve"> Protocol 1 data)</w:t>
            </w:r>
          </w:p>
          <w:p w14:paraId="3ACB8287" w14:textId="0C98BBBB" w:rsidR="0053104E" w:rsidRPr="005F62F4" w:rsidRDefault="00880975" w:rsidP="00D05D9A">
            <w:pPr>
              <w:pStyle w:val="TableBullet1"/>
              <w:cnfStyle w:val="000000010000" w:firstRow="0" w:lastRow="0" w:firstColumn="0" w:lastColumn="0" w:oddVBand="0" w:evenVBand="0" w:oddHBand="0" w:evenHBand="1" w:firstRowFirstColumn="0" w:firstRowLastColumn="0" w:lastRowFirstColumn="0" w:lastRowLastColumn="0"/>
              <w:rPr>
                <w:sz w:val="22"/>
                <w:szCs w:val="24"/>
              </w:rPr>
            </w:pPr>
            <w:r w:rsidRPr="005F62F4">
              <w:rPr>
                <w:sz w:val="22"/>
                <w:szCs w:val="24"/>
              </w:rPr>
              <w:t xml:space="preserve">Utilisation data </w:t>
            </w:r>
            <w:r w:rsidR="0053104E" w:rsidRPr="005F62F4">
              <w:rPr>
                <w:sz w:val="22"/>
                <w:szCs w:val="24"/>
              </w:rPr>
              <w:t xml:space="preserve">publicly available through </w:t>
            </w:r>
            <w:r w:rsidR="0053104E" w:rsidRPr="005F62F4">
              <w:rPr>
                <w:rFonts w:cstheme="minorHAnsi"/>
                <w:sz w:val="22"/>
                <w:szCs w:val="24"/>
              </w:rPr>
              <w:t>Australian Prudential Regulation Authority</w:t>
            </w:r>
          </w:p>
          <w:p w14:paraId="1FAEBC0F" w14:textId="1C30A29A" w:rsidR="009D26BE" w:rsidRPr="005F62F4" w:rsidRDefault="009D26BE" w:rsidP="00D05D9A">
            <w:pPr>
              <w:pStyle w:val="TableBullet1"/>
              <w:cnfStyle w:val="000000010000" w:firstRow="0" w:lastRow="0" w:firstColumn="0" w:lastColumn="0" w:oddVBand="0" w:evenVBand="0" w:oddHBand="0" w:evenHBand="1" w:firstRowFirstColumn="0" w:firstRowLastColumn="0" w:lastRowFirstColumn="0" w:lastRowLastColumn="0"/>
              <w:rPr>
                <w:sz w:val="22"/>
                <w:szCs w:val="24"/>
              </w:rPr>
            </w:pPr>
            <w:r w:rsidRPr="005F62F4">
              <w:rPr>
                <w:sz w:val="22"/>
                <w:szCs w:val="24"/>
              </w:rPr>
              <w:t>Medicare Item Reports publicly available through Services Australia</w:t>
            </w:r>
          </w:p>
          <w:p w14:paraId="424E654E" w14:textId="693D5E9F" w:rsidR="00E127DA" w:rsidRPr="005F62F4" w:rsidRDefault="008912D9" w:rsidP="00D05D9A">
            <w:pPr>
              <w:pStyle w:val="TableBullet1"/>
              <w:cnfStyle w:val="000000010000" w:firstRow="0" w:lastRow="0" w:firstColumn="0" w:lastColumn="0" w:oddVBand="0" w:evenVBand="0" w:oddHBand="0" w:evenHBand="1" w:firstRowFirstColumn="0" w:firstRowLastColumn="0" w:lastRowFirstColumn="0" w:lastRowLastColumn="0"/>
              <w:rPr>
                <w:sz w:val="22"/>
                <w:szCs w:val="24"/>
              </w:rPr>
            </w:pPr>
            <w:r w:rsidRPr="005F62F4">
              <w:rPr>
                <w:sz w:val="22"/>
                <w:szCs w:val="24"/>
              </w:rPr>
              <w:t>Publicly available supplied grey literature on utilisation</w:t>
            </w:r>
          </w:p>
        </w:tc>
        <w:tc>
          <w:tcPr>
            <w:tcW w:w="993" w:type="dxa"/>
          </w:tcPr>
          <w:p w14:paraId="5996F1A5" w14:textId="27F18000" w:rsidR="003708E8" w:rsidRPr="005F62F4" w:rsidRDefault="003708E8" w:rsidP="00240C14">
            <w:pPr>
              <w:pStyle w:val="Tabletextkeep"/>
              <w:jc w:val="center"/>
              <w:cnfStyle w:val="000000010000" w:firstRow="0" w:lastRow="0" w:firstColumn="0" w:lastColumn="0" w:oddVBand="0" w:evenVBand="0" w:oddHBand="0" w:evenHBand="1" w:firstRowFirstColumn="0" w:firstRowLastColumn="0" w:lastRowFirstColumn="0" w:lastRowLastColumn="0"/>
              <w:rPr>
                <w:sz w:val="22"/>
                <w:szCs w:val="24"/>
              </w:rPr>
            </w:pPr>
            <w:r w:rsidRPr="005F62F4">
              <w:rPr>
                <w:sz w:val="22"/>
                <w:szCs w:val="24"/>
              </w:rPr>
              <w:t>3</w:t>
            </w:r>
            <w:r w:rsidR="004E13B8" w:rsidRPr="005F62F4">
              <w:rPr>
                <w:sz w:val="22"/>
                <w:szCs w:val="24"/>
              </w:rPr>
              <w:t>, 4</w:t>
            </w:r>
          </w:p>
        </w:tc>
      </w:tr>
      <w:tr w:rsidR="00E127DA" w:rsidRPr="005F62F4" w14:paraId="19AF954B" w14:textId="5F8F553F" w:rsidTr="00121B20">
        <w:tc>
          <w:tcPr>
            <w:cnfStyle w:val="001000000000" w:firstRow="0" w:lastRow="0" w:firstColumn="1" w:lastColumn="0" w:oddVBand="0" w:evenVBand="0" w:oddHBand="0" w:evenHBand="0" w:firstRowFirstColumn="0" w:firstRowLastColumn="0" w:lastRowFirstColumn="0" w:lastRowLastColumn="0"/>
            <w:tcW w:w="1701" w:type="dxa"/>
          </w:tcPr>
          <w:p w14:paraId="01D3E867" w14:textId="7D091B1C" w:rsidR="00E127DA" w:rsidRPr="005F62F4" w:rsidRDefault="00BF0061" w:rsidP="00787617">
            <w:pPr>
              <w:pStyle w:val="TableText"/>
              <w:rPr>
                <w:sz w:val="22"/>
                <w:szCs w:val="24"/>
              </w:rPr>
            </w:pPr>
            <w:r w:rsidRPr="005F62F4">
              <w:rPr>
                <w:rStyle w:val="Strong"/>
                <w:sz w:val="22"/>
                <w:szCs w:val="24"/>
              </w:rPr>
              <w:t>Synthesis and triangulation</w:t>
            </w:r>
            <w:r w:rsidRPr="005F62F4">
              <w:rPr>
                <w:sz w:val="22"/>
                <w:szCs w:val="24"/>
              </w:rPr>
              <w:t xml:space="preserve"> </w:t>
            </w:r>
          </w:p>
        </w:tc>
        <w:tc>
          <w:tcPr>
            <w:tcW w:w="6804" w:type="dxa"/>
          </w:tcPr>
          <w:p w14:paraId="39876161" w14:textId="0C46A613" w:rsidR="00E127DA" w:rsidRPr="005F62F4" w:rsidRDefault="007D648C" w:rsidP="00D05D9A">
            <w:pPr>
              <w:pStyle w:val="TableBullet1"/>
              <w:cnfStyle w:val="000000000000" w:firstRow="0" w:lastRow="0" w:firstColumn="0" w:lastColumn="0" w:oddVBand="0" w:evenVBand="0" w:oddHBand="0" w:evenHBand="0" w:firstRowFirstColumn="0" w:firstRowLastColumn="0" w:lastRowFirstColumn="0" w:lastRowLastColumn="0"/>
              <w:rPr>
                <w:sz w:val="22"/>
                <w:szCs w:val="24"/>
              </w:rPr>
            </w:pPr>
            <w:r w:rsidRPr="005F62F4">
              <w:rPr>
                <w:sz w:val="22"/>
                <w:szCs w:val="24"/>
              </w:rPr>
              <w:t xml:space="preserve">All data sources </w:t>
            </w:r>
            <w:r w:rsidR="00E2754B" w:rsidRPr="005F62F4">
              <w:rPr>
                <w:sz w:val="22"/>
                <w:szCs w:val="24"/>
              </w:rPr>
              <w:t xml:space="preserve">and analysis </w:t>
            </w:r>
            <w:r w:rsidR="009D0852" w:rsidRPr="005F62F4">
              <w:rPr>
                <w:sz w:val="22"/>
                <w:szCs w:val="24"/>
              </w:rPr>
              <w:t>f</w:t>
            </w:r>
            <w:r w:rsidR="0054184B" w:rsidRPr="005F62F4">
              <w:rPr>
                <w:sz w:val="22"/>
                <w:szCs w:val="24"/>
              </w:rPr>
              <w:t>or</w:t>
            </w:r>
            <w:r w:rsidR="009D0852" w:rsidRPr="005F62F4">
              <w:rPr>
                <w:sz w:val="22"/>
                <w:szCs w:val="24"/>
              </w:rPr>
              <w:t xml:space="preserve"> </w:t>
            </w:r>
            <w:proofErr w:type="spellStart"/>
            <w:r w:rsidR="003708E8" w:rsidRPr="005F62F4">
              <w:rPr>
                <w:sz w:val="22"/>
                <w:szCs w:val="24"/>
              </w:rPr>
              <w:t>T</w:t>
            </w:r>
            <w:r w:rsidR="00184D63" w:rsidRPr="005F62F4">
              <w:rPr>
                <w:sz w:val="22"/>
                <w:szCs w:val="24"/>
              </w:rPr>
              <w:t>o</w:t>
            </w:r>
            <w:r w:rsidR="003708E8" w:rsidRPr="005F62F4">
              <w:rPr>
                <w:sz w:val="22"/>
                <w:szCs w:val="24"/>
              </w:rPr>
              <w:t>R</w:t>
            </w:r>
            <w:proofErr w:type="spellEnd"/>
            <w:r w:rsidR="009D0852" w:rsidRPr="005F62F4">
              <w:rPr>
                <w:sz w:val="22"/>
                <w:szCs w:val="24"/>
              </w:rPr>
              <w:t xml:space="preserve"> 1, 2 3</w:t>
            </w:r>
            <w:r w:rsidR="0054184B" w:rsidRPr="005F62F4">
              <w:rPr>
                <w:sz w:val="22"/>
                <w:szCs w:val="24"/>
              </w:rPr>
              <w:t xml:space="preserve"> </w:t>
            </w:r>
            <w:r w:rsidR="009D0852" w:rsidRPr="005F62F4">
              <w:rPr>
                <w:sz w:val="22"/>
                <w:szCs w:val="24"/>
              </w:rPr>
              <w:t xml:space="preserve">and </w:t>
            </w:r>
            <w:r w:rsidR="0054184B" w:rsidRPr="005F62F4">
              <w:rPr>
                <w:sz w:val="22"/>
                <w:szCs w:val="24"/>
              </w:rPr>
              <w:t>4</w:t>
            </w:r>
          </w:p>
        </w:tc>
        <w:tc>
          <w:tcPr>
            <w:tcW w:w="993" w:type="dxa"/>
          </w:tcPr>
          <w:p w14:paraId="3AE6D4F7" w14:textId="514468EA" w:rsidR="003708E8" w:rsidRPr="005F62F4" w:rsidRDefault="003708E8" w:rsidP="00240C14">
            <w:pPr>
              <w:pStyle w:val="TableText"/>
              <w:keepNext/>
              <w:jc w:val="center"/>
              <w:cnfStyle w:val="000000000000" w:firstRow="0" w:lastRow="0" w:firstColumn="0" w:lastColumn="0" w:oddVBand="0" w:evenVBand="0" w:oddHBand="0" w:evenHBand="0" w:firstRowFirstColumn="0" w:firstRowLastColumn="0" w:lastRowFirstColumn="0" w:lastRowLastColumn="0"/>
              <w:rPr>
                <w:sz w:val="22"/>
                <w:szCs w:val="24"/>
              </w:rPr>
            </w:pPr>
            <w:r w:rsidRPr="005F62F4">
              <w:rPr>
                <w:sz w:val="22"/>
                <w:szCs w:val="24"/>
              </w:rPr>
              <w:t>4</w:t>
            </w:r>
          </w:p>
        </w:tc>
      </w:tr>
    </w:tbl>
    <w:p w14:paraId="3A7C3EE4" w14:textId="77777777" w:rsidR="00E70C98" w:rsidRPr="005F62F4" w:rsidRDefault="00E70C98" w:rsidP="00E70C98">
      <w:r w:rsidRPr="005F62F4">
        <w:br w:type="page"/>
      </w:r>
    </w:p>
    <w:p w14:paraId="0A1F9610" w14:textId="22BFFDE7" w:rsidR="00111CC7" w:rsidRPr="005F62F4" w:rsidRDefault="00111CC7" w:rsidP="00D05D9A">
      <w:pPr>
        <w:pStyle w:val="Headingb4"/>
      </w:pPr>
      <w:r w:rsidRPr="005F62F4">
        <w:lastRenderedPageBreak/>
        <w:t>Desktop review</w:t>
      </w:r>
    </w:p>
    <w:p w14:paraId="6B56A8BD" w14:textId="51EB4147" w:rsidR="00EE3E41" w:rsidRPr="005F62F4" w:rsidRDefault="00860480" w:rsidP="00EE3E41">
      <w:pPr>
        <w:pStyle w:val="ParaKeep"/>
      </w:pPr>
      <w:r w:rsidRPr="005F62F4">
        <w:rPr>
          <w:lang w:eastAsia="en-AU"/>
        </w:rPr>
        <w:t>We undertook a</w:t>
      </w:r>
      <w:r w:rsidR="00D91699" w:rsidRPr="005F62F4">
        <w:rPr>
          <w:lang w:eastAsia="en-AU"/>
        </w:rPr>
        <w:t xml:space="preserve"> desktop review </w:t>
      </w:r>
      <w:r w:rsidR="008D75A0" w:rsidRPr="005F62F4" w:rsidDel="004C5520">
        <w:t xml:space="preserve">to </w:t>
      </w:r>
      <w:r w:rsidR="0064565D" w:rsidRPr="005F62F4">
        <w:t>inform</w:t>
      </w:r>
      <w:r w:rsidR="008D75A0" w:rsidRPr="005F62F4">
        <w:t xml:space="preserve"> all</w:t>
      </w:r>
      <w:r w:rsidR="006B08A3" w:rsidRPr="005F62F4">
        <w:t xml:space="preserve"> </w:t>
      </w:r>
      <w:proofErr w:type="spellStart"/>
      <w:r w:rsidR="008D75A0" w:rsidRPr="005F62F4">
        <w:t>T</w:t>
      </w:r>
      <w:r w:rsidR="00184D63" w:rsidRPr="005F62F4">
        <w:t>o</w:t>
      </w:r>
      <w:r w:rsidR="008D75A0" w:rsidRPr="005F62F4">
        <w:t>Rs</w:t>
      </w:r>
      <w:proofErr w:type="spellEnd"/>
      <w:r w:rsidR="008D75A0" w:rsidRPr="005F62F4" w:rsidDel="00E51632">
        <w:t xml:space="preserve">. </w:t>
      </w:r>
      <w:r w:rsidR="00385BBB" w:rsidRPr="005F62F4">
        <w:t>The purpose of this review was to</w:t>
      </w:r>
      <w:r w:rsidR="00EE3E41" w:rsidRPr="005F62F4">
        <w:t>:</w:t>
      </w:r>
    </w:p>
    <w:p w14:paraId="1C97CD6C" w14:textId="16FD5CDE" w:rsidR="00620465" w:rsidRPr="005F62F4" w:rsidRDefault="00385BBB" w:rsidP="00C56A47">
      <w:pPr>
        <w:pStyle w:val="Bullet1"/>
        <w:ind w:right="-624"/>
      </w:pPr>
      <w:r w:rsidRPr="005F62F4">
        <w:t xml:space="preserve">develop a deeper understanding of the clinical role of surgical guides and </w:t>
      </w:r>
      <w:proofErr w:type="spellStart"/>
      <w:r w:rsidRPr="005F62F4">
        <w:t>biomodels</w:t>
      </w:r>
      <w:proofErr w:type="spellEnd"/>
      <w:r w:rsidR="001407D7" w:rsidRPr="005F62F4">
        <w:t xml:space="preserve"> in general</w:t>
      </w:r>
    </w:p>
    <w:p w14:paraId="5D8A17C6" w14:textId="10E06DDE" w:rsidR="00620465" w:rsidRPr="005F62F4" w:rsidRDefault="008A07F7" w:rsidP="00B90CCA">
      <w:pPr>
        <w:pStyle w:val="Bullet1"/>
        <w:ind w:right="-227"/>
      </w:pPr>
      <w:r w:rsidRPr="005F62F4">
        <w:t xml:space="preserve">gain insight into the application of </w:t>
      </w:r>
      <w:r w:rsidR="00607E77" w:rsidRPr="005F62F4">
        <w:t xml:space="preserve">the </w:t>
      </w:r>
      <w:r w:rsidRPr="005F62F4">
        <w:t xml:space="preserve">in-scope surgical guides and </w:t>
      </w:r>
      <w:proofErr w:type="spellStart"/>
      <w:r w:rsidRPr="005F62F4">
        <w:t>biomodels</w:t>
      </w:r>
      <w:proofErr w:type="spellEnd"/>
      <w:r w:rsidRPr="005F62F4">
        <w:t xml:space="preserve"> </w:t>
      </w:r>
      <w:r w:rsidR="00D02F8F" w:rsidRPr="005F62F4">
        <w:t>in particular</w:t>
      </w:r>
    </w:p>
    <w:p w14:paraId="4CA1A2BF" w14:textId="3AB647C6" w:rsidR="00EE3E41" w:rsidRPr="005F62F4" w:rsidRDefault="008A07F7" w:rsidP="00B90CCA">
      <w:pPr>
        <w:pStyle w:val="Bullet1"/>
        <w:ind w:right="-227"/>
      </w:pPr>
      <w:r w:rsidRPr="005F62F4">
        <w:t xml:space="preserve">explore the extent to which </w:t>
      </w:r>
      <w:r w:rsidR="00AC1F8E" w:rsidRPr="005F62F4">
        <w:t xml:space="preserve">the surgical guides and </w:t>
      </w:r>
      <w:proofErr w:type="spellStart"/>
      <w:r w:rsidR="00AC1F8E" w:rsidRPr="005F62F4">
        <w:t>biomodels</w:t>
      </w:r>
      <w:proofErr w:type="spellEnd"/>
      <w:r w:rsidR="00AC1F8E" w:rsidRPr="005F62F4">
        <w:t xml:space="preserve"> current</w:t>
      </w:r>
      <w:r w:rsidR="00B737D7" w:rsidRPr="005F62F4">
        <w:t xml:space="preserve">ly </w:t>
      </w:r>
      <w:r w:rsidR="00AC1F8E" w:rsidRPr="005F62F4">
        <w:t xml:space="preserve">listed on the PL align with the </w:t>
      </w:r>
      <w:r w:rsidR="00924D20" w:rsidRPr="005F62F4">
        <w:t xml:space="preserve">eligibility </w:t>
      </w:r>
      <w:r w:rsidR="00AC1F8E" w:rsidRPr="005F62F4">
        <w:t>criteria outlined in the PL guide</w:t>
      </w:r>
      <w:r w:rsidR="00B16B10" w:rsidRPr="005F62F4">
        <w:t>.</w:t>
      </w:r>
    </w:p>
    <w:p w14:paraId="0AD92DDC" w14:textId="2BE8EA96" w:rsidR="00155995" w:rsidRPr="005F62F4" w:rsidRDefault="009D4CDB" w:rsidP="00155995">
      <w:pPr>
        <w:pStyle w:val="ParaKeep"/>
      </w:pPr>
      <w:r w:rsidRPr="005F62F4">
        <w:t xml:space="preserve">This review considered </w:t>
      </w:r>
      <w:r w:rsidR="002D6DA6" w:rsidRPr="005F62F4">
        <w:t xml:space="preserve">a range of </w:t>
      </w:r>
      <w:r w:rsidRPr="005F62F4">
        <w:t>documents and data,</w:t>
      </w:r>
      <w:r w:rsidR="007A0CBA" w:rsidRPr="005F62F4">
        <w:t xml:space="preserve"> including</w:t>
      </w:r>
      <w:r w:rsidR="00155995" w:rsidRPr="005F62F4">
        <w:t>:</w:t>
      </w:r>
    </w:p>
    <w:p w14:paraId="52FA328E" w14:textId="7A0EC0F2" w:rsidR="00155995" w:rsidRPr="005F62F4" w:rsidRDefault="007A0CBA" w:rsidP="007C4445">
      <w:pPr>
        <w:pStyle w:val="Bullet1"/>
      </w:pPr>
      <w:r w:rsidRPr="005F62F4">
        <w:t>documents provided by the department, sponsors and stakeholders</w:t>
      </w:r>
    </w:p>
    <w:p w14:paraId="71FFE4F5" w14:textId="46F072CC" w:rsidR="00155995" w:rsidRPr="005F62F4" w:rsidRDefault="007A0CBA" w:rsidP="007C4445">
      <w:pPr>
        <w:pStyle w:val="Bullet1"/>
      </w:pPr>
      <w:r w:rsidRPr="005F62F4">
        <w:t>ut</w:t>
      </w:r>
      <w:r w:rsidR="00FF6A09" w:rsidRPr="005F62F4">
        <w:t>ilisation</w:t>
      </w:r>
      <w:r w:rsidRPr="005F62F4">
        <w:t xml:space="preserve"> data </w:t>
      </w:r>
      <w:r w:rsidR="00FF6A09" w:rsidRPr="005F62F4">
        <w:t>provided by the department</w:t>
      </w:r>
    </w:p>
    <w:p w14:paraId="61F14360" w14:textId="217C4ACB" w:rsidR="00155995" w:rsidRPr="005F62F4" w:rsidRDefault="00FF6A09" w:rsidP="007C4445">
      <w:pPr>
        <w:pStyle w:val="Bullet1"/>
      </w:pPr>
      <w:r w:rsidRPr="005F62F4">
        <w:t>publicly</w:t>
      </w:r>
      <w:r w:rsidR="00A501AD" w:rsidRPr="005F62F4">
        <w:t xml:space="preserve"> </w:t>
      </w:r>
      <w:r w:rsidRPr="005F62F4">
        <w:t xml:space="preserve">available </w:t>
      </w:r>
      <w:r w:rsidR="00A51216" w:rsidRPr="005F62F4">
        <w:t xml:space="preserve">and </w:t>
      </w:r>
      <w:r w:rsidRPr="005F62F4">
        <w:t>supplied grey literature</w:t>
      </w:r>
    </w:p>
    <w:p w14:paraId="5C6B95E1" w14:textId="20CBF621" w:rsidR="00155995" w:rsidRPr="005F62F4" w:rsidRDefault="00FF6A09" w:rsidP="007C4445">
      <w:pPr>
        <w:pStyle w:val="Bullet1"/>
      </w:pPr>
      <w:r w:rsidRPr="005F62F4">
        <w:t>synthesised, peer-reviewed literature</w:t>
      </w:r>
      <w:r w:rsidR="00E839E8" w:rsidRPr="005F62F4">
        <w:t>.</w:t>
      </w:r>
    </w:p>
    <w:p w14:paraId="1A2262FB" w14:textId="18DB0E94" w:rsidR="00693624" w:rsidRPr="005F62F4" w:rsidRDefault="00693624" w:rsidP="00D05D9A">
      <w:pPr>
        <w:pStyle w:val="Headingb4"/>
      </w:pPr>
      <w:r w:rsidRPr="005F62F4">
        <w:t>Stakeholder</w:t>
      </w:r>
      <w:r w:rsidR="004E17D3" w:rsidRPr="005F62F4">
        <w:t xml:space="preserve"> consultations</w:t>
      </w:r>
    </w:p>
    <w:p w14:paraId="417D7F15" w14:textId="25732739" w:rsidR="00DD1184" w:rsidRPr="005F62F4" w:rsidRDefault="00E11C30" w:rsidP="00DD1184">
      <w:pPr>
        <w:pStyle w:val="ParaKeep"/>
      </w:pPr>
      <w:r w:rsidRPr="005F62F4">
        <w:t xml:space="preserve">Interviews </w:t>
      </w:r>
      <w:r w:rsidR="00DD1184" w:rsidRPr="005F62F4">
        <w:t>explored stakeholders’ perspectives on:</w:t>
      </w:r>
    </w:p>
    <w:p w14:paraId="068130C8" w14:textId="77777777" w:rsidR="00DD1184" w:rsidRPr="005F62F4" w:rsidRDefault="00DD1184" w:rsidP="00C82D10">
      <w:pPr>
        <w:pStyle w:val="Bullet1Keep"/>
      </w:pPr>
      <w:r w:rsidRPr="005F62F4">
        <w:t xml:space="preserve">the clinical circumstances in which surgical guides and </w:t>
      </w:r>
      <w:proofErr w:type="spellStart"/>
      <w:r w:rsidRPr="005F62F4">
        <w:t>biomodels</w:t>
      </w:r>
      <w:proofErr w:type="spellEnd"/>
      <w:r w:rsidRPr="005F62F4">
        <w:t xml:space="preserve"> are used</w:t>
      </w:r>
    </w:p>
    <w:p w14:paraId="25392E91" w14:textId="77777777" w:rsidR="00DD1184" w:rsidRPr="005F62F4" w:rsidRDefault="00DD1184" w:rsidP="007C4445">
      <w:pPr>
        <w:pStyle w:val="Bullet1"/>
      </w:pPr>
      <w:r w:rsidRPr="005F62F4">
        <w:t xml:space="preserve">the benefits of surgical guides and </w:t>
      </w:r>
      <w:proofErr w:type="spellStart"/>
      <w:r w:rsidRPr="005F62F4">
        <w:t>biomodels</w:t>
      </w:r>
      <w:proofErr w:type="spellEnd"/>
    </w:p>
    <w:p w14:paraId="1DBC3636" w14:textId="77777777" w:rsidR="00DD1184" w:rsidRPr="005F62F4" w:rsidRDefault="00DD1184" w:rsidP="007C4445">
      <w:pPr>
        <w:pStyle w:val="Bullet1"/>
      </w:pPr>
      <w:r w:rsidRPr="005F62F4">
        <w:t>patterns of use and anticipated future trends</w:t>
      </w:r>
    </w:p>
    <w:p w14:paraId="58787EAC" w14:textId="625C334E" w:rsidR="00DD1184" w:rsidRPr="005F62F4" w:rsidRDefault="00DD1184" w:rsidP="007C4445">
      <w:pPr>
        <w:pStyle w:val="Bullet1"/>
      </w:pPr>
      <w:r w:rsidRPr="005F62F4">
        <w:t xml:space="preserve">the extent to which </w:t>
      </w:r>
      <w:r w:rsidR="002B4D5D" w:rsidRPr="005F62F4">
        <w:t xml:space="preserve">surgical guides and </w:t>
      </w:r>
      <w:proofErr w:type="spellStart"/>
      <w:r w:rsidR="002B4D5D" w:rsidRPr="005F62F4">
        <w:t>biomodels</w:t>
      </w:r>
      <w:proofErr w:type="spellEnd"/>
      <w:r w:rsidR="002B4D5D" w:rsidRPr="005F62F4">
        <w:t xml:space="preserve"> </w:t>
      </w:r>
      <w:r w:rsidRPr="005F62F4">
        <w:t xml:space="preserve">fulfil the criteria for inclusion </w:t>
      </w:r>
      <w:r w:rsidR="00751DB0" w:rsidRPr="005F62F4">
        <w:t>o</w:t>
      </w:r>
      <w:r w:rsidRPr="005F62F4">
        <w:t>n the PL</w:t>
      </w:r>
    </w:p>
    <w:p w14:paraId="21A06A26" w14:textId="77777777" w:rsidR="00DD1184" w:rsidRPr="005F62F4" w:rsidRDefault="00DD1184" w:rsidP="007C4445">
      <w:pPr>
        <w:pStyle w:val="Bullet1"/>
      </w:pPr>
      <w:r w:rsidRPr="005F62F4">
        <w:t xml:space="preserve">the evidence that supports the use of surgical guides and </w:t>
      </w:r>
      <w:proofErr w:type="spellStart"/>
      <w:r w:rsidRPr="005F62F4">
        <w:t>biomodels</w:t>
      </w:r>
      <w:proofErr w:type="spellEnd"/>
    </w:p>
    <w:p w14:paraId="2214E93B" w14:textId="6F28389F" w:rsidR="00DD1184" w:rsidRPr="005F62F4" w:rsidRDefault="00DD1184" w:rsidP="007C4445">
      <w:pPr>
        <w:pStyle w:val="Bullet1"/>
      </w:pPr>
      <w:r w:rsidRPr="005F62F4">
        <w:t xml:space="preserve">what surgical guides and </w:t>
      </w:r>
      <w:proofErr w:type="spellStart"/>
      <w:r w:rsidRPr="005F62F4">
        <w:t>biomodels</w:t>
      </w:r>
      <w:proofErr w:type="spellEnd"/>
      <w:r w:rsidRPr="005F62F4">
        <w:t xml:space="preserve"> should be include</w:t>
      </w:r>
      <w:r w:rsidR="00354DA9" w:rsidRPr="005F62F4">
        <w:t>d</w:t>
      </w:r>
      <w:r w:rsidRPr="005F62F4">
        <w:t>/excluded from the PL.</w:t>
      </w:r>
    </w:p>
    <w:p w14:paraId="343C00EA" w14:textId="69D03479" w:rsidR="00693624" w:rsidRPr="005F62F4" w:rsidRDefault="009431ED" w:rsidP="00693624">
      <w:pPr>
        <w:pStyle w:val="ParaKeep"/>
      </w:pPr>
      <w:r w:rsidRPr="005F62F4">
        <w:t xml:space="preserve">The </w:t>
      </w:r>
      <w:r w:rsidR="005924A4" w:rsidRPr="005F62F4">
        <w:t>d</w:t>
      </w:r>
      <w:r w:rsidRPr="005F62F4">
        <w:t xml:space="preserve">epartment provided AHA with a </w:t>
      </w:r>
      <w:r w:rsidR="00A962EF" w:rsidRPr="005F62F4">
        <w:t xml:space="preserve">list </w:t>
      </w:r>
      <w:r w:rsidR="00381952" w:rsidRPr="005F62F4">
        <w:t xml:space="preserve">of stakeholders to approach for </w:t>
      </w:r>
      <w:r w:rsidR="00A962EF" w:rsidRPr="005F62F4">
        <w:t xml:space="preserve">participation in this review. </w:t>
      </w:r>
      <w:r w:rsidR="005B2EF8" w:rsidRPr="005F62F4">
        <w:t xml:space="preserve">We </w:t>
      </w:r>
      <w:r w:rsidR="002F3FDE" w:rsidRPr="005F62F4">
        <w:t xml:space="preserve">interviewed </w:t>
      </w:r>
      <w:r w:rsidR="005B2EF8" w:rsidRPr="005F62F4">
        <w:t>a</w:t>
      </w:r>
      <w:r w:rsidR="00693624" w:rsidRPr="005F62F4">
        <w:t xml:space="preserve"> total of 3</w:t>
      </w:r>
      <w:r w:rsidR="003E6931" w:rsidRPr="005F62F4">
        <w:t>8</w:t>
      </w:r>
      <w:r w:rsidR="005B2EF8" w:rsidRPr="005F62F4">
        <w:t> </w:t>
      </w:r>
      <w:r w:rsidR="00693624" w:rsidRPr="005F62F4">
        <w:t>stakeholders</w:t>
      </w:r>
      <w:r w:rsidR="00081398" w:rsidRPr="005F62F4">
        <w:t xml:space="preserve"> (see </w:t>
      </w:r>
      <w:r w:rsidR="0094171D" w:rsidRPr="005F62F4">
        <w:fldChar w:fldCharType="begin"/>
      </w:r>
      <w:r w:rsidR="0094171D" w:rsidRPr="005F62F4">
        <w:instrText xml:space="preserve"> REF _Ref119654608 \w \h  \* MERGEFORMAT </w:instrText>
      </w:r>
      <w:r w:rsidR="0094171D" w:rsidRPr="005F62F4">
        <w:fldChar w:fldCharType="separate"/>
      </w:r>
      <w:r w:rsidR="005606BF">
        <w:t>Appendix A</w:t>
      </w:r>
      <w:r w:rsidR="0094171D" w:rsidRPr="005F62F4">
        <w:fldChar w:fldCharType="end"/>
      </w:r>
      <w:r w:rsidR="00081398" w:rsidRPr="005F62F4">
        <w:t>),</w:t>
      </w:r>
      <w:r w:rsidR="00693624" w:rsidRPr="005F62F4">
        <w:t xml:space="preserve"> including:</w:t>
      </w:r>
    </w:p>
    <w:p w14:paraId="7CFBE0A7" w14:textId="471298AF" w:rsidR="00693624" w:rsidRPr="005F62F4" w:rsidRDefault="00FF6202" w:rsidP="007C4445">
      <w:pPr>
        <w:pStyle w:val="Bullet1"/>
      </w:pPr>
      <w:r w:rsidRPr="005F62F4">
        <w:t>6</w:t>
      </w:r>
      <w:r w:rsidR="00F77A9B" w:rsidRPr="005F62F4">
        <w:t> </w:t>
      </w:r>
      <w:r w:rsidR="00693624" w:rsidRPr="005F62F4">
        <w:t xml:space="preserve">department representatives </w:t>
      </w:r>
      <w:r w:rsidR="00E33102" w:rsidRPr="005F62F4">
        <w:t xml:space="preserve">(via a group </w:t>
      </w:r>
      <w:r w:rsidR="00543322" w:rsidRPr="005F62F4">
        <w:t>meeting)</w:t>
      </w:r>
    </w:p>
    <w:p w14:paraId="65E66A17" w14:textId="62200E1A" w:rsidR="00693624" w:rsidRPr="005F62F4" w:rsidRDefault="0014422B" w:rsidP="007C4445">
      <w:pPr>
        <w:pStyle w:val="Bullet1"/>
      </w:pPr>
      <w:r w:rsidRPr="005F62F4">
        <w:t>14 </w:t>
      </w:r>
      <w:r w:rsidR="00837BF4" w:rsidRPr="005F62F4">
        <w:t xml:space="preserve">surgeons </w:t>
      </w:r>
      <w:r w:rsidR="00E3787C" w:rsidRPr="005F62F4">
        <w:t xml:space="preserve">(we </w:t>
      </w:r>
      <w:r w:rsidR="00A731B2" w:rsidRPr="005F62F4">
        <w:t xml:space="preserve">also </w:t>
      </w:r>
      <w:r w:rsidR="00E3787C" w:rsidRPr="005F62F4">
        <w:t xml:space="preserve">received a written submission from </w:t>
      </w:r>
      <w:r w:rsidR="00494908" w:rsidRPr="005F62F4">
        <w:t>one additional surgeon)</w:t>
      </w:r>
    </w:p>
    <w:p w14:paraId="5380E546" w14:textId="65F0A5CB" w:rsidR="00693624" w:rsidRPr="005F62F4" w:rsidRDefault="00693624" w:rsidP="007C4445">
      <w:pPr>
        <w:pStyle w:val="Bullet1"/>
      </w:pPr>
      <w:r w:rsidRPr="005F62F4">
        <w:t>11</w:t>
      </w:r>
      <w:r w:rsidR="00455CC9" w:rsidRPr="005F62F4">
        <w:t> </w:t>
      </w:r>
      <w:r w:rsidRPr="005F62F4">
        <w:t xml:space="preserve">representatives from </w:t>
      </w:r>
      <w:r w:rsidR="00CB1FA5" w:rsidRPr="005F62F4">
        <w:t>8 peak bodies (</w:t>
      </w:r>
      <w:r w:rsidR="00810A04" w:rsidRPr="005F62F4">
        <w:t>surgical</w:t>
      </w:r>
      <w:r w:rsidR="00593535" w:rsidRPr="005F62F4">
        <w:t xml:space="preserve">, </w:t>
      </w:r>
      <w:r w:rsidR="00414AB9" w:rsidRPr="005F62F4">
        <w:t>medical technology</w:t>
      </w:r>
      <w:r w:rsidR="00AF2E5B" w:rsidRPr="005F62F4">
        <w:t>, private hospital</w:t>
      </w:r>
      <w:r w:rsidR="00810A04" w:rsidRPr="005F62F4">
        <w:t xml:space="preserve"> and private health insurance</w:t>
      </w:r>
      <w:r w:rsidR="00FE3BE0" w:rsidRPr="005F62F4">
        <w:t>) and</w:t>
      </w:r>
      <w:r w:rsidR="00961C34" w:rsidRPr="005F62F4">
        <w:t xml:space="preserve"> </w:t>
      </w:r>
      <w:r w:rsidR="005261A5" w:rsidRPr="005F62F4">
        <w:t>technical organisations</w:t>
      </w:r>
    </w:p>
    <w:p w14:paraId="40EC07F4" w14:textId="250C140E" w:rsidR="00EC177A" w:rsidRPr="005F62F4" w:rsidRDefault="00B4476C" w:rsidP="00513504">
      <w:pPr>
        <w:pStyle w:val="Bullet1"/>
      </w:pPr>
      <w:r w:rsidRPr="005F62F4">
        <w:t xml:space="preserve">8 representatives from 3 product sponsors who </w:t>
      </w:r>
      <w:r w:rsidR="00A731B2" w:rsidRPr="005F62F4">
        <w:t xml:space="preserve">took </w:t>
      </w:r>
      <w:r w:rsidR="00D93759" w:rsidRPr="005F62F4">
        <w:t>up</w:t>
      </w:r>
      <w:r w:rsidR="00A731B2" w:rsidRPr="005F62F4">
        <w:t xml:space="preserve"> the opportunity of an </w:t>
      </w:r>
      <w:r w:rsidRPr="005F62F4">
        <w:t xml:space="preserve">interview in addition to </w:t>
      </w:r>
      <w:r w:rsidR="00A731B2" w:rsidRPr="005F62F4">
        <w:t>providing</w:t>
      </w:r>
      <w:r w:rsidRPr="005F62F4">
        <w:t xml:space="preserve"> written submissions</w:t>
      </w:r>
      <w:r w:rsidR="00443FBC" w:rsidRPr="005F62F4">
        <w:t xml:space="preserve"> (see below)</w:t>
      </w:r>
      <w:r w:rsidRPr="005F62F4">
        <w:t>.</w:t>
      </w:r>
    </w:p>
    <w:p w14:paraId="53834160" w14:textId="07FA206B" w:rsidR="00EC177A" w:rsidRPr="005F62F4" w:rsidRDefault="006B22C5" w:rsidP="00513504">
      <w:pPr>
        <w:pStyle w:val="Para"/>
      </w:pPr>
      <w:r w:rsidRPr="005F62F4">
        <w:t>All stakeholders consulted were given the opportunity to review and provide written feedback on the draft of this report. We received a total of 10 submissions and relevant feedback was incorporated into this final report</w:t>
      </w:r>
      <w:r w:rsidR="00EC177A" w:rsidRPr="005F62F4">
        <w:t>.</w:t>
      </w:r>
    </w:p>
    <w:p w14:paraId="74DDCDF0" w14:textId="30655C87" w:rsidR="00E70C98" w:rsidRPr="005F62F4" w:rsidRDefault="00E70C98">
      <w:pPr>
        <w:spacing w:after="200" w:line="276" w:lineRule="auto"/>
      </w:pPr>
      <w:r w:rsidRPr="005F62F4">
        <w:br w:type="page"/>
      </w:r>
    </w:p>
    <w:p w14:paraId="43E8C5C1" w14:textId="350D896C" w:rsidR="002B4D5D" w:rsidRPr="005F62F4" w:rsidRDefault="002B4D5D" w:rsidP="00D05D9A">
      <w:pPr>
        <w:pStyle w:val="Headingb4"/>
      </w:pPr>
      <w:r w:rsidRPr="005F62F4">
        <w:lastRenderedPageBreak/>
        <w:t>Submissions from sponsors</w:t>
      </w:r>
    </w:p>
    <w:p w14:paraId="53F76351" w14:textId="489A4EB3" w:rsidR="002B4D5D" w:rsidRPr="005F62F4" w:rsidRDefault="002B4D5D" w:rsidP="002B4D5D">
      <w:pPr>
        <w:pStyle w:val="ParaKeep"/>
        <w:rPr>
          <w:lang w:eastAsia="en-AU"/>
        </w:rPr>
      </w:pPr>
      <w:r w:rsidRPr="005F62F4">
        <w:rPr>
          <w:lang w:eastAsia="en-AU"/>
        </w:rPr>
        <w:t xml:space="preserve">Submissions were received from 8 of the 9 sponsors. Sponsors were </w:t>
      </w:r>
      <w:r w:rsidR="00DB6E6B" w:rsidRPr="005F62F4">
        <w:rPr>
          <w:lang w:eastAsia="en-AU"/>
        </w:rPr>
        <w:t xml:space="preserve">asked </w:t>
      </w:r>
      <w:r w:rsidRPr="005F62F4">
        <w:rPr>
          <w:lang w:eastAsia="en-AU"/>
        </w:rPr>
        <w:t>to provide</w:t>
      </w:r>
      <w:r w:rsidR="00DB6E6B" w:rsidRPr="005F62F4">
        <w:rPr>
          <w:lang w:eastAsia="en-AU"/>
        </w:rPr>
        <w:t>:</w:t>
      </w:r>
    </w:p>
    <w:p w14:paraId="54A9EAF9" w14:textId="17D97739" w:rsidR="002B4D5D" w:rsidRPr="005F62F4" w:rsidRDefault="002B4D5D" w:rsidP="0043244F">
      <w:pPr>
        <w:pStyle w:val="Bullet1"/>
        <w:rPr>
          <w:szCs w:val="22"/>
        </w:rPr>
      </w:pPr>
      <w:r w:rsidRPr="005F62F4">
        <w:t xml:space="preserve">Evidence regarding the comparative clinical benefits and clinical effectiveness of surgical guides and </w:t>
      </w:r>
      <w:proofErr w:type="spellStart"/>
      <w:r w:rsidRPr="005F62F4">
        <w:t>biomodels</w:t>
      </w:r>
      <w:proofErr w:type="spellEnd"/>
      <w:r w:rsidRPr="005F62F4">
        <w:t xml:space="preserve">, when compared to </w:t>
      </w:r>
      <w:r w:rsidR="0064755D" w:rsidRPr="005F62F4">
        <w:t>‘</w:t>
      </w:r>
      <w:r w:rsidRPr="005F62F4">
        <w:t>standard care</w:t>
      </w:r>
      <w:r w:rsidR="0064755D" w:rsidRPr="005F62F4">
        <w:t>’</w:t>
      </w:r>
      <w:r w:rsidRPr="005F62F4">
        <w:t xml:space="preserve"> or surgery without their use</w:t>
      </w:r>
      <w:r w:rsidR="006C3989" w:rsidRPr="005F62F4">
        <w:t>, for</w:t>
      </w:r>
      <w:r w:rsidR="000638E2" w:rsidRPr="005F62F4">
        <w:t xml:space="preserve"> consideration in our systematic and desktop reviews</w:t>
      </w:r>
      <w:r w:rsidR="003E045B" w:rsidRPr="005F62F4">
        <w:t>.</w:t>
      </w:r>
    </w:p>
    <w:p w14:paraId="15A8366A" w14:textId="2653EEE0" w:rsidR="002B4D5D" w:rsidRPr="005F62F4" w:rsidRDefault="002B4D5D" w:rsidP="0043244F">
      <w:pPr>
        <w:pStyle w:val="Bullet1"/>
        <w:rPr>
          <w:szCs w:val="22"/>
        </w:rPr>
      </w:pPr>
      <w:r w:rsidRPr="005F62F4">
        <w:t xml:space="preserve">Information on </w:t>
      </w:r>
      <w:r w:rsidR="008438DB" w:rsidRPr="005F62F4">
        <w:rPr>
          <w:szCs w:val="22"/>
        </w:rPr>
        <w:t xml:space="preserve">the current role of </w:t>
      </w:r>
      <w:r w:rsidR="008438DB" w:rsidRPr="005F62F4">
        <w:t xml:space="preserve">surgical guides and </w:t>
      </w:r>
      <w:proofErr w:type="spellStart"/>
      <w:r w:rsidR="008438DB" w:rsidRPr="005F62F4">
        <w:rPr>
          <w:szCs w:val="22"/>
        </w:rPr>
        <w:t>biomodels</w:t>
      </w:r>
      <w:proofErr w:type="spellEnd"/>
      <w:r w:rsidR="008438DB" w:rsidRPr="005F62F4">
        <w:rPr>
          <w:szCs w:val="22"/>
        </w:rPr>
        <w:t xml:space="preserve"> in clinical practice</w:t>
      </w:r>
      <w:r w:rsidR="00B81C82" w:rsidRPr="005F62F4">
        <w:rPr>
          <w:szCs w:val="22"/>
        </w:rPr>
        <w:t>, including</w:t>
      </w:r>
      <w:r w:rsidR="008438DB" w:rsidRPr="005F62F4">
        <w:t xml:space="preserve"> </w:t>
      </w:r>
      <w:r w:rsidRPr="005F62F4">
        <w:t>whether (and if so</w:t>
      </w:r>
      <w:r w:rsidR="00B13D30" w:rsidRPr="005F62F4">
        <w:t>,</w:t>
      </w:r>
      <w:r w:rsidRPr="005F62F4">
        <w:t xml:space="preserve"> why) </w:t>
      </w:r>
      <w:r w:rsidR="00B81C82" w:rsidRPr="005F62F4">
        <w:t>they</w:t>
      </w:r>
      <w:r w:rsidRPr="005F62F4">
        <w:rPr>
          <w:szCs w:val="22"/>
        </w:rPr>
        <w:t xml:space="preserve"> are essential as an integral single-use aid for implanting a device and</w:t>
      </w:r>
      <w:r w:rsidR="00B81C82" w:rsidRPr="005F62F4">
        <w:rPr>
          <w:szCs w:val="22"/>
        </w:rPr>
        <w:t xml:space="preserve"> </w:t>
      </w:r>
      <w:r w:rsidRPr="005F62F4">
        <w:rPr>
          <w:szCs w:val="22"/>
        </w:rPr>
        <w:t>ha</w:t>
      </w:r>
      <w:r w:rsidR="00B81C82" w:rsidRPr="005F62F4">
        <w:rPr>
          <w:szCs w:val="22"/>
        </w:rPr>
        <w:t>ve</w:t>
      </w:r>
      <w:r w:rsidRPr="005F62F4">
        <w:rPr>
          <w:szCs w:val="22"/>
        </w:rPr>
        <w:t xml:space="preserve"> a unique and direct connection to the implant</w:t>
      </w:r>
      <w:r w:rsidR="003E045B" w:rsidRPr="005F62F4">
        <w:rPr>
          <w:szCs w:val="22"/>
        </w:rPr>
        <w:t>.</w:t>
      </w:r>
    </w:p>
    <w:p w14:paraId="713C3FD2" w14:textId="76C98D57" w:rsidR="002B4D5D" w:rsidRPr="005F62F4" w:rsidRDefault="00BD7FE8" w:rsidP="0043244F">
      <w:pPr>
        <w:pStyle w:val="Bullet1"/>
        <w:rPr>
          <w:szCs w:val="22"/>
        </w:rPr>
      </w:pPr>
      <w:r w:rsidRPr="005F62F4">
        <w:t>T</w:t>
      </w:r>
      <w:r w:rsidR="002B4D5D" w:rsidRPr="005F62F4">
        <w:t>he A</w:t>
      </w:r>
      <w:r w:rsidR="00DA33A1">
        <w:t>RTG</w:t>
      </w:r>
      <w:r w:rsidR="002B4D5D" w:rsidRPr="005F62F4">
        <w:rPr>
          <w:szCs w:val="22"/>
        </w:rPr>
        <w:t xml:space="preserve"> identification number for each product, or advice as to </w:t>
      </w:r>
      <w:r w:rsidR="001C4AC1" w:rsidRPr="005F62F4">
        <w:rPr>
          <w:szCs w:val="22"/>
        </w:rPr>
        <w:t>where</w:t>
      </w:r>
      <w:r w:rsidR="002B4D5D" w:rsidRPr="005F62F4">
        <w:rPr>
          <w:szCs w:val="22"/>
        </w:rPr>
        <w:t xml:space="preserve"> the product is in the</w:t>
      </w:r>
      <w:r w:rsidR="001C4AC1" w:rsidRPr="005F62F4">
        <w:rPr>
          <w:szCs w:val="22"/>
        </w:rPr>
        <w:t xml:space="preserve"> </w:t>
      </w:r>
      <w:r w:rsidR="001C4AC1" w:rsidRPr="005F62F4">
        <w:t>medical device inclusion process</w:t>
      </w:r>
      <w:r w:rsidR="002B4D5D" w:rsidRPr="005F62F4">
        <w:rPr>
          <w:szCs w:val="22"/>
        </w:rPr>
        <w:t>.</w:t>
      </w:r>
    </w:p>
    <w:p w14:paraId="2F6947C9" w14:textId="74719874" w:rsidR="002B4D5D" w:rsidRPr="005F62F4" w:rsidRDefault="002B4D5D" w:rsidP="002B4D5D">
      <w:pPr>
        <w:pStyle w:val="Para"/>
      </w:pPr>
      <w:r w:rsidRPr="005F62F4">
        <w:t xml:space="preserve">Sponsors were also </w:t>
      </w:r>
      <w:r w:rsidR="00680AE4" w:rsidRPr="005F62F4">
        <w:t>asked</w:t>
      </w:r>
      <w:r w:rsidRPr="005F62F4">
        <w:t xml:space="preserve"> to identify any commercial</w:t>
      </w:r>
      <w:r w:rsidR="00BD7FE8" w:rsidRPr="005F62F4">
        <w:t>-</w:t>
      </w:r>
      <w:r w:rsidRPr="005F62F4">
        <w:t>in</w:t>
      </w:r>
      <w:r w:rsidR="00BD7FE8" w:rsidRPr="005F62F4">
        <w:t>-</w:t>
      </w:r>
      <w:r w:rsidRPr="005F62F4">
        <w:t>confidence information</w:t>
      </w:r>
      <w:r w:rsidR="00BD7FE8" w:rsidRPr="005F62F4">
        <w:t>, w</w:t>
      </w:r>
      <w:r w:rsidR="009225BF" w:rsidRPr="005F62F4">
        <w:t>hich has been</w:t>
      </w:r>
      <w:r w:rsidRPr="005F62F4">
        <w:t xml:space="preserve"> redacted</w:t>
      </w:r>
      <w:r w:rsidR="009225BF" w:rsidRPr="005F62F4">
        <w:t xml:space="preserve"> in this report</w:t>
      </w:r>
      <w:r w:rsidRPr="005F62F4">
        <w:t>.</w:t>
      </w:r>
    </w:p>
    <w:p w14:paraId="3DE360E5" w14:textId="60199BBB" w:rsidR="00111CC7" w:rsidRPr="005F62F4" w:rsidRDefault="00111CC7" w:rsidP="00D05D9A">
      <w:pPr>
        <w:pStyle w:val="Headingb4"/>
      </w:pPr>
      <w:r w:rsidRPr="005F62F4">
        <w:t>Systematic review</w:t>
      </w:r>
    </w:p>
    <w:p w14:paraId="2B0025EA" w14:textId="26885B67" w:rsidR="002B4D5D" w:rsidRPr="005F62F4" w:rsidRDefault="00A20936" w:rsidP="002B4D5D">
      <w:pPr>
        <w:pStyle w:val="Para"/>
        <w:rPr>
          <w:lang w:eastAsia="en-AU"/>
        </w:rPr>
      </w:pPr>
      <w:r w:rsidRPr="005F62F4">
        <w:rPr>
          <w:lang w:eastAsia="en-AU"/>
        </w:rPr>
        <w:t xml:space="preserve">We </w:t>
      </w:r>
      <w:r w:rsidR="00B2747F" w:rsidRPr="005F62F4">
        <w:rPr>
          <w:lang w:eastAsia="en-AU"/>
        </w:rPr>
        <w:t>conducted</w:t>
      </w:r>
      <w:r w:rsidR="002D27B7" w:rsidRPr="005F62F4">
        <w:rPr>
          <w:lang w:eastAsia="en-AU"/>
        </w:rPr>
        <w:t xml:space="preserve"> </w:t>
      </w:r>
      <w:r w:rsidR="00BB5C91" w:rsidRPr="005F62F4">
        <w:rPr>
          <w:lang w:eastAsia="en-AU"/>
        </w:rPr>
        <w:t xml:space="preserve">a rapid and targeted systematic review </w:t>
      </w:r>
      <w:r w:rsidR="00F556AD" w:rsidRPr="005F62F4">
        <w:rPr>
          <w:lang w:eastAsia="en-AU"/>
        </w:rPr>
        <w:t xml:space="preserve">to inform both </w:t>
      </w:r>
      <w:proofErr w:type="spellStart"/>
      <w:r w:rsidR="00F556AD" w:rsidRPr="005F62F4">
        <w:rPr>
          <w:lang w:eastAsia="en-AU"/>
        </w:rPr>
        <w:t>T</w:t>
      </w:r>
      <w:r w:rsidR="00D25AC9" w:rsidRPr="005F62F4">
        <w:rPr>
          <w:lang w:eastAsia="en-AU"/>
        </w:rPr>
        <w:t>o</w:t>
      </w:r>
      <w:r w:rsidR="00F556AD" w:rsidRPr="005F62F4">
        <w:rPr>
          <w:lang w:eastAsia="en-AU"/>
        </w:rPr>
        <w:t>R</w:t>
      </w:r>
      <w:proofErr w:type="spellEnd"/>
      <w:r w:rsidR="00A96525" w:rsidRPr="005F62F4">
        <w:rPr>
          <w:lang w:eastAsia="en-AU"/>
        </w:rPr>
        <w:t> </w:t>
      </w:r>
      <w:r w:rsidR="0054184B" w:rsidRPr="005F62F4">
        <w:rPr>
          <w:lang w:eastAsia="en-AU"/>
        </w:rPr>
        <w:t>2</w:t>
      </w:r>
      <w:r w:rsidR="00F556AD" w:rsidRPr="005F62F4">
        <w:rPr>
          <w:lang w:eastAsia="en-AU"/>
        </w:rPr>
        <w:t xml:space="preserve"> and 4. The purpose of this review was</w:t>
      </w:r>
      <w:r w:rsidR="00BB5C91" w:rsidRPr="005F62F4">
        <w:rPr>
          <w:lang w:eastAsia="en-AU"/>
        </w:rPr>
        <w:t xml:space="preserve"> </w:t>
      </w:r>
      <w:r w:rsidR="009C5514" w:rsidRPr="005F62F4">
        <w:rPr>
          <w:lang w:eastAsia="en-AU"/>
        </w:rPr>
        <w:t>to identify evi</w:t>
      </w:r>
      <w:r w:rsidR="00B14324" w:rsidRPr="005F62F4">
        <w:rPr>
          <w:lang w:eastAsia="en-AU"/>
        </w:rPr>
        <w:t>d</w:t>
      </w:r>
      <w:r w:rsidR="009C5514" w:rsidRPr="005F62F4">
        <w:rPr>
          <w:lang w:eastAsia="en-AU"/>
        </w:rPr>
        <w:t xml:space="preserve">ence </w:t>
      </w:r>
      <w:r w:rsidR="00196D7B" w:rsidRPr="005F62F4">
        <w:rPr>
          <w:lang w:eastAsia="en-AU"/>
        </w:rPr>
        <w:t xml:space="preserve">on </w:t>
      </w:r>
      <w:r w:rsidR="009C5514" w:rsidRPr="005F62F4">
        <w:rPr>
          <w:lang w:eastAsia="en-AU"/>
        </w:rPr>
        <w:t xml:space="preserve">the comparative clinical effectiveness of the in-scope </w:t>
      </w:r>
      <w:r w:rsidR="00B14324" w:rsidRPr="005F62F4">
        <w:rPr>
          <w:lang w:eastAsia="en-AU"/>
        </w:rPr>
        <w:t xml:space="preserve">surgical guides and </w:t>
      </w:r>
      <w:proofErr w:type="spellStart"/>
      <w:r w:rsidR="00B14324" w:rsidRPr="005F62F4">
        <w:rPr>
          <w:lang w:eastAsia="en-AU"/>
        </w:rPr>
        <w:t>biomodels</w:t>
      </w:r>
      <w:proofErr w:type="spellEnd"/>
      <w:r w:rsidR="00B14324" w:rsidRPr="005F62F4">
        <w:rPr>
          <w:lang w:eastAsia="en-AU"/>
        </w:rPr>
        <w:t>.</w:t>
      </w:r>
      <w:r w:rsidR="00CD3271" w:rsidRPr="005F62F4">
        <w:rPr>
          <w:lang w:eastAsia="en-AU"/>
        </w:rPr>
        <w:t xml:space="preserve"> See </w:t>
      </w:r>
      <w:r w:rsidR="00515067" w:rsidRPr="005F62F4">
        <w:rPr>
          <w:lang w:eastAsia="en-AU"/>
        </w:rPr>
        <w:fldChar w:fldCharType="begin"/>
      </w:r>
      <w:r w:rsidR="00515067" w:rsidRPr="005F62F4">
        <w:rPr>
          <w:lang w:eastAsia="en-AU"/>
        </w:rPr>
        <w:instrText xml:space="preserve"> REF _Ref119487926 \n \h </w:instrText>
      </w:r>
      <w:r w:rsidR="005F62F4">
        <w:rPr>
          <w:lang w:eastAsia="en-AU"/>
        </w:rPr>
        <w:instrText xml:space="preserve"> \* MERGEFORMAT </w:instrText>
      </w:r>
      <w:r w:rsidR="00515067" w:rsidRPr="005F62F4">
        <w:rPr>
          <w:lang w:eastAsia="en-AU"/>
        </w:rPr>
      </w:r>
      <w:r w:rsidR="00515067" w:rsidRPr="005F62F4">
        <w:rPr>
          <w:lang w:eastAsia="en-AU"/>
        </w:rPr>
        <w:fldChar w:fldCharType="separate"/>
      </w:r>
      <w:r w:rsidR="005606BF">
        <w:rPr>
          <w:lang w:eastAsia="en-AU"/>
        </w:rPr>
        <w:t>Section 2</w:t>
      </w:r>
      <w:r w:rsidR="00515067" w:rsidRPr="005F62F4">
        <w:rPr>
          <w:lang w:eastAsia="en-AU"/>
        </w:rPr>
        <w:fldChar w:fldCharType="end"/>
      </w:r>
      <w:r w:rsidR="00A501AD" w:rsidRPr="005F62F4">
        <w:rPr>
          <w:lang w:eastAsia="en-AU"/>
        </w:rPr>
        <w:t xml:space="preserve"> for</w:t>
      </w:r>
      <w:r w:rsidR="002524E9" w:rsidRPr="005F62F4">
        <w:rPr>
          <w:lang w:eastAsia="en-AU"/>
        </w:rPr>
        <w:t xml:space="preserve"> details.</w:t>
      </w:r>
    </w:p>
    <w:p w14:paraId="61D7D7AD" w14:textId="7EFE575A" w:rsidR="002B4D5D" w:rsidRPr="005F62F4" w:rsidRDefault="00EA56EB" w:rsidP="00D05D9A">
      <w:pPr>
        <w:pStyle w:val="Headingb4"/>
      </w:pPr>
      <w:r w:rsidRPr="005F62F4">
        <w:t>A</w:t>
      </w:r>
      <w:r w:rsidR="002B4D5D" w:rsidRPr="005F62F4">
        <w:t>nalysis of utilisation data</w:t>
      </w:r>
    </w:p>
    <w:p w14:paraId="122F1CE8" w14:textId="75CB4C2B" w:rsidR="00B15A0D" w:rsidRPr="005F62F4" w:rsidRDefault="002F5D1E">
      <w:pPr>
        <w:pStyle w:val="Para"/>
        <w:numPr>
          <w:ilvl w:val="0"/>
          <w:numId w:val="10"/>
        </w:numPr>
        <w:rPr>
          <w:lang w:eastAsia="en-AU"/>
        </w:rPr>
      </w:pPr>
      <w:r w:rsidRPr="005F62F4">
        <w:rPr>
          <w:lang w:eastAsia="en-AU"/>
        </w:rPr>
        <w:t>We analys</w:t>
      </w:r>
      <w:r w:rsidR="00214BE8" w:rsidRPr="005F62F4">
        <w:rPr>
          <w:lang w:eastAsia="en-AU"/>
        </w:rPr>
        <w:t>ed</w:t>
      </w:r>
      <w:r w:rsidRPr="005F62F4">
        <w:rPr>
          <w:lang w:eastAsia="en-AU"/>
        </w:rPr>
        <w:t xml:space="preserve"> Hospital </w:t>
      </w:r>
      <w:proofErr w:type="spellStart"/>
      <w:r w:rsidRPr="005F62F4">
        <w:rPr>
          <w:lang w:eastAsia="en-AU"/>
        </w:rPr>
        <w:t>Casemix</w:t>
      </w:r>
      <w:proofErr w:type="spellEnd"/>
      <w:r w:rsidRPr="005F62F4">
        <w:rPr>
          <w:lang w:eastAsia="en-AU"/>
        </w:rPr>
        <w:t xml:space="preserve"> Protocol (HCP1) data, Australian Prudential Regulation Authority (APRA) data and Medicare Item </w:t>
      </w:r>
      <w:r w:rsidR="003E6831" w:rsidRPr="005F62F4">
        <w:rPr>
          <w:lang w:eastAsia="en-AU"/>
        </w:rPr>
        <w:t>R</w:t>
      </w:r>
      <w:r w:rsidRPr="005F62F4">
        <w:rPr>
          <w:lang w:eastAsia="en-AU"/>
        </w:rPr>
        <w:t xml:space="preserve">eports to inform </w:t>
      </w:r>
      <w:proofErr w:type="spellStart"/>
      <w:r w:rsidRPr="005F62F4">
        <w:rPr>
          <w:lang w:eastAsia="en-AU"/>
        </w:rPr>
        <w:t>ToR</w:t>
      </w:r>
      <w:proofErr w:type="spellEnd"/>
      <w:r w:rsidR="008540EA" w:rsidRPr="005F62F4">
        <w:rPr>
          <w:lang w:eastAsia="en-AU"/>
        </w:rPr>
        <w:t> </w:t>
      </w:r>
      <w:r w:rsidRPr="005F62F4">
        <w:rPr>
          <w:lang w:eastAsia="en-AU"/>
        </w:rPr>
        <w:t xml:space="preserve">3 and 4. </w:t>
      </w:r>
      <w:r w:rsidR="003A5A94" w:rsidRPr="005F62F4">
        <w:rPr>
          <w:lang w:eastAsia="en-AU"/>
        </w:rPr>
        <w:t>See</w:t>
      </w:r>
      <w:r w:rsidR="002524E9" w:rsidRPr="005F62F4">
        <w:rPr>
          <w:lang w:eastAsia="en-AU"/>
        </w:rPr>
        <w:t xml:space="preserve"> </w:t>
      </w:r>
      <w:r w:rsidR="00515067" w:rsidRPr="005F62F4">
        <w:fldChar w:fldCharType="begin"/>
      </w:r>
      <w:r w:rsidR="00515067" w:rsidRPr="005F62F4">
        <w:rPr>
          <w:lang w:eastAsia="en-AU"/>
        </w:rPr>
        <w:instrText xml:space="preserve"> REF _Ref119398618 \n \h </w:instrText>
      </w:r>
      <w:r w:rsidR="005F62F4">
        <w:instrText xml:space="preserve"> \* MERGEFORMAT </w:instrText>
      </w:r>
      <w:r w:rsidR="00515067" w:rsidRPr="005F62F4">
        <w:fldChar w:fldCharType="separate"/>
      </w:r>
      <w:r w:rsidR="005606BF">
        <w:rPr>
          <w:lang w:eastAsia="en-AU"/>
        </w:rPr>
        <w:t>Section 3</w:t>
      </w:r>
      <w:r w:rsidR="00515067" w:rsidRPr="005F62F4">
        <w:fldChar w:fldCharType="end"/>
      </w:r>
      <w:r w:rsidR="002524E9" w:rsidRPr="005F62F4">
        <w:rPr>
          <w:lang w:eastAsia="en-AU"/>
        </w:rPr>
        <w:t xml:space="preserve"> for details</w:t>
      </w:r>
      <w:r w:rsidR="00E21513" w:rsidRPr="005F62F4">
        <w:rPr>
          <w:lang w:eastAsia="en-AU"/>
        </w:rPr>
        <w:t xml:space="preserve"> of the data used</w:t>
      </w:r>
      <w:r w:rsidR="0069796A" w:rsidRPr="005F62F4">
        <w:rPr>
          <w:lang w:eastAsia="en-AU"/>
        </w:rPr>
        <w:t>.</w:t>
      </w:r>
    </w:p>
    <w:p w14:paraId="7FC4A603" w14:textId="375E47A8" w:rsidR="00D76F72" w:rsidRPr="005F62F4" w:rsidRDefault="00D76F72" w:rsidP="002B4D5D">
      <w:pPr>
        <w:pStyle w:val="Para"/>
        <w:rPr>
          <w:lang w:eastAsia="en-AU"/>
        </w:rPr>
        <w:sectPr w:rsidR="00D76F72" w:rsidRPr="005F62F4" w:rsidSect="002C5262">
          <w:headerReference w:type="default" r:id="rId19"/>
          <w:pgSz w:w="11906" w:h="16838" w:code="9"/>
          <w:pgMar w:top="1134" w:right="1134" w:bottom="1021" w:left="1440" w:header="567" w:footer="567" w:gutter="0"/>
          <w:cols w:space="708"/>
          <w:titlePg/>
          <w:docGrid w:linePitch="360"/>
        </w:sectPr>
      </w:pPr>
      <w:bookmarkStart w:id="61" w:name="_Toc388453112"/>
    </w:p>
    <w:p w14:paraId="6DD2377D" w14:textId="77960FB9" w:rsidR="0057325D" w:rsidRPr="005F62F4" w:rsidRDefault="00343A91" w:rsidP="00AF6512">
      <w:pPr>
        <w:pStyle w:val="Heading1"/>
        <w:numPr>
          <w:ilvl w:val="0"/>
          <w:numId w:val="22"/>
        </w:numPr>
      </w:pPr>
      <w:bookmarkStart w:id="62" w:name="_Ref119672930"/>
      <w:bookmarkStart w:id="63" w:name="_Ref119672932"/>
      <w:bookmarkStart w:id="64" w:name="_Ref119672935"/>
      <w:bookmarkStart w:id="65" w:name="_Ref119672952"/>
      <w:bookmarkStart w:id="66" w:name="_Ref119672955"/>
      <w:bookmarkStart w:id="67" w:name="_Ref119672960"/>
      <w:bookmarkStart w:id="68" w:name="_Ref119677095"/>
      <w:bookmarkStart w:id="69" w:name="_Toc120178303"/>
      <w:bookmarkStart w:id="70" w:name="_Toc129954598"/>
      <w:r w:rsidRPr="005F62F4">
        <w:lastRenderedPageBreak/>
        <w:t xml:space="preserve">: </w:t>
      </w:r>
      <w:proofErr w:type="spellStart"/>
      <w:r w:rsidR="0057325D" w:rsidRPr="005F62F4">
        <w:t>ToR</w:t>
      </w:r>
      <w:proofErr w:type="spellEnd"/>
      <w:r w:rsidR="0057325D" w:rsidRPr="005F62F4">
        <w:t xml:space="preserve"> 1</w:t>
      </w:r>
      <w:r w:rsidR="004830A2" w:rsidRPr="005F62F4">
        <w:t xml:space="preserve"> </w:t>
      </w:r>
      <w:bookmarkEnd w:id="61"/>
      <w:r w:rsidR="007C06FF" w:rsidRPr="005F62F4">
        <w:t xml:space="preserve">– </w:t>
      </w:r>
      <w:r w:rsidR="009E3B8F" w:rsidRPr="005F62F4">
        <w:t>Role</w:t>
      </w:r>
      <w:r w:rsidR="00942E57" w:rsidRPr="005F62F4">
        <w:t xml:space="preserve"> of surgical guides</w:t>
      </w:r>
      <w:r w:rsidR="009E3B8F" w:rsidRPr="005F62F4">
        <w:t xml:space="preserve"> </w:t>
      </w:r>
      <w:r w:rsidR="00580C5A" w:rsidRPr="005F62F4">
        <w:t xml:space="preserve">and </w:t>
      </w:r>
      <w:proofErr w:type="spellStart"/>
      <w:r w:rsidR="00580C5A" w:rsidRPr="005F62F4">
        <w:t>biomodels</w:t>
      </w:r>
      <w:proofErr w:type="spellEnd"/>
      <w:r w:rsidR="00580C5A" w:rsidRPr="005F62F4">
        <w:t xml:space="preserve"> </w:t>
      </w:r>
      <w:r w:rsidR="005F565B" w:rsidRPr="005F62F4">
        <w:t>in clinical practice</w:t>
      </w:r>
      <w:bookmarkEnd w:id="62"/>
      <w:bookmarkEnd w:id="63"/>
      <w:bookmarkEnd w:id="64"/>
      <w:bookmarkEnd w:id="65"/>
      <w:bookmarkEnd w:id="66"/>
      <w:bookmarkEnd w:id="67"/>
      <w:bookmarkEnd w:id="68"/>
      <w:bookmarkEnd w:id="69"/>
      <w:bookmarkEnd w:id="70"/>
    </w:p>
    <w:p w14:paraId="4E6C738A" w14:textId="075528E2" w:rsidR="006505A7" w:rsidRPr="005F62F4" w:rsidRDefault="00BC1DC3" w:rsidP="008E1775">
      <w:pPr>
        <w:pStyle w:val="Boxed"/>
      </w:pPr>
      <w:r w:rsidRPr="005F62F4">
        <w:t xml:space="preserve">1. </w:t>
      </w:r>
      <w:r w:rsidR="009E3B8F" w:rsidRPr="005F62F4">
        <w:t xml:space="preserve">Analyse the role of surgical guides </w:t>
      </w:r>
      <w:r w:rsidR="00644238" w:rsidRPr="005F62F4">
        <w:t xml:space="preserve">and </w:t>
      </w:r>
      <w:proofErr w:type="spellStart"/>
      <w:r w:rsidR="00DD5BCA" w:rsidRPr="005F62F4">
        <w:t>biomodels</w:t>
      </w:r>
      <w:proofErr w:type="spellEnd"/>
      <w:r w:rsidR="00DD5BCA" w:rsidRPr="005F62F4">
        <w:t xml:space="preserve"> </w:t>
      </w:r>
      <w:r w:rsidR="009E3B8F" w:rsidRPr="005F62F4">
        <w:t>currently listed on the PL in clinical practice, including future trends in clinical use</w:t>
      </w:r>
      <w:r w:rsidR="003A3BBF" w:rsidRPr="005F62F4">
        <w:t>.</w:t>
      </w:r>
    </w:p>
    <w:p w14:paraId="1DFC1A7A" w14:textId="0EAD1E24" w:rsidR="00963B62" w:rsidRPr="005F62F4" w:rsidRDefault="006505A7" w:rsidP="004F2931">
      <w:pPr>
        <w:pStyle w:val="Heading2"/>
      </w:pPr>
      <w:bookmarkStart w:id="71" w:name="_Toc372542358"/>
      <w:bookmarkStart w:id="72" w:name="_Toc381090932"/>
      <w:bookmarkStart w:id="73" w:name="_Toc388453113"/>
      <w:bookmarkStart w:id="74" w:name="_Ref119586624"/>
      <w:bookmarkStart w:id="75" w:name="_Toc120178304"/>
      <w:bookmarkStart w:id="76" w:name="_Toc129954599"/>
      <w:r w:rsidRPr="005F62F4">
        <w:t xml:space="preserve">Key findings for </w:t>
      </w:r>
      <w:proofErr w:type="spellStart"/>
      <w:r w:rsidRPr="005F62F4">
        <w:t>ToR</w:t>
      </w:r>
      <w:proofErr w:type="spellEnd"/>
      <w:r w:rsidRPr="005F62F4">
        <w:t xml:space="preserve"> </w:t>
      </w:r>
      <w:bookmarkEnd w:id="71"/>
      <w:bookmarkEnd w:id="72"/>
      <w:r w:rsidRPr="005F62F4">
        <w:t>1</w:t>
      </w:r>
      <w:bookmarkEnd w:id="73"/>
      <w:bookmarkEnd w:id="74"/>
      <w:bookmarkEnd w:id="75"/>
      <w:bookmarkEnd w:id="76"/>
    </w:p>
    <w:p w14:paraId="1AB257F3" w14:textId="26CAF944" w:rsidR="00991839" w:rsidRPr="005F62F4" w:rsidRDefault="00991839" w:rsidP="00874D3C">
      <w:pPr>
        <w:pStyle w:val="Keyfindingsbullet"/>
      </w:pPr>
      <w:bookmarkStart w:id="77" w:name="_Ref119869805"/>
      <w:bookmarkStart w:id="78" w:name="_Toc120178305"/>
      <w:bookmarkStart w:id="79" w:name="_Toc388453120"/>
      <w:r w:rsidRPr="005F62F4">
        <w:t>Surgical guides are frequently used in complex CMF surger</w:t>
      </w:r>
      <w:r w:rsidR="00DB7D71" w:rsidRPr="005F62F4">
        <w:t>ies</w:t>
      </w:r>
      <w:r w:rsidRPr="005F62F4">
        <w:t xml:space="preserve"> and have a range of benefits. While there are currently no clinical practice guidelines supporting their use, most stakeholders, including surgeons, considered surgical guides and </w:t>
      </w:r>
      <w:proofErr w:type="spellStart"/>
      <w:r w:rsidRPr="005F62F4">
        <w:t>biomodels</w:t>
      </w:r>
      <w:proofErr w:type="spellEnd"/>
      <w:r w:rsidRPr="005F62F4">
        <w:t xml:space="preserve"> part of the standard of care for complex CMF surgeries.</w:t>
      </w:r>
    </w:p>
    <w:p w14:paraId="46E4B3E2" w14:textId="0F074D1D" w:rsidR="00991839" w:rsidRPr="005F62F4" w:rsidRDefault="00991839" w:rsidP="00874D3C">
      <w:pPr>
        <w:pStyle w:val="Keyfindingsbullet"/>
      </w:pPr>
      <w:r w:rsidRPr="005F62F4">
        <w:t>Surgical guides are also used in less complex surger</w:t>
      </w:r>
      <w:r w:rsidR="009513CB" w:rsidRPr="005F62F4">
        <w:t>ies</w:t>
      </w:r>
      <w:r w:rsidRPr="005F62F4">
        <w:t>; however</w:t>
      </w:r>
      <w:r w:rsidR="0022474B">
        <w:t>,</w:t>
      </w:r>
      <w:r w:rsidRPr="005F62F4">
        <w:t xml:space="preserve"> surgeons and peak </w:t>
      </w:r>
      <w:r w:rsidR="00946530" w:rsidRPr="005F62F4">
        <w:t>body representatives</w:t>
      </w:r>
      <w:r w:rsidRPr="005F62F4">
        <w:t xml:space="preserve"> reported that </w:t>
      </w:r>
      <w:r w:rsidR="00F032A8" w:rsidRPr="005F62F4">
        <w:t>they provide</w:t>
      </w:r>
      <w:r w:rsidRPr="005F62F4">
        <w:t xml:space="preserve"> minimal clinical benefit in simple procedures and question</w:t>
      </w:r>
      <w:r w:rsidR="00946530" w:rsidRPr="005F62F4">
        <w:t>ed</w:t>
      </w:r>
      <w:r w:rsidRPr="005F62F4">
        <w:t xml:space="preserve"> if their use was justified, especially in relation to cost</w:t>
      </w:r>
      <w:r w:rsidR="008173BC" w:rsidRPr="005F62F4">
        <w:t>.</w:t>
      </w:r>
    </w:p>
    <w:p w14:paraId="23810444" w14:textId="7A52C3C4" w:rsidR="00991839" w:rsidRPr="005F62F4" w:rsidRDefault="00991839" w:rsidP="00874D3C">
      <w:pPr>
        <w:pStyle w:val="Keyfindingsbullet"/>
      </w:pPr>
      <w:r w:rsidRPr="005F62F4">
        <w:t xml:space="preserve">Overall, surgeons saw </w:t>
      </w:r>
      <w:proofErr w:type="spellStart"/>
      <w:r w:rsidRPr="005F62F4">
        <w:t>biomodels</w:t>
      </w:r>
      <w:proofErr w:type="spellEnd"/>
      <w:r w:rsidRPr="005F62F4">
        <w:t xml:space="preserve"> as less useful </w:t>
      </w:r>
      <w:r w:rsidR="00CB3B1D" w:rsidRPr="005F62F4">
        <w:t xml:space="preserve">than </w:t>
      </w:r>
      <w:r w:rsidR="002207B1" w:rsidRPr="005F62F4">
        <w:t xml:space="preserve">surgical guides, </w:t>
      </w:r>
      <w:r w:rsidRPr="005F62F4">
        <w:t>except in certain categories of CMF surgery such as TMJ, trauma and oncology procedures where visibility of anatomical structures is hindered; when resection or reconstructive assistance is needed; or when adapting off-the-shelf plates for implantation.</w:t>
      </w:r>
    </w:p>
    <w:p w14:paraId="5DB9431E" w14:textId="6E8D3642" w:rsidR="00F6616A" w:rsidRPr="005F62F4" w:rsidRDefault="00970232" w:rsidP="00874D3C">
      <w:pPr>
        <w:pStyle w:val="Keyfindingsbullet"/>
      </w:pPr>
      <w:r w:rsidRPr="005F62F4">
        <w:t>Stakeholders expect that the u</w:t>
      </w:r>
      <w:r w:rsidR="00991839" w:rsidRPr="005F62F4">
        <w:t xml:space="preserve">se of surgical guides and </w:t>
      </w:r>
      <w:proofErr w:type="spellStart"/>
      <w:r w:rsidR="00991839" w:rsidRPr="005F62F4">
        <w:t>biomodels</w:t>
      </w:r>
      <w:proofErr w:type="spellEnd"/>
      <w:r w:rsidR="00991839" w:rsidRPr="005F62F4">
        <w:t xml:space="preserve"> </w:t>
      </w:r>
      <w:r w:rsidR="004478C6" w:rsidRPr="005F62F4">
        <w:t>will</w:t>
      </w:r>
      <w:r w:rsidR="00991839" w:rsidRPr="005F62F4">
        <w:t xml:space="preserve"> continue </w:t>
      </w:r>
      <w:r w:rsidR="002920AE" w:rsidRPr="005F62F4">
        <w:t xml:space="preserve">to grow </w:t>
      </w:r>
      <w:r w:rsidR="00991839" w:rsidRPr="005F62F4">
        <w:t>and broaden as the technology improves and manufacturing costs reduce.</w:t>
      </w:r>
      <w:r w:rsidR="00481A38" w:rsidRPr="005F62F4">
        <w:t xml:space="preserve"> </w:t>
      </w:r>
      <w:r w:rsidR="00F6616A" w:rsidRPr="005F62F4">
        <w:t xml:space="preserve">Surgeons also suggested that increased use of surgical guides and </w:t>
      </w:r>
      <w:proofErr w:type="spellStart"/>
      <w:r w:rsidR="00F6616A" w:rsidRPr="005F62F4">
        <w:t>biomodels</w:t>
      </w:r>
      <w:proofErr w:type="spellEnd"/>
      <w:r w:rsidR="00F6616A" w:rsidRPr="005F62F4">
        <w:t xml:space="preserve"> is driven by improved patient outcomes, and the inclusion of surgical guides and </w:t>
      </w:r>
      <w:proofErr w:type="spellStart"/>
      <w:r w:rsidR="00F6616A" w:rsidRPr="005F62F4">
        <w:t>biomodels</w:t>
      </w:r>
      <w:proofErr w:type="spellEnd"/>
      <w:r w:rsidR="00F6616A" w:rsidRPr="005F62F4">
        <w:t xml:space="preserve"> as a core part of surgical training.</w:t>
      </w:r>
    </w:p>
    <w:p w14:paraId="58DFCC3E" w14:textId="77777777" w:rsidR="001B04B4" w:rsidRPr="005F62F4" w:rsidRDefault="001B04B4" w:rsidP="001B04B4">
      <w:bookmarkStart w:id="80" w:name="_Ref128466872"/>
      <w:bookmarkStart w:id="81" w:name="_Ref128554214"/>
      <w:bookmarkStart w:id="82" w:name="_Ref128554237"/>
      <w:r w:rsidRPr="005F62F4">
        <w:br w:type="page"/>
      </w:r>
    </w:p>
    <w:p w14:paraId="37E36B1D" w14:textId="2D327CB5" w:rsidR="00062709" w:rsidRPr="005F62F4" w:rsidRDefault="003E41DF" w:rsidP="004F2931">
      <w:pPr>
        <w:pStyle w:val="Heading2"/>
      </w:pPr>
      <w:bookmarkStart w:id="83" w:name="_Ref128655932"/>
      <w:bookmarkStart w:id="84" w:name="_Toc129954600"/>
      <w:r w:rsidRPr="005F62F4">
        <w:lastRenderedPageBreak/>
        <w:t>Clinical use</w:t>
      </w:r>
      <w:bookmarkEnd w:id="77"/>
      <w:bookmarkEnd w:id="78"/>
      <w:bookmarkEnd w:id="80"/>
      <w:bookmarkEnd w:id="81"/>
      <w:bookmarkEnd w:id="82"/>
      <w:bookmarkEnd w:id="83"/>
      <w:bookmarkEnd w:id="84"/>
    </w:p>
    <w:p w14:paraId="16510EE6" w14:textId="1CCF7A9E" w:rsidR="004E1893" w:rsidRPr="005F62F4" w:rsidRDefault="00F06894" w:rsidP="004E1893">
      <w:pPr>
        <w:pStyle w:val="Para"/>
      </w:pPr>
      <w:r w:rsidRPr="005F62F4">
        <w:t xml:space="preserve">Surgical guides and </w:t>
      </w:r>
      <w:proofErr w:type="spellStart"/>
      <w:r w:rsidRPr="005F62F4">
        <w:t>biomodels</w:t>
      </w:r>
      <w:proofErr w:type="spellEnd"/>
      <w:r w:rsidRPr="005F62F4">
        <w:t xml:space="preserve"> are used in </w:t>
      </w:r>
      <w:r w:rsidR="00063CB5" w:rsidRPr="005F62F4">
        <w:t>g</w:t>
      </w:r>
      <w:r w:rsidR="0099643B" w:rsidRPr="005F62F4">
        <w:t>uided implant surgery</w:t>
      </w:r>
      <w:r w:rsidR="00E07A30" w:rsidRPr="005F62F4">
        <w:t>, which</w:t>
      </w:r>
      <w:r w:rsidR="00E641F8" w:rsidRPr="005F62F4">
        <w:t xml:space="preserve"> makes</w:t>
      </w:r>
      <w:r w:rsidR="00E07A30" w:rsidRPr="005F62F4">
        <w:t xml:space="preserve"> use</w:t>
      </w:r>
      <w:r w:rsidR="00E641F8" w:rsidRPr="005F62F4">
        <w:t xml:space="preserve"> of</w:t>
      </w:r>
      <w:r w:rsidR="00E07A30" w:rsidRPr="005F62F4">
        <w:t xml:space="preserve"> </w:t>
      </w:r>
      <w:r w:rsidR="00E414B4" w:rsidRPr="005F62F4">
        <w:t>a r</w:t>
      </w:r>
      <w:r w:rsidR="00EA2CD6" w:rsidRPr="005F62F4">
        <w:t>a</w:t>
      </w:r>
      <w:r w:rsidR="00E414B4" w:rsidRPr="005F62F4">
        <w:t xml:space="preserve">nge of </w:t>
      </w:r>
      <w:r w:rsidR="00E641F8" w:rsidRPr="005F62F4">
        <w:t>digital technologies</w:t>
      </w:r>
      <w:r w:rsidR="009F0453" w:rsidRPr="005F62F4">
        <w:t xml:space="preserve"> and incorporates </w:t>
      </w:r>
      <w:r w:rsidR="009F0453" w:rsidRPr="005F62F4">
        <w:rPr>
          <w:rStyle w:val="Strong"/>
        </w:rPr>
        <w:t>virtual surgical planning</w:t>
      </w:r>
      <w:r w:rsidR="00C83205" w:rsidRPr="005F62F4">
        <w:t xml:space="preserve">. </w:t>
      </w:r>
      <w:r w:rsidR="00741EDE" w:rsidRPr="005F62F4">
        <w:t>Guided implant surgery</w:t>
      </w:r>
      <w:r w:rsidR="00B97488" w:rsidRPr="005F62F4">
        <w:t xml:space="preserve"> uses digital </w:t>
      </w:r>
      <w:r w:rsidR="00CC1459" w:rsidRPr="005F62F4">
        <w:t xml:space="preserve">imaging </w:t>
      </w:r>
      <w:r w:rsidR="00B97488" w:rsidRPr="005F62F4">
        <w:t xml:space="preserve">to create a </w:t>
      </w:r>
      <w:r w:rsidR="00CC1459" w:rsidRPr="005F62F4">
        <w:t xml:space="preserve">virtual </w:t>
      </w:r>
      <w:proofErr w:type="spellStart"/>
      <w:r w:rsidR="00F857C8" w:rsidRPr="005F62F4">
        <w:t>bio</w:t>
      </w:r>
      <w:r w:rsidR="00B97488" w:rsidRPr="005F62F4">
        <w:t>model</w:t>
      </w:r>
      <w:proofErr w:type="spellEnd"/>
      <w:r w:rsidR="00B97488" w:rsidRPr="005F62F4">
        <w:t xml:space="preserve"> of </w:t>
      </w:r>
      <w:r w:rsidR="00146FD8" w:rsidRPr="005F62F4">
        <w:t>a</w:t>
      </w:r>
      <w:r w:rsidR="00B97488" w:rsidRPr="005F62F4">
        <w:t xml:space="preserve"> patient’s anatomy. Th</w:t>
      </w:r>
      <w:r w:rsidR="006A0B10" w:rsidRPr="005F62F4">
        <w:t>is</w:t>
      </w:r>
      <w:r w:rsidR="00B97488" w:rsidRPr="005F62F4">
        <w:t xml:space="preserve"> model is then used </w:t>
      </w:r>
      <w:r w:rsidR="0026495A" w:rsidRPr="005F62F4">
        <w:t xml:space="preserve">in virtual surgical planning </w:t>
      </w:r>
      <w:r w:rsidR="00B97488" w:rsidRPr="005F62F4">
        <w:t xml:space="preserve">to prepare and test treatment options, design a precise surgical plan and create customised implants and </w:t>
      </w:r>
      <w:r w:rsidR="00741E42" w:rsidRPr="005F62F4">
        <w:t>patient-specific tools</w:t>
      </w:r>
      <w:r w:rsidR="00B97488" w:rsidRPr="005F62F4">
        <w:t xml:space="preserve"> such as surgical guides or </w:t>
      </w:r>
      <w:r w:rsidR="00B678C7" w:rsidRPr="005F62F4">
        <w:t>physical</w:t>
      </w:r>
      <w:r w:rsidR="00B97488" w:rsidRPr="005F62F4">
        <w:t xml:space="preserve"> </w:t>
      </w:r>
      <w:proofErr w:type="spellStart"/>
      <w:r w:rsidR="00B97488" w:rsidRPr="005F62F4">
        <w:t>biomodels</w:t>
      </w:r>
      <w:proofErr w:type="spellEnd"/>
      <w:r w:rsidR="00841E84" w:rsidRPr="005F62F4">
        <w:t xml:space="preserve"> </w:t>
      </w:r>
      <w:r w:rsidR="006E19F7" w:rsidRPr="005F62F4">
        <w:t>used during surgery</w:t>
      </w:r>
      <w:r w:rsidR="00841E84" w:rsidRPr="005F62F4">
        <w:t xml:space="preserve"> </w:t>
      </w:r>
      <w:r w:rsidR="00841E84" w:rsidRPr="005F62F4">
        <w:fldChar w:fldCharType="begin" w:fldLock="1"/>
      </w:r>
      <w:r w:rsidR="009E6C0A" w:rsidRPr="005F62F4">
        <w:instrText>ADDIN CSL_CITATION {"citationItems":[{"id":"ITEM-1","itemData":{"DOI":"10.3390/JCM10235655","ISSN":"20770383","PMID":"34884359","abstract":"Virtual surgery planning is a non-invasive procedure, which uses digital clinical data for diagnostic, procedure selection and treatment planning purposes, including the forecast of potential outcomes. The technique begins with 3D data acquisition, using various methods, which may or may not utilize ionizing radiation, such as 3D stereophotogrammetry, 3D cone-beam CT scans, etc. Regardless of the imaging technique selected, landmark selection, whether it is manual or automated, is the key to transforming clinical data into objects that can be interrogated in virtual space. As a prerequisite, the data require alignment and correspondence such that pre-and post-operative configurations can be compared in real and statistical shape space. In addition, these data permit predictive modeling, using either model-based, data-based or hybrid modeling. These approaches provide perspectives for the development of customized surgical procedures and medical devices with accuracy, precision and intelligence. Therefore, this review briefly summarizes the current state of virtual surgery planning.","author":[{"dropping-particle":"","family":"Singh","given":"G. Dave","non-dropping-particle":"","parse-names":false,"suffix":""},{"dropping-particle":"","family":"Singh","given":"Manarshhjot","non-dropping-particle":"","parse-names":false,"suffix":""}],"container-title":"Journal of Clinical Medicine","id":"ITEM-1","issue":"23","issued":{"date-parts":[["2021","12","1"]]},"publisher":"Multidisciplinary Digital Publishing Institute (MDPI)","title":"Virtual surgical planning: modeling from the present to the Future","type":"article-journal","volume":"10"},"uris":["http://www.mendeley.com/documents/?uuid=8b536773-f630-3be5-8ac0-2073a16b4afd"]}],"mendeley":{"formattedCitation":"(Singh and Singh 2021)","plainTextFormattedCitation":"(Singh and Singh 2021)","previouslyFormattedCitation":"(Singh and Singh 2021)"},"properties":{"noteIndex":0},"schema":"https://github.com/citation-style-language/schema/raw/master/csl-citation.json"}</w:instrText>
      </w:r>
      <w:r w:rsidR="00841E84" w:rsidRPr="005F62F4">
        <w:fldChar w:fldCharType="separate"/>
      </w:r>
      <w:r w:rsidR="00F7188B" w:rsidRPr="005F62F4">
        <w:rPr>
          <w:noProof/>
        </w:rPr>
        <w:t>(Singh and Singh 2021)</w:t>
      </w:r>
      <w:r w:rsidR="00841E84" w:rsidRPr="005F62F4">
        <w:fldChar w:fldCharType="end"/>
      </w:r>
      <w:r w:rsidR="00B97488" w:rsidRPr="005F62F4">
        <w:t>.</w:t>
      </w:r>
      <w:r w:rsidR="00E8183A" w:rsidRPr="005F62F4">
        <w:t xml:space="preserve"> </w:t>
      </w:r>
      <w:r w:rsidR="004E1893" w:rsidRPr="005F62F4">
        <w:t xml:space="preserve">While the </w:t>
      </w:r>
      <w:r w:rsidR="00CA575F" w:rsidRPr="005F62F4">
        <w:t xml:space="preserve">details </w:t>
      </w:r>
      <w:r w:rsidR="004E1893" w:rsidRPr="005F62F4">
        <w:t xml:space="preserve">can vary between surgeons, manufacturers and products, </w:t>
      </w:r>
      <w:r w:rsidR="002A418E" w:rsidRPr="005F62F4">
        <w:fldChar w:fldCharType="begin"/>
      </w:r>
      <w:r w:rsidR="002A418E" w:rsidRPr="005F62F4">
        <w:instrText xml:space="preserve"> REF _Ref119907886 \h </w:instrText>
      </w:r>
      <w:r w:rsidR="005F62F4">
        <w:instrText xml:space="preserve"> \* MERGEFORMAT </w:instrText>
      </w:r>
      <w:r w:rsidR="002A418E" w:rsidRPr="005F62F4">
        <w:fldChar w:fldCharType="separate"/>
      </w:r>
      <w:r w:rsidR="005606BF" w:rsidRPr="005F62F4">
        <w:t>Figure </w:t>
      </w:r>
      <w:r w:rsidR="005606BF">
        <w:t>1</w:t>
      </w:r>
      <w:r w:rsidR="002A418E" w:rsidRPr="005F62F4">
        <w:fldChar w:fldCharType="end"/>
      </w:r>
      <w:r w:rsidR="004E1893" w:rsidRPr="005F62F4">
        <w:t xml:space="preserve"> outlines the general </w:t>
      </w:r>
      <w:r w:rsidR="003910E8" w:rsidRPr="005F62F4">
        <w:t>process</w:t>
      </w:r>
      <w:r w:rsidR="004E1893" w:rsidRPr="005F62F4">
        <w:t>.</w:t>
      </w:r>
    </w:p>
    <w:p w14:paraId="10C12604" w14:textId="059D7A7F" w:rsidR="002A418E" w:rsidRPr="005F62F4" w:rsidRDefault="00C377BC" w:rsidP="0058335D">
      <w:pPr>
        <w:pStyle w:val="Image"/>
      </w:pPr>
      <w:r w:rsidRPr="005F62F4">
        <w:rPr>
          <w:noProof/>
        </w:rPr>
        <w:drawing>
          <wp:inline distT="0" distB="0" distL="0" distR="0" wp14:anchorId="42384FCF" wp14:editId="284FD73E">
            <wp:extent cx="5572265" cy="6552000"/>
            <wp:effectExtent l="0" t="0" r="9525" b="1270"/>
            <wp:docPr id="2" name="Picture 2" descr="Long description follo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ng description follow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572265" cy="6552000"/>
                    </a:xfrm>
                    <a:prstGeom prst="rect">
                      <a:avLst/>
                    </a:prstGeom>
                    <a:noFill/>
                  </pic:spPr>
                </pic:pic>
              </a:graphicData>
            </a:graphic>
          </wp:inline>
        </w:drawing>
      </w:r>
    </w:p>
    <w:p w14:paraId="7E9A91B3" w14:textId="4D75DE14" w:rsidR="002A418E" w:rsidRPr="009E2A51" w:rsidRDefault="00597B02" w:rsidP="009220E6">
      <w:pPr>
        <w:jc w:val="center"/>
      </w:pPr>
      <w:bookmarkStart w:id="85" w:name="_Ref119907886"/>
      <w:bookmarkStart w:id="86" w:name="_Toc129954626"/>
      <w:r w:rsidRPr="009E2A51">
        <w:t>Figure </w:t>
      </w:r>
      <w:r w:rsidRPr="009E2A51">
        <w:fldChar w:fldCharType="begin"/>
      </w:r>
      <w:r w:rsidRPr="009E2A51">
        <w:instrText>SEQ Figure \* ARABIC</w:instrText>
      </w:r>
      <w:r w:rsidRPr="009E2A51">
        <w:fldChar w:fldCharType="separate"/>
      </w:r>
      <w:r w:rsidR="005606BF" w:rsidRPr="009E2A51">
        <w:rPr>
          <w:noProof/>
        </w:rPr>
        <w:t>1</w:t>
      </w:r>
      <w:r w:rsidRPr="009E2A51">
        <w:fldChar w:fldCharType="end"/>
      </w:r>
      <w:bookmarkEnd w:id="85"/>
      <w:r w:rsidR="00E56C05" w:rsidRPr="009E2A51">
        <w:t xml:space="preserve">: </w:t>
      </w:r>
      <w:r w:rsidR="00543D5D" w:rsidRPr="009E2A51">
        <w:t>P</w:t>
      </w:r>
      <w:r w:rsidR="002A418E" w:rsidRPr="009E2A51">
        <w:t>rocess for guided implant surgery</w:t>
      </w:r>
      <w:r w:rsidR="009F0453" w:rsidRPr="009E2A51">
        <w:t xml:space="preserve"> (incorporating virtual surgical planning)</w:t>
      </w:r>
      <w:bookmarkEnd w:id="86"/>
    </w:p>
    <w:p w14:paraId="4F10ED2C" w14:textId="0E2B3384" w:rsidR="007676A6" w:rsidRPr="005F62F4" w:rsidRDefault="004E1893" w:rsidP="009220E6">
      <w:pPr>
        <w:jc w:val="center"/>
      </w:pPr>
      <w:r w:rsidRPr="009E2A51">
        <w:t xml:space="preserve">Adapted from </w:t>
      </w:r>
      <w:r w:rsidRPr="009E2A51">
        <w:fldChar w:fldCharType="begin" w:fldLock="1"/>
      </w:r>
      <w:r w:rsidR="00F7188B" w:rsidRPr="009E2A51">
        <w:instrText>ADDIN CSL_CITATION {"citationItems":[{"id":"ITEM-1","itemData":{"DOI":"10.3390/nano10122523","abstract":"Defects in the oral and maxillofacial (OMF) complex may lead to functional and esthetic impairment, aspiration, speech difficulty, and reduced quality of life. Reconstruction of such defects is considered one of the most challenging procedures in head and neck surgery. Transfer of different auto-grafts is still considered as the \"gold standard\" of regenerative and reconstructive procedures for OMF defects. However, harvesting of these grafts can lead to many complications including donor-site morbidity, extending of surgical time, incomplete healing of the donor site and others. Three-dimensional (3D) printing technology is an innovative technique that allows the fabrication of personalized implants and scaffolds that fit the precise anatomy of an individual's defect and, therefore, has attracted significant attention during the last few decades, especially among head and neck surgeons. Here we discuss the most relevant applications of the 3D printing technology in the oral and maxillofacial surgery field. We further show different clinical examples of patients who were treated at our institute using the 3D technology and discuss the indications, different technologies, complications, and their clinical outcomes. We demonstrate that 3D technology may provide a powerful tool used for reconstruction of various OMF defects, enabling optimal clinical results in the suitable cases.","author":[{"dropping-particle":"","family":"Ghantous","given":"Yasmin","non-dropping-particle":"","parse-names":false,"suffix":""},{"dropping-particle":"","family":"Nashef","given":"Aysar","non-dropping-particle":"","parse-names":false,"suffix":""},{"dropping-particle":"","family":"Mohanna","given":"Aladdin","non-dropping-particle":"","parse-names":false,"suffix":""},{"dropping-particle":"","family":"Abu-El-Naaj","given":"Imad","non-dropping-particle":"","parse-names":false,"suffix":""}],"container-title":"Nanomaterials","id":"ITEM-1","issue":"12","issued":{"date-parts":[["2020"]]},"page":"2523","title":"Three-dimensional technology applications in maxillofacial reconstructive surgery: current surgical implications","type":"article-journal","volume":"10"},"uris":["http://www.mendeley.com/documents/?uuid=2fe37c77-0962-3e27-86f4-cb0d47336951"]}],"mendeley":{"formattedCitation":"(Ghantous et al. 2020)","manualFormatting":"Ghantous et al. (2020)","plainTextFormattedCitation":"(Ghantous et al. 2020)","previouslyFormattedCitation":"(Ghantous et al. 2020)"},"properties":{"noteIndex":0},"schema":"https://github.com/citation-style-language/schema/raw/master/csl-citation.json"}</w:instrText>
      </w:r>
      <w:r w:rsidRPr="009E2A51">
        <w:fldChar w:fldCharType="separate"/>
      </w:r>
      <w:r w:rsidRPr="009E2A51">
        <w:rPr>
          <w:noProof/>
        </w:rPr>
        <w:t>Ghantous et al. (2020)</w:t>
      </w:r>
      <w:r w:rsidRPr="009E2A51">
        <w:fldChar w:fldCharType="end"/>
      </w:r>
    </w:p>
    <w:p w14:paraId="6AD01349" w14:textId="5AEBBFD8" w:rsidR="00F05C81" w:rsidRPr="005F62F4" w:rsidRDefault="001B04B4" w:rsidP="003F75BE">
      <w:pPr>
        <w:pStyle w:val="Para"/>
      </w:pPr>
      <w:r w:rsidRPr="005F62F4">
        <w:lastRenderedPageBreak/>
        <w:t xml:space="preserve">Surgeons told us that the development of guided implant surgery </w:t>
      </w:r>
      <w:r w:rsidR="00F4175C" w:rsidRPr="005F62F4">
        <w:t xml:space="preserve">and virtual surgical planning </w:t>
      </w:r>
      <w:r w:rsidRPr="005F62F4">
        <w:t>has improved the way they plan and undertake complex surgeries.</w:t>
      </w:r>
      <w:r w:rsidRPr="005F62F4">
        <w:rPr>
          <w:rStyle w:val="FootnoteReference"/>
        </w:rPr>
        <w:footnoteReference w:id="8"/>
      </w:r>
      <w:r w:rsidRPr="005F62F4">
        <w:t xml:space="preserve"> Before these technologies were available, surgeons would examine X-ray images and, in some instances, create plaster models to visualise anatomy prior to and during surgery. They then relied on their freehand skill to position implants. The use of virtual planning processes, surgical guides and </w:t>
      </w:r>
      <w:proofErr w:type="spellStart"/>
      <w:r w:rsidRPr="005F62F4">
        <w:t>biomodels</w:t>
      </w:r>
      <w:proofErr w:type="spellEnd"/>
      <w:r w:rsidRPr="005F62F4">
        <w:t xml:space="preserve"> has helped to improve surgical processes and clinical outcomes, as described below.</w:t>
      </w:r>
    </w:p>
    <w:p w14:paraId="727D9C66" w14:textId="1E2EDAE2" w:rsidR="00330CD3" w:rsidRPr="005F62F4" w:rsidRDefault="00330CD3" w:rsidP="004F2931">
      <w:pPr>
        <w:pStyle w:val="Heading3"/>
      </w:pPr>
      <w:bookmarkStart w:id="87" w:name="_Toc120178306"/>
      <w:r w:rsidRPr="005F62F4">
        <w:t xml:space="preserve">Benefits of surgical guides and </w:t>
      </w:r>
      <w:proofErr w:type="spellStart"/>
      <w:r w:rsidRPr="005F62F4">
        <w:t>biomodels</w:t>
      </w:r>
      <w:bookmarkEnd w:id="87"/>
      <w:proofErr w:type="spellEnd"/>
    </w:p>
    <w:p w14:paraId="57E5E9CB" w14:textId="22116A71" w:rsidR="00330CD3" w:rsidRPr="005F62F4" w:rsidRDefault="00330CD3" w:rsidP="00330CD3">
      <w:pPr>
        <w:pStyle w:val="Para"/>
        <w:rPr>
          <w:lang w:eastAsia="en-AU"/>
        </w:rPr>
      </w:pPr>
      <w:r w:rsidRPr="005F62F4">
        <w:rPr>
          <w:lang w:eastAsia="en-AU"/>
        </w:rPr>
        <w:t xml:space="preserve">The use and perceived benefit of surgical guides and </w:t>
      </w:r>
      <w:proofErr w:type="spellStart"/>
      <w:r w:rsidRPr="005F62F4">
        <w:rPr>
          <w:lang w:eastAsia="en-AU"/>
        </w:rPr>
        <w:t>biomodels</w:t>
      </w:r>
      <w:proofErr w:type="spellEnd"/>
      <w:r w:rsidRPr="005F62F4">
        <w:rPr>
          <w:lang w:eastAsia="en-AU"/>
        </w:rPr>
        <w:t xml:space="preserve"> depend on multiple factors, including </w:t>
      </w:r>
      <w:r w:rsidR="004B0517" w:rsidRPr="005F62F4">
        <w:rPr>
          <w:lang w:eastAsia="en-AU"/>
        </w:rPr>
        <w:t xml:space="preserve">the </w:t>
      </w:r>
      <w:r w:rsidRPr="005F62F4">
        <w:rPr>
          <w:lang w:eastAsia="en-AU"/>
        </w:rPr>
        <w:t xml:space="preserve">clinical circumstances, </w:t>
      </w:r>
      <w:r w:rsidR="004B0517" w:rsidRPr="005F62F4">
        <w:rPr>
          <w:lang w:eastAsia="en-AU"/>
        </w:rPr>
        <w:t xml:space="preserve">the surgeon’s </w:t>
      </w:r>
      <w:r w:rsidRPr="005F62F4">
        <w:rPr>
          <w:lang w:eastAsia="en-AU"/>
        </w:rPr>
        <w:t xml:space="preserve">experience </w:t>
      </w:r>
      <w:r w:rsidR="004B0517" w:rsidRPr="005F62F4">
        <w:rPr>
          <w:lang w:eastAsia="en-AU"/>
        </w:rPr>
        <w:t xml:space="preserve">and </w:t>
      </w:r>
      <w:r w:rsidRPr="005F62F4">
        <w:rPr>
          <w:lang w:eastAsia="en-AU"/>
        </w:rPr>
        <w:t>clinical judgement</w:t>
      </w:r>
      <w:r w:rsidR="004B0517" w:rsidRPr="005F62F4">
        <w:rPr>
          <w:lang w:eastAsia="en-AU"/>
        </w:rPr>
        <w:t>,</w:t>
      </w:r>
      <w:r w:rsidRPr="005F62F4">
        <w:rPr>
          <w:lang w:eastAsia="en-AU"/>
        </w:rPr>
        <w:t xml:space="preserve"> and the products themselves.</w:t>
      </w:r>
    </w:p>
    <w:p w14:paraId="589EDFEA" w14:textId="4D924137" w:rsidR="000322B4" w:rsidRPr="005F62F4" w:rsidRDefault="00330CD3" w:rsidP="00D06371">
      <w:pPr>
        <w:pStyle w:val="Para"/>
      </w:pPr>
      <w:r w:rsidRPr="005F62F4">
        <w:t xml:space="preserve">In general, stakeholders reported that surgical guides and </w:t>
      </w:r>
      <w:proofErr w:type="spellStart"/>
      <w:r w:rsidRPr="005F62F4">
        <w:t>biomodels</w:t>
      </w:r>
      <w:proofErr w:type="spellEnd"/>
      <w:r w:rsidRPr="005F62F4">
        <w:t xml:space="preserve"> simplify complex procedures, taking the ‘guess</w:t>
      </w:r>
      <w:r w:rsidR="0087553E">
        <w:t xml:space="preserve"> </w:t>
      </w:r>
      <w:r w:rsidRPr="005F62F4">
        <w:t xml:space="preserve">work’ out of surgery by enabling visualisation of internal structures, leading to improved accuracy and fewer errors. </w:t>
      </w:r>
      <w:r w:rsidR="003F5C9E" w:rsidRPr="005F62F4">
        <w:t xml:space="preserve">Key benefits </w:t>
      </w:r>
      <w:r w:rsidR="00E67EE1" w:rsidRPr="005F62F4">
        <w:t xml:space="preserve">are </w:t>
      </w:r>
      <w:r w:rsidR="00585CFA" w:rsidRPr="005F62F4">
        <w:t>outlined below</w:t>
      </w:r>
      <w:r w:rsidR="00E42231" w:rsidRPr="005F62F4">
        <w:t>.</w:t>
      </w:r>
      <w:r w:rsidR="000217A5" w:rsidRPr="005F62F4">
        <w:rPr>
          <w:rStyle w:val="FootnoteReference"/>
        </w:rPr>
        <w:footnoteReference w:id="9"/>
      </w:r>
    </w:p>
    <w:p w14:paraId="7DA24E29" w14:textId="64C2587B" w:rsidR="00330CD3" w:rsidRPr="005F62F4" w:rsidRDefault="0064116C" w:rsidP="00330CD3">
      <w:pPr>
        <w:pStyle w:val="ParaKeep"/>
        <w:rPr>
          <w:rStyle w:val="Strong"/>
        </w:rPr>
      </w:pPr>
      <w:r w:rsidRPr="005F62F4">
        <w:rPr>
          <w:rStyle w:val="Strong"/>
        </w:rPr>
        <w:t xml:space="preserve">More efficient and effective </w:t>
      </w:r>
      <w:r w:rsidR="00851793" w:rsidRPr="005F62F4">
        <w:rPr>
          <w:rStyle w:val="Strong"/>
        </w:rPr>
        <w:t>surgical procedures</w:t>
      </w:r>
      <w:r w:rsidR="00330CD3" w:rsidRPr="005F62F4">
        <w:rPr>
          <w:rStyle w:val="Strong"/>
        </w:rPr>
        <w:t>:</w:t>
      </w:r>
    </w:p>
    <w:p w14:paraId="569D7AA5" w14:textId="112D2DF8" w:rsidR="00330CD3" w:rsidRPr="005F62F4" w:rsidRDefault="00803A1B" w:rsidP="004C5566">
      <w:pPr>
        <w:pStyle w:val="Bullet1"/>
        <w:spacing w:before="0" w:after="60"/>
      </w:pPr>
      <w:r w:rsidRPr="005F62F4">
        <w:t>A</w:t>
      </w:r>
      <w:r w:rsidR="00330CD3" w:rsidRPr="005F62F4">
        <w:t>void disturbing anatomic structures</w:t>
      </w:r>
    </w:p>
    <w:p w14:paraId="7277009A" w14:textId="2810D846" w:rsidR="00330CD3" w:rsidRPr="005F62F4" w:rsidRDefault="00003BB4" w:rsidP="004C5566">
      <w:pPr>
        <w:pStyle w:val="Bullet1"/>
        <w:spacing w:before="0" w:after="60"/>
      </w:pPr>
      <w:r w:rsidRPr="005F62F4">
        <w:t>G</w:t>
      </w:r>
      <w:r w:rsidR="00330CD3" w:rsidRPr="005F62F4">
        <w:t>uide the placement and angles of implants in difficult-to-reach places</w:t>
      </w:r>
    </w:p>
    <w:p w14:paraId="5A5F0D07" w14:textId="2945BCC3" w:rsidR="00330CD3" w:rsidRPr="005F62F4" w:rsidRDefault="00803A1B" w:rsidP="004C5566">
      <w:pPr>
        <w:pStyle w:val="Bullet1"/>
        <w:spacing w:before="0" w:after="60"/>
      </w:pPr>
      <w:r w:rsidRPr="005F62F4">
        <w:t>M</w:t>
      </w:r>
      <w:r w:rsidR="00330CD3" w:rsidRPr="005F62F4">
        <w:t>inimise tissue manipulation or opening flaps</w:t>
      </w:r>
      <w:r w:rsidR="00561492" w:rsidRPr="005F62F4">
        <w:t xml:space="preserve"> (in most procedures)</w:t>
      </w:r>
    </w:p>
    <w:p w14:paraId="0B83B3C4" w14:textId="73675BAE" w:rsidR="00330CD3" w:rsidRPr="005F62F4" w:rsidRDefault="00803A1B" w:rsidP="004C5566">
      <w:pPr>
        <w:pStyle w:val="Bullet1"/>
        <w:spacing w:before="0" w:after="60"/>
      </w:pPr>
      <w:r w:rsidRPr="005F62F4">
        <w:t>F</w:t>
      </w:r>
      <w:r w:rsidR="0038643F" w:rsidRPr="005F62F4">
        <w:t xml:space="preserve">acilitate </w:t>
      </w:r>
      <w:r w:rsidR="00330CD3" w:rsidRPr="005F62F4">
        <w:t>faster surgery</w:t>
      </w:r>
    </w:p>
    <w:p w14:paraId="56942119" w14:textId="11B5CE04" w:rsidR="00330CD3" w:rsidRPr="005F62F4" w:rsidRDefault="00803A1B" w:rsidP="004C5566">
      <w:pPr>
        <w:pStyle w:val="Bullet1"/>
        <w:spacing w:before="0" w:after="60"/>
      </w:pPr>
      <w:r w:rsidRPr="005F62F4">
        <w:t>R</w:t>
      </w:r>
      <w:r w:rsidR="00330CD3" w:rsidRPr="005F62F4">
        <w:t>educe the overall number of surgeries (because of the ability to combine complex surgeries within the one procedure without the need for multiple admissions</w:t>
      </w:r>
      <w:r w:rsidR="00F33CD9" w:rsidRPr="005F62F4">
        <w:t>)</w:t>
      </w:r>
    </w:p>
    <w:p w14:paraId="0BC68D15" w14:textId="2619295E" w:rsidR="00330CD3" w:rsidRPr="005F62F4" w:rsidRDefault="00330CD3" w:rsidP="00330CD3">
      <w:pPr>
        <w:pStyle w:val="ParaKeep"/>
        <w:rPr>
          <w:rStyle w:val="Strong"/>
        </w:rPr>
      </w:pPr>
      <w:r w:rsidRPr="005F62F4">
        <w:rPr>
          <w:rStyle w:val="Strong"/>
        </w:rPr>
        <w:t>Improved clinical outcomes</w:t>
      </w:r>
      <w:r w:rsidR="003477EB" w:rsidRPr="005F62F4">
        <w:rPr>
          <w:rStyle w:val="Strong"/>
        </w:rPr>
        <w:t>:</w:t>
      </w:r>
    </w:p>
    <w:p w14:paraId="540EB012" w14:textId="519C70C2" w:rsidR="00330CD3" w:rsidRPr="005F62F4" w:rsidRDefault="000316F0" w:rsidP="004C5566">
      <w:pPr>
        <w:pStyle w:val="Bullet1"/>
        <w:spacing w:before="60" w:after="60"/>
      </w:pPr>
      <w:r w:rsidRPr="005F62F4">
        <w:t>R</w:t>
      </w:r>
      <w:r w:rsidR="00330CD3" w:rsidRPr="005F62F4">
        <w:t>educe incidence of revision surgery</w:t>
      </w:r>
    </w:p>
    <w:p w14:paraId="692362D3" w14:textId="56F0894D" w:rsidR="00330CD3" w:rsidRPr="005F62F4" w:rsidRDefault="000316F0" w:rsidP="004C5566">
      <w:pPr>
        <w:pStyle w:val="Bullet1"/>
        <w:spacing w:before="60" w:after="60"/>
      </w:pPr>
      <w:r w:rsidRPr="005F62F4">
        <w:t>O</w:t>
      </w:r>
      <w:r w:rsidR="00330CD3" w:rsidRPr="005F62F4">
        <w:t>ptimis</w:t>
      </w:r>
      <w:r w:rsidR="004F4FD0" w:rsidRPr="005F62F4">
        <w:t>e</w:t>
      </w:r>
      <w:r w:rsidR="00330CD3" w:rsidRPr="005F62F4">
        <w:t xml:space="preserve"> aesthetics and function</w:t>
      </w:r>
      <w:r w:rsidR="001516BE" w:rsidRPr="005F62F4">
        <w:t>al outcomes</w:t>
      </w:r>
      <w:r w:rsidR="00330CD3" w:rsidRPr="005F62F4">
        <w:t xml:space="preserve"> (such as chewing)</w:t>
      </w:r>
    </w:p>
    <w:p w14:paraId="0D933988" w14:textId="267E2381" w:rsidR="00330CD3" w:rsidRPr="005F62F4" w:rsidRDefault="000316F0" w:rsidP="004C5566">
      <w:pPr>
        <w:pStyle w:val="Bullet1"/>
        <w:spacing w:before="60" w:after="60"/>
      </w:pPr>
      <w:r w:rsidRPr="005F62F4">
        <w:t>R</w:t>
      </w:r>
      <w:r w:rsidR="00330CD3" w:rsidRPr="005F62F4">
        <w:t>educe complication rates</w:t>
      </w:r>
    </w:p>
    <w:p w14:paraId="6412DA11" w14:textId="019C5EB7" w:rsidR="00330CD3" w:rsidRPr="005F62F4" w:rsidRDefault="00F86CE6" w:rsidP="00330CD3">
      <w:pPr>
        <w:pStyle w:val="ParaKeep"/>
        <w:rPr>
          <w:rStyle w:val="Strong"/>
        </w:rPr>
      </w:pPr>
      <w:r w:rsidRPr="005F62F4">
        <w:rPr>
          <w:rStyle w:val="Strong"/>
        </w:rPr>
        <w:t xml:space="preserve">Reduced burden on </w:t>
      </w:r>
      <w:r w:rsidR="00330CD3" w:rsidRPr="005F62F4">
        <w:rPr>
          <w:rStyle w:val="Strong"/>
        </w:rPr>
        <w:t>hospital</w:t>
      </w:r>
      <w:r w:rsidRPr="005F62F4">
        <w:rPr>
          <w:rStyle w:val="Strong"/>
        </w:rPr>
        <w:t>s</w:t>
      </w:r>
      <w:r w:rsidR="00330CD3" w:rsidRPr="005F62F4">
        <w:rPr>
          <w:rStyle w:val="Strong"/>
        </w:rPr>
        <w:t xml:space="preserve"> and </w:t>
      </w:r>
      <w:r w:rsidRPr="005F62F4">
        <w:rPr>
          <w:rStyle w:val="Strong"/>
        </w:rPr>
        <w:t>the</w:t>
      </w:r>
      <w:r w:rsidR="00330CD3" w:rsidRPr="005F62F4">
        <w:rPr>
          <w:rStyle w:val="Strong"/>
        </w:rPr>
        <w:t xml:space="preserve"> health system:</w:t>
      </w:r>
    </w:p>
    <w:p w14:paraId="3DED68D0" w14:textId="5024DF2F" w:rsidR="00330CD3" w:rsidRPr="005F62F4" w:rsidRDefault="000316F0" w:rsidP="004C5566">
      <w:pPr>
        <w:pStyle w:val="Bullet1"/>
        <w:spacing w:before="60" w:after="60"/>
      </w:pPr>
      <w:r w:rsidRPr="005F62F4">
        <w:t>A</w:t>
      </w:r>
      <w:r w:rsidR="004F4FD0" w:rsidRPr="005F62F4">
        <w:t xml:space="preserve">chieve </w:t>
      </w:r>
      <w:r w:rsidR="00330CD3" w:rsidRPr="005F62F4">
        <w:t>cost savings due to reduced theatre time</w:t>
      </w:r>
      <w:r w:rsidR="00851793" w:rsidRPr="005F62F4">
        <w:t xml:space="preserve"> and </w:t>
      </w:r>
      <w:r w:rsidR="00330CD3" w:rsidRPr="005F62F4">
        <w:t>bed days saved</w:t>
      </w:r>
    </w:p>
    <w:p w14:paraId="57DAC5E8" w14:textId="5EC71679" w:rsidR="00330CD3" w:rsidRPr="005F62F4" w:rsidRDefault="000316F0" w:rsidP="004C5566">
      <w:pPr>
        <w:pStyle w:val="Bullet1"/>
        <w:spacing w:before="60" w:after="60"/>
      </w:pPr>
      <w:r w:rsidRPr="005F62F4">
        <w:t>R</w:t>
      </w:r>
      <w:r w:rsidR="00330CD3" w:rsidRPr="005F62F4">
        <w:t>educe the time need</w:t>
      </w:r>
      <w:r w:rsidR="00E8255D" w:rsidRPr="005F62F4">
        <w:t>ed</w:t>
      </w:r>
      <w:r w:rsidR="00330CD3" w:rsidRPr="005F62F4">
        <w:t xml:space="preserve"> for surgeons to </w:t>
      </w:r>
      <w:r w:rsidR="002B3D5C" w:rsidRPr="005F62F4">
        <w:t>develop</w:t>
      </w:r>
      <w:r w:rsidR="002664F1" w:rsidRPr="005F62F4">
        <w:t xml:space="preserve"> the</w:t>
      </w:r>
      <w:r w:rsidR="002B3D5C" w:rsidRPr="005F62F4">
        <w:t xml:space="preserve"> </w:t>
      </w:r>
      <w:r w:rsidR="00330CD3" w:rsidRPr="005F62F4">
        <w:t>required skills and knowledge</w:t>
      </w:r>
      <w:r w:rsidR="002664F1" w:rsidRPr="005F62F4">
        <w:t xml:space="preserve"> to</w:t>
      </w:r>
      <w:r w:rsidR="00263A2B" w:rsidRPr="005F62F4">
        <w:t xml:space="preserve"> perform</w:t>
      </w:r>
      <w:r w:rsidR="00B25A44" w:rsidRPr="005F62F4">
        <w:t xml:space="preserve"> </w:t>
      </w:r>
      <w:r w:rsidR="00B733E5" w:rsidRPr="005F62F4">
        <w:t xml:space="preserve">implant </w:t>
      </w:r>
      <w:r w:rsidR="00B25A44" w:rsidRPr="005F62F4">
        <w:t>surgerie</w:t>
      </w:r>
      <w:r w:rsidR="00ED6AEE" w:rsidRPr="005F62F4">
        <w:t>s</w:t>
      </w:r>
      <w:r w:rsidR="00330CD3" w:rsidRPr="005F62F4">
        <w:rPr>
          <w:rStyle w:val="FootnoteReference"/>
        </w:rPr>
        <w:footnoteReference w:id="10"/>
      </w:r>
    </w:p>
    <w:p w14:paraId="7C2AC2B4" w14:textId="44275063" w:rsidR="00330CD3" w:rsidRPr="005F62F4" w:rsidRDefault="00330CD3" w:rsidP="00DF262A">
      <w:pPr>
        <w:pStyle w:val="Para"/>
      </w:pPr>
      <w:r w:rsidRPr="005F62F4">
        <w:lastRenderedPageBreak/>
        <w:t xml:space="preserve">Broadly, stakeholders’ views on the benefits of surgical guides and </w:t>
      </w:r>
      <w:proofErr w:type="spellStart"/>
      <w:r w:rsidRPr="005F62F4">
        <w:t>biomodels</w:t>
      </w:r>
      <w:proofErr w:type="spellEnd"/>
      <w:r w:rsidRPr="005F62F4">
        <w:t xml:space="preserve"> align with the benefits identified in the literature (see </w:t>
      </w:r>
      <w:r w:rsidRPr="005F62F4">
        <w:rPr>
          <w:b/>
        </w:rPr>
        <w:fldChar w:fldCharType="begin"/>
      </w:r>
      <w:r w:rsidRPr="005F62F4">
        <w:instrText xml:space="preserve"> REF _Ref119675324 \r \h </w:instrText>
      </w:r>
      <w:r w:rsidR="005F62F4">
        <w:rPr>
          <w:b/>
        </w:rPr>
        <w:instrText xml:space="preserve"> \* MERGEFORMAT </w:instrText>
      </w:r>
      <w:r w:rsidRPr="005F62F4">
        <w:rPr>
          <w:b/>
        </w:rPr>
      </w:r>
      <w:r w:rsidRPr="005F62F4">
        <w:rPr>
          <w:b/>
        </w:rPr>
        <w:fldChar w:fldCharType="separate"/>
      </w:r>
      <w:r w:rsidR="005606BF">
        <w:t>Section 2</w:t>
      </w:r>
      <w:r w:rsidRPr="005F62F4">
        <w:rPr>
          <w:b/>
        </w:rPr>
        <w:fldChar w:fldCharType="end"/>
      </w:r>
      <w:r w:rsidRPr="005F62F4">
        <w:t>).</w:t>
      </w:r>
      <w:r w:rsidR="004E6FBE" w:rsidRPr="005F62F4">
        <w:t>K</w:t>
      </w:r>
      <w:r w:rsidRPr="005F62F4">
        <w:t xml:space="preserve">ey benefits </w:t>
      </w:r>
      <w:r w:rsidR="000E11C1" w:rsidRPr="005F62F4">
        <w:t xml:space="preserve">of </w:t>
      </w:r>
      <w:r w:rsidR="006A0F32" w:rsidRPr="005F62F4">
        <w:t>the in-scope</w:t>
      </w:r>
      <w:r w:rsidR="00A05221" w:rsidRPr="005F62F4">
        <w:t xml:space="preserve"> </w:t>
      </w:r>
      <w:r w:rsidR="000E11C1" w:rsidRPr="005F62F4">
        <w:t xml:space="preserve">products </w:t>
      </w:r>
      <w:r w:rsidR="00A05221" w:rsidRPr="005F62F4">
        <w:t>(</w:t>
      </w:r>
      <w:r w:rsidRPr="005F62F4">
        <w:t>identified by sponsors</w:t>
      </w:r>
      <w:r w:rsidR="00A05221" w:rsidRPr="005F62F4">
        <w:t>)</w:t>
      </w:r>
      <w:r w:rsidR="00061655" w:rsidRPr="005F62F4">
        <w:t xml:space="preserve"> </w:t>
      </w:r>
      <w:r w:rsidRPr="005F62F4">
        <w:t xml:space="preserve">are provided in </w:t>
      </w:r>
      <w:r w:rsidRPr="005F62F4">
        <w:rPr>
          <w:b/>
        </w:rPr>
        <w:fldChar w:fldCharType="begin"/>
      </w:r>
      <w:r w:rsidRPr="005F62F4">
        <w:instrText xml:space="preserve"> REF _Ref119591384 \r \h  \* MERGEFORMAT </w:instrText>
      </w:r>
      <w:r w:rsidRPr="005F62F4">
        <w:rPr>
          <w:b/>
        </w:rPr>
      </w:r>
      <w:r w:rsidRPr="005F62F4">
        <w:rPr>
          <w:b/>
        </w:rPr>
        <w:fldChar w:fldCharType="separate"/>
      </w:r>
      <w:r w:rsidR="005606BF">
        <w:t>Appendix F</w:t>
      </w:r>
      <w:r w:rsidRPr="005F62F4">
        <w:rPr>
          <w:b/>
        </w:rPr>
        <w:fldChar w:fldCharType="end"/>
      </w:r>
      <w:r w:rsidRPr="005F62F4">
        <w:t>.</w:t>
      </w:r>
    </w:p>
    <w:p w14:paraId="42955B41" w14:textId="387F89E1" w:rsidR="00330CD3" w:rsidRPr="005F62F4" w:rsidRDefault="00330CD3" w:rsidP="004F2931">
      <w:pPr>
        <w:pStyle w:val="Heading3"/>
      </w:pPr>
      <w:bookmarkStart w:id="88" w:name="_Toc120178307"/>
      <w:r w:rsidRPr="005F62F4">
        <w:t xml:space="preserve">Disadvantages of surgical guides and </w:t>
      </w:r>
      <w:proofErr w:type="spellStart"/>
      <w:r w:rsidRPr="005F62F4">
        <w:t>biomodels</w:t>
      </w:r>
      <w:bookmarkEnd w:id="88"/>
      <w:proofErr w:type="spellEnd"/>
    </w:p>
    <w:p w14:paraId="1D9E2BA7" w14:textId="7375FA77" w:rsidR="007673F4" w:rsidRPr="005F62F4" w:rsidRDefault="009830EF" w:rsidP="00430131">
      <w:pPr>
        <w:pStyle w:val="ParaKeep"/>
      </w:pPr>
      <w:r w:rsidRPr="005F62F4">
        <w:t>C</w:t>
      </w:r>
      <w:r w:rsidR="00330CD3" w:rsidRPr="005F62F4">
        <w:t xml:space="preserve">onsultations </w:t>
      </w:r>
      <w:r w:rsidRPr="005F62F4">
        <w:t xml:space="preserve">identified several potential disadvantages of using surgical guides and </w:t>
      </w:r>
      <w:proofErr w:type="spellStart"/>
      <w:r w:rsidRPr="005F62F4">
        <w:t>biomodels</w:t>
      </w:r>
      <w:proofErr w:type="spellEnd"/>
      <w:r w:rsidR="00FC1C75" w:rsidRPr="005F62F4">
        <w:t>.</w:t>
      </w:r>
      <w:r w:rsidR="00330CD3" w:rsidRPr="005F62F4">
        <w:t xml:space="preserve"> These disadvantages </w:t>
      </w:r>
      <w:r w:rsidR="004603B5" w:rsidRPr="005F62F4">
        <w:t xml:space="preserve">generally </w:t>
      </w:r>
      <w:r w:rsidR="00330CD3" w:rsidRPr="005F62F4">
        <w:t xml:space="preserve">align with findings in the literature (see </w:t>
      </w:r>
      <w:r w:rsidR="00BA6E8B">
        <w:fldChar w:fldCharType="begin"/>
      </w:r>
      <w:r w:rsidR="00BA6E8B">
        <w:instrText xml:space="preserve"> REF _Ref119487926 \n \h </w:instrText>
      </w:r>
      <w:r w:rsidR="00BA6E8B">
        <w:fldChar w:fldCharType="separate"/>
      </w:r>
      <w:r w:rsidR="00BA6E8B">
        <w:t>Section 2</w:t>
      </w:r>
      <w:r w:rsidR="00BA6E8B">
        <w:fldChar w:fldCharType="end"/>
      </w:r>
      <w:r w:rsidR="00330CD3" w:rsidRPr="005F62F4">
        <w:t>) and are described below.</w:t>
      </w:r>
    </w:p>
    <w:p w14:paraId="049F41D9" w14:textId="0C484CC6" w:rsidR="004C0CFF" w:rsidRPr="005F62F4" w:rsidRDefault="00853906" w:rsidP="004F2931">
      <w:pPr>
        <w:pStyle w:val="Heading4"/>
      </w:pPr>
      <w:r w:rsidRPr="005F62F4">
        <w:t>Guide placement can i</w:t>
      </w:r>
      <w:r w:rsidR="00DC068E" w:rsidRPr="005F62F4">
        <w:t xml:space="preserve">ncrease </w:t>
      </w:r>
      <w:r w:rsidR="00F57523" w:rsidRPr="005F62F4">
        <w:t>risk for some procedures</w:t>
      </w:r>
    </w:p>
    <w:p w14:paraId="031B5DC4" w14:textId="72689D99" w:rsidR="002905F0" w:rsidRPr="005F62F4" w:rsidRDefault="0047152F" w:rsidP="002905F0">
      <w:pPr>
        <w:pStyle w:val="Para"/>
        <w:rPr>
          <w:lang w:eastAsia="en-AU"/>
        </w:rPr>
      </w:pPr>
      <w:r w:rsidRPr="005F62F4">
        <w:t>We heard tha</w:t>
      </w:r>
      <w:r w:rsidR="00991106" w:rsidRPr="005F62F4">
        <w:t>t</w:t>
      </w:r>
      <w:r w:rsidR="00F354C7" w:rsidRPr="005F62F4">
        <w:t>, for some procedures,</w:t>
      </w:r>
      <w:r w:rsidR="00991106" w:rsidRPr="005F62F4">
        <w:t xml:space="preserve"> the use of</w:t>
      </w:r>
      <w:r w:rsidR="00E87E70" w:rsidRPr="005F62F4" w:rsidDel="00461DB3">
        <w:t xml:space="preserve"> surgical guides </w:t>
      </w:r>
      <w:r w:rsidRPr="005F62F4">
        <w:t>can</w:t>
      </w:r>
      <w:r w:rsidR="00F354C7" w:rsidRPr="005F62F4">
        <w:t xml:space="preserve"> have the opposite effect of the benefits described above. </w:t>
      </w:r>
      <w:r w:rsidR="00991106" w:rsidRPr="005F62F4">
        <w:t>For example, 2 surgeons told us that using surgical guides in</w:t>
      </w:r>
      <w:r w:rsidRPr="005F62F4">
        <w:t xml:space="preserve"> </w:t>
      </w:r>
      <w:r w:rsidR="00E87E70" w:rsidRPr="005F62F4" w:rsidDel="00461DB3">
        <w:t>mandibular reconstruction often requires greater exposure of the jaw</w:t>
      </w:r>
      <w:r w:rsidR="008A1D45" w:rsidRPr="005F62F4">
        <w:t xml:space="preserve">, </w:t>
      </w:r>
      <w:r w:rsidR="00E87E70" w:rsidRPr="005F62F4" w:rsidDel="00461DB3">
        <w:t xml:space="preserve">extending the operating time and </w:t>
      </w:r>
      <w:r w:rsidR="008A1D45" w:rsidRPr="005F62F4">
        <w:t>increasing the</w:t>
      </w:r>
      <w:r w:rsidR="00E87E70" w:rsidRPr="005F62F4" w:rsidDel="00461DB3">
        <w:t xml:space="preserve"> risk of bleeding compared to freehand surgery.</w:t>
      </w:r>
    </w:p>
    <w:p w14:paraId="6BFAA463" w14:textId="2CF1CE22" w:rsidR="00AB6776" w:rsidRPr="005F62F4" w:rsidRDefault="00C75856" w:rsidP="004F2931">
      <w:pPr>
        <w:pStyle w:val="Heading4"/>
      </w:pPr>
      <w:r w:rsidRPr="005F62F4">
        <w:t>Quality control</w:t>
      </w:r>
      <w:r w:rsidR="00853906" w:rsidRPr="005F62F4">
        <w:t xml:space="preserve"> issues can reduce accuracy</w:t>
      </w:r>
    </w:p>
    <w:p w14:paraId="09815E2F" w14:textId="52982373" w:rsidR="00AB6776" w:rsidRPr="005F62F4" w:rsidRDefault="00C45DAD" w:rsidP="00AB6776">
      <w:pPr>
        <w:pStyle w:val="Para"/>
      </w:pPr>
      <w:r w:rsidRPr="005F62F4">
        <w:t>T</w:t>
      </w:r>
      <w:r w:rsidR="00AB6776" w:rsidRPr="005F62F4">
        <w:t xml:space="preserve">he quality of equipment, software and the manufacturing processes </w:t>
      </w:r>
      <w:r w:rsidRPr="005F62F4">
        <w:t xml:space="preserve">all affect the accuracy </w:t>
      </w:r>
      <w:r w:rsidR="00C56A6B" w:rsidRPr="005F62F4">
        <w:t xml:space="preserve">of </w:t>
      </w:r>
      <w:proofErr w:type="spellStart"/>
      <w:r w:rsidR="00C56A6B" w:rsidRPr="005F62F4">
        <w:t>biomodels</w:t>
      </w:r>
      <w:proofErr w:type="spellEnd"/>
      <w:r w:rsidR="00C56A6B" w:rsidRPr="005F62F4">
        <w:t>, surgical guides and customised impla</w:t>
      </w:r>
      <w:r w:rsidR="00BE4E85" w:rsidRPr="005F62F4">
        <w:t>nts.</w:t>
      </w:r>
      <w:r w:rsidR="005E0781" w:rsidRPr="005F62F4">
        <w:t xml:space="preserve"> </w:t>
      </w:r>
      <w:r w:rsidR="00AB6776" w:rsidRPr="005F62F4">
        <w:t xml:space="preserve">This </w:t>
      </w:r>
      <w:r w:rsidR="00BE4E85" w:rsidRPr="005F62F4">
        <w:t xml:space="preserve">includes </w:t>
      </w:r>
      <w:r w:rsidR="00AB6776" w:rsidRPr="005F62F4">
        <w:t>the quality of the information going into the digital model (</w:t>
      </w:r>
      <w:proofErr w:type="gramStart"/>
      <w:r w:rsidR="00AB6776" w:rsidRPr="005F62F4">
        <w:t>e.g.</w:t>
      </w:r>
      <w:proofErr w:type="gramEnd"/>
      <w:r w:rsidR="00AB6776" w:rsidRPr="005F62F4">
        <w:t xml:space="preserve"> when converting analogue scans into digital formats), the </w:t>
      </w:r>
      <w:r w:rsidR="00077783" w:rsidRPr="005F62F4">
        <w:t xml:space="preserve">preciseness </w:t>
      </w:r>
      <w:r w:rsidR="00AB6776" w:rsidRPr="005F62F4">
        <w:t>of the design software</w:t>
      </w:r>
      <w:r w:rsidR="00CE5735" w:rsidRPr="005F62F4">
        <w:t>,</w:t>
      </w:r>
      <w:r w:rsidR="00AB6776" w:rsidRPr="005F62F4">
        <w:t xml:space="preserve"> and the types of manufacturing processes used</w:t>
      </w:r>
      <w:r w:rsidR="003E5251" w:rsidRPr="005F62F4">
        <w:t xml:space="preserve"> (e.g. </w:t>
      </w:r>
      <w:r w:rsidR="004A32C4" w:rsidRPr="005F62F4">
        <w:t>l</w:t>
      </w:r>
      <w:r w:rsidR="00AB6776" w:rsidRPr="005F62F4">
        <w:t>ower quality 3D printers generate thicker</w:t>
      </w:r>
      <w:r w:rsidR="00AA0A46" w:rsidRPr="005F62F4">
        <w:t xml:space="preserve"> – and therefore less accurate –</w:t>
      </w:r>
      <w:r w:rsidR="00AB6776" w:rsidRPr="005F62F4">
        <w:t xml:space="preserve"> slices</w:t>
      </w:r>
      <w:r w:rsidR="0047499C" w:rsidRPr="005F62F4">
        <w:t>,</w:t>
      </w:r>
      <w:r w:rsidR="00AB6776" w:rsidRPr="005F62F4">
        <w:t xml:space="preserve"> while higher-quality print</w:t>
      </w:r>
      <w:r w:rsidR="0047499C" w:rsidRPr="005F62F4">
        <w:t>ers</w:t>
      </w:r>
      <w:r w:rsidR="00B301FA" w:rsidRPr="005F62F4">
        <w:t xml:space="preserve"> can produce</w:t>
      </w:r>
      <w:r w:rsidR="002C331F" w:rsidRPr="005F62F4">
        <w:t xml:space="preserve"> more </w:t>
      </w:r>
      <w:r w:rsidR="000C2E86" w:rsidRPr="005F62F4">
        <w:t>accurate</w:t>
      </w:r>
      <w:r w:rsidR="0047499C" w:rsidRPr="005F62F4">
        <w:t xml:space="preserve"> </w:t>
      </w:r>
      <w:r w:rsidR="00913377" w:rsidRPr="005F62F4">
        <w:t>products</w:t>
      </w:r>
      <w:r w:rsidR="002C331F" w:rsidRPr="005F62F4">
        <w:t>)</w:t>
      </w:r>
      <w:r w:rsidR="00AB6776" w:rsidRPr="005F62F4">
        <w:t>.</w:t>
      </w:r>
    </w:p>
    <w:p w14:paraId="4306DA0F" w14:textId="2203A526" w:rsidR="00AB6776" w:rsidRPr="005F62F4" w:rsidRDefault="00AB6776" w:rsidP="00AB6776">
      <w:pPr>
        <w:pStyle w:val="Para"/>
      </w:pPr>
      <w:r w:rsidRPr="005F62F4">
        <w:t>It is also worth highlighting that surgical guides cannot always be used intraoperatively as planned due to manufacturing errors, breakage or unsuitability.</w:t>
      </w:r>
    </w:p>
    <w:p w14:paraId="70102190" w14:textId="79F22DBE" w:rsidR="00DC068E" w:rsidRPr="005F62F4" w:rsidRDefault="00DC068E" w:rsidP="004F2931">
      <w:pPr>
        <w:pStyle w:val="Heading4"/>
      </w:pPr>
      <w:r w:rsidRPr="005F62F4">
        <w:t>Over-reliance</w:t>
      </w:r>
      <w:r w:rsidR="00386D71" w:rsidRPr="005F62F4">
        <w:t xml:space="preserve"> </w:t>
      </w:r>
      <w:r w:rsidR="003065A8" w:rsidRPr="005F62F4">
        <w:t xml:space="preserve">on surgical guides </w:t>
      </w:r>
      <w:r w:rsidR="00386D71" w:rsidRPr="005F62F4">
        <w:t>may reduce surgical skill</w:t>
      </w:r>
    </w:p>
    <w:p w14:paraId="22C37A63" w14:textId="3272F549" w:rsidR="00460735" w:rsidRPr="005F62F4" w:rsidRDefault="00DC068E" w:rsidP="00DC068E">
      <w:pPr>
        <w:pStyle w:val="Para"/>
      </w:pPr>
      <w:r w:rsidRPr="005F62F4">
        <w:t xml:space="preserve">Several </w:t>
      </w:r>
      <w:r w:rsidR="004E504D" w:rsidRPr="005F62F4">
        <w:t>surgeons</w:t>
      </w:r>
      <w:r w:rsidRPr="005F62F4">
        <w:t xml:space="preserve"> expressed concern that the growing reliance on surgical guides may </w:t>
      </w:r>
      <w:r w:rsidR="00F426CF" w:rsidRPr="005F62F4">
        <w:t xml:space="preserve">have a detrimental effect on </w:t>
      </w:r>
      <w:r w:rsidR="00FE65C5" w:rsidRPr="005F62F4">
        <w:t>freehand surgical</w:t>
      </w:r>
      <w:r w:rsidRPr="005F62F4">
        <w:t xml:space="preserve"> skills.</w:t>
      </w:r>
    </w:p>
    <w:p w14:paraId="35E49423" w14:textId="5B9F949F" w:rsidR="00DC068E" w:rsidRPr="005F62F4" w:rsidRDefault="00DC068E" w:rsidP="00DC068E">
      <w:pPr>
        <w:pStyle w:val="Para"/>
      </w:pPr>
      <w:r w:rsidRPr="005F62F4">
        <w:t>They highlighted the need for surgeons to be able to recognise and respond to errors and changes during the surgery</w:t>
      </w:r>
      <w:r w:rsidR="007115C9" w:rsidRPr="005F62F4">
        <w:t>. Potential issues includ</w:t>
      </w:r>
      <w:r w:rsidR="00772F56" w:rsidRPr="005F62F4">
        <w:t>e</w:t>
      </w:r>
      <w:r w:rsidRPr="005F62F4">
        <w:t xml:space="preserve"> manufacturing errors </w:t>
      </w:r>
      <w:r w:rsidR="00D10F6C" w:rsidRPr="005F62F4">
        <w:t xml:space="preserve">that make the surgical guide or </w:t>
      </w:r>
      <w:proofErr w:type="spellStart"/>
      <w:r w:rsidR="00D10F6C" w:rsidRPr="005F62F4">
        <w:t>biomodel</w:t>
      </w:r>
      <w:proofErr w:type="spellEnd"/>
      <w:r w:rsidR="00D10F6C" w:rsidRPr="005F62F4">
        <w:t xml:space="preserve"> unsuitable</w:t>
      </w:r>
      <w:r w:rsidRPr="005F62F4">
        <w:t xml:space="preserve">, or </w:t>
      </w:r>
      <w:r w:rsidR="0076009B" w:rsidRPr="005F62F4">
        <w:t xml:space="preserve">changes to </w:t>
      </w:r>
      <w:r w:rsidRPr="005F62F4">
        <w:t xml:space="preserve">the patient’s anatomy since the surgical guide or </w:t>
      </w:r>
      <w:proofErr w:type="spellStart"/>
      <w:r w:rsidRPr="005F62F4">
        <w:t>biomodel</w:t>
      </w:r>
      <w:proofErr w:type="spellEnd"/>
      <w:r w:rsidRPr="005F62F4">
        <w:t xml:space="preserve"> was produced (due, for example</w:t>
      </w:r>
      <w:r w:rsidR="00D3392A" w:rsidRPr="005F62F4">
        <w:t>,</w:t>
      </w:r>
      <w:r w:rsidRPr="005F62F4">
        <w:t xml:space="preserve"> to increased </w:t>
      </w:r>
      <w:r w:rsidRPr="005F62F4" w:rsidDel="0021100D">
        <w:t xml:space="preserve">tumour </w:t>
      </w:r>
      <w:r w:rsidRPr="005F62F4">
        <w:t>size).</w:t>
      </w:r>
    </w:p>
    <w:p w14:paraId="1D13E240" w14:textId="006D94F2" w:rsidR="00DC068E" w:rsidRPr="005F62F4" w:rsidRDefault="00BE184E" w:rsidP="00DC068E">
      <w:pPr>
        <w:pStyle w:val="Para"/>
      </w:pPr>
      <w:r w:rsidRPr="005F62F4">
        <w:t>Surgeons</w:t>
      </w:r>
      <w:r w:rsidR="00DC068E" w:rsidRPr="005F62F4">
        <w:t xml:space="preserve"> felt it was important </w:t>
      </w:r>
      <w:r w:rsidRPr="005F62F4">
        <w:t xml:space="preserve">to </w:t>
      </w:r>
      <w:r w:rsidR="005703F2" w:rsidRPr="005F62F4">
        <w:t>understand</w:t>
      </w:r>
      <w:r w:rsidR="00DC068E" w:rsidRPr="005F62F4">
        <w:t xml:space="preserve"> when use of a surgical guide or </w:t>
      </w:r>
      <w:proofErr w:type="spellStart"/>
      <w:r w:rsidR="00DC068E" w:rsidRPr="005F62F4">
        <w:t>biomodel</w:t>
      </w:r>
      <w:proofErr w:type="spellEnd"/>
      <w:r w:rsidR="00DC068E" w:rsidRPr="005F62F4">
        <w:t xml:space="preserve"> is clinically necessary</w:t>
      </w:r>
      <w:r w:rsidR="008D07B2" w:rsidRPr="005F62F4">
        <w:t xml:space="preserve">. </w:t>
      </w:r>
      <w:r w:rsidR="007D5CDC" w:rsidRPr="005F62F4">
        <w:t>O</w:t>
      </w:r>
      <w:r w:rsidR="00DC068E" w:rsidRPr="005F62F4">
        <w:t>n</w:t>
      </w:r>
      <w:r w:rsidRPr="005F62F4">
        <w:t>e</w:t>
      </w:r>
      <w:r w:rsidR="00DC068E" w:rsidRPr="005F62F4">
        <w:t xml:space="preserve"> </w:t>
      </w:r>
      <w:r w:rsidR="00881BEB" w:rsidRPr="005F62F4">
        <w:t>surgeon</w:t>
      </w:r>
      <w:r w:rsidR="003477EB" w:rsidRPr="005F62F4">
        <w:t xml:space="preserve"> </w:t>
      </w:r>
      <w:r w:rsidR="00DC068E" w:rsidRPr="005F62F4">
        <w:t>suggest</w:t>
      </w:r>
      <w:r w:rsidR="002413EE" w:rsidRPr="005F62F4">
        <w:t>ed</w:t>
      </w:r>
      <w:r w:rsidR="00DC068E" w:rsidRPr="005F62F4">
        <w:t xml:space="preserve"> that limit</w:t>
      </w:r>
      <w:r w:rsidR="0020665E" w:rsidRPr="005F62F4">
        <w:t>ing</w:t>
      </w:r>
      <w:r w:rsidR="00D468FD" w:rsidRPr="005F62F4">
        <w:t xml:space="preserve"> the use of</w:t>
      </w:r>
      <w:r w:rsidR="00DC068E" w:rsidRPr="005F62F4">
        <w:t xml:space="preserve"> surgical guides and </w:t>
      </w:r>
      <w:proofErr w:type="spellStart"/>
      <w:r w:rsidR="00DC068E" w:rsidRPr="005F62F4">
        <w:t>biomodels</w:t>
      </w:r>
      <w:proofErr w:type="spellEnd"/>
      <w:r w:rsidR="00DC068E" w:rsidRPr="005F62F4">
        <w:t xml:space="preserve"> </w:t>
      </w:r>
      <w:r w:rsidR="0020665E" w:rsidRPr="005F62F4">
        <w:t>to</w:t>
      </w:r>
      <w:r w:rsidR="00DC068E" w:rsidRPr="005F62F4">
        <w:t xml:space="preserve"> complex surgeries</w:t>
      </w:r>
      <w:r w:rsidR="0020665E" w:rsidRPr="005F62F4">
        <w:t xml:space="preserve"> </w:t>
      </w:r>
      <w:r w:rsidR="00DC068E" w:rsidRPr="005F62F4">
        <w:t xml:space="preserve">may help to maintain a baseline level of </w:t>
      </w:r>
      <w:r w:rsidR="0030590D" w:rsidRPr="005F62F4">
        <w:t xml:space="preserve">freehand </w:t>
      </w:r>
      <w:r w:rsidR="00DC068E" w:rsidRPr="005F62F4">
        <w:t>surgical skills.</w:t>
      </w:r>
    </w:p>
    <w:p w14:paraId="45042AA3" w14:textId="34EAD185" w:rsidR="00330CD3" w:rsidRPr="005F62F4" w:rsidRDefault="00330CD3" w:rsidP="004F2931">
      <w:pPr>
        <w:pStyle w:val="Heading4"/>
      </w:pPr>
      <w:r w:rsidRPr="005F62F4">
        <w:lastRenderedPageBreak/>
        <w:t>Costs</w:t>
      </w:r>
      <w:r w:rsidR="00B061F4" w:rsidRPr="005F62F4">
        <w:t xml:space="preserve"> may outweigh benefits for simple procedures</w:t>
      </w:r>
    </w:p>
    <w:p w14:paraId="78DB1400" w14:textId="7E2EA585" w:rsidR="007F67B7" w:rsidRPr="005F62F4" w:rsidRDefault="00C31281" w:rsidP="0078224F">
      <w:pPr>
        <w:pStyle w:val="ParaKeep"/>
      </w:pPr>
      <w:r w:rsidRPr="005F62F4">
        <w:t xml:space="preserve">The use of </w:t>
      </w:r>
      <w:r w:rsidR="003350AB" w:rsidRPr="005F62F4">
        <w:t>surgical guides</w:t>
      </w:r>
      <w:r w:rsidR="00580C5A" w:rsidRPr="005F62F4">
        <w:t xml:space="preserve"> and </w:t>
      </w:r>
      <w:proofErr w:type="spellStart"/>
      <w:r w:rsidR="00580C5A" w:rsidRPr="005F62F4">
        <w:t>biomodels</w:t>
      </w:r>
      <w:proofErr w:type="spellEnd"/>
      <w:r w:rsidR="003350AB" w:rsidRPr="005F62F4">
        <w:t xml:space="preserve"> </w:t>
      </w:r>
      <w:r w:rsidR="001C3244" w:rsidRPr="005F62F4">
        <w:t xml:space="preserve">can </w:t>
      </w:r>
      <w:r w:rsidR="00C17EA1" w:rsidRPr="005F62F4">
        <w:t>significantly increase the cost of some procedures</w:t>
      </w:r>
      <w:r w:rsidR="009C0B1A" w:rsidRPr="005F62F4">
        <w:t>.</w:t>
      </w:r>
    </w:p>
    <w:p w14:paraId="4796F16E" w14:textId="0C2B0B26" w:rsidR="009C0D38" w:rsidRPr="005F62F4" w:rsidRDefault="007D46A9" w:rsidP="003E7B6C">
      <w:pPr>
        <w:pStyle w:val="Para"/>
      </w:pPr>
      <w:r w:rsidRPr="005F62F4">
        <w:t>M</w:t>
      </w:r>
      <w:r w:rsidR="00207584" w:rsidRPr="005F62F4">
        <w:t xml:space="preserve">edical technology peak bodies, sponsors and other surgeons (as well as published literature – see </w:t>
      </w:r>
      <w:r w:rsidR="00207584" w:rsidRPr="005F62F4">
        <w:fldChar w:fldCharType="begin"/>
      </w:r>
      <w:r w:rsidR="00207584" w:rsidRPr="005F62F4">
        <w:instrText xml:space="preserve"> REF _Ref119487926 \r \h </w:instrText>
      </w:r>
      <w:r w:rsidR="005F62F4">
        <w:instrText xml:space="preserve"> \* MERGEFORMAT </w:instrText>
      </w:r>
      <w:r w:rsidR="00207584" w:rsidRPr="005F62F4">
        <w:fldChar w:fldCharType="separate"/>
      </w:r>
      <w:r w:rsidR="005606BF">
        <w:t>Section 2</w:t>
      </w:r>
      <w:r w:rsidR="00207584" w:rsidRPr="005F62F4">
        <w:fldChar w:fldCharType="end"/>
      </w:r>
      <w:r w:rsidR="00207584" w:rsidRPr="005F62F4">
        <w:t xml:space="preserve">) suggested that the costs of surgical guides and </w:t>
      </w:r>
      <w:proofErr w:type="spellStart"/>
      <w:r w:rsidR="00207584" w:rsidRPr="005F62F4">
        <w:t>biomodels</w:t>
      </w:r>
      <w:proofErr w:type="spellEnd"/>
      <w:r w:rsidR="00207584" w:rsidRPr="005F62F4">
        <w:t xml:space="preserve"> may be offset by savings from reduced theatre time and reduced need for multiple procedures, especially in complex surgeries.</w:t>
      </w:r>
      <w:r w:rsidRPr="005F62F4">
        <w:t xml:space="preserve"> However</w:t>
      </w:r>
      <w:r w:rsidR="0022474B">
        <w:t>,</w:t>
      </w:r>
      <w:r w:rsidRPr="005F62F4">
        <w:t xml:space="preserve"> s</w:t>
      </w:r>
      <w:r w:rsidR="00C17EA1" w:rsidRPr="005F62F4">
        <w:t>ome</w:t>
      </w:r>
      <w:r w:rsidR="006A1726" w:rsidRPr="005F62F4">
        <w:t xml:space="preserve"> stakeholders – including surgeons</w:t>
      </w:r>
      <w:r w:rsidR="003E7B6C" w:rsidRPr="005F62F4">
        <w:t xml:space="preserve"> and private health insurance representatives </w:t>
      </w:r>
      <w:r w:rsidR="006A1726" w:rsidRPr="005F62F4">
        <w:t xml:space="preserve">– </w:t>
      </w:r>
      <w:r w:rsidR="007E2371" w:rsidRPr="005F62F4">
        <w:t>reported</w:t>
      </w:r>
      <w:r w:rsidR="003E7B6C" w:rsidRPr="005F62F4">
        <w:t xml:space="preserve"> that use of surgical guides and </w:t>
      </w:r>
      <w:proofErr w:type="spellStart"/>
      <w:r w:rsidR="003E7B6C" w:rsidRPr="005F62F4">
        <w:t>biomodels</w:t>
      </w:r>
      <w:proofErr w:type="spellEnd"/>
      <w:r w:rsidR="003E7B6C" w:rsidRPr="005F62F4">
        <w:t xml:space="preserve"> does not represent value for money </w:t>
      </w:r>
      <w:r w:rsidR="004171F0" w:rsidRPr="005F62F4">
        <w:t xml:space="preserve">in </w:t>
      </w:r>
      <w:r w:rsidR="003E7B6C" w:rsidRPr="005F62F4">
        <w:t>low</w:t>
      </w:r>
      <w:r w:rsidR="006F1A7C" w:rsidRPr="005F62F4">
        <w:t>-</w:t>
      </w:r>
      <w:r w:rsidR="003E7B6C" w:rsidRPr="005F62F4">
        <w:t>complexity procedures.</w:t>
      </w:r>
    </w:p>
    <w:p w14:paraId="5B5D231D" w14:textId="01FBD7DB" w:rsidR="006F1A7C" w:rsidRPr="005F62F4" w:rsidRDefault="001E3935" w:rsidP="006F1A7C">
      <w:pPr>
        <w:pStyle w:val="Para"/>
      </w:pPr>
      <w:r w:rsidRPr="005F62F4">
        <w:t xml:space="preserve">We heard that the cost of using surgical guides and </w:t>
      </w:r>
      <w:proofErr w:type="spellStart"/>
      <w:r w:rsidRPr="005F62F4">
        <w:t>biomodels</w:t>
      </w:r>
      <w:proofErr w:type="spellEnd"/>
      <w:r w:rsidRPr="005F62F4">
        <w:t xml:space="preserve"> </w:t>
      </w:r>
      <w:r w:rsidR="006F1A7C" w:rsidRPr="005F62F4">
        <w:t xml:space="preserve">is not always visible to </w:t>
      </w:r>
      <w:r w:rsidR="00C535AD" w:rsidRPr="005F62F4">
        <w:t xml:space="preserve">surgeons and </w:t>
      </w:r>
      <w:r w:rsidR="006F1A7C" w:rsidRPr="005F62F4">
        <w:t xml:space="preserve">other stakeholders, </w:t>
      </w:r>
      <w:r w:rsidR="00C9209B" w:rsidRPr="005F62F4">
        <w:t>as</w:t>
      </w:r>
      <w:r w:rsidR="00C535AD" w:rsidRPr="005F62F4">
        <w:t xml:space="preserve"> insurers typically pay the PL benefit directly to </w:t>
      </w:r>
      <w:r w:rsidR="00CF79F3" w:rsidRPr="005F62F4">
        <w:t>sponsors</w:t>
      </w:r>
      <w:r w:rsidR="007B1773" w:rsidRPr="005F62F4">
        <w:t xml:space="preserve">. As a result, costs are </w:t>
      </w:r>
      <w:r w:rsidR="006F1A7C" w:rsidRPr="005F62F4">
        <w:t xml:space="preserve">not always considered in surgical planning and decision-making. However, some </w:t>
      </w:r>
      <w:r w:rsidR="000C3110" w:rsidRPr="005F62F4">
        <w:t>surgeons</w:t>
      </w:r>
      <w:r w:rsidR="006F1A7C" w:rsidRPr="005F62F4">
        <w:t xml:space="preserve"> advised </w:t>
      </w:r>
      <w:r w:rsidR="008A70AA" w:rsidRPr="005F62F4">
        <w:t xml:space="preserve">that </w:t>
      </w:r>
      <w:r w:rsidR="006F1A7C" w:rsidRPr="005F62F4">
        <w:t xml:space="preserve">they </w:t>
      </w:r>
      <w:r w:rsidR="00432184" w:rsidRPr="005F62F4">
        <w:t xml:space="preserve">do </w:t>
      </w:r>
      <w:r w:rsidR="006F1A7C" w:rsidRPr="005F62F4">
        <w:t xml:space="preserve">consider </w:t>
      </w:r>
      <w:r w:rsidR="00FD1910" w:rsidRPr="005F62F4">
        <w:t>the</w:t>
      </w:r>
      <w:r w:rsidR="006F1A7C" w:rsidRPr="005F62F4">
        <w:t xml:space="preserve"> cost implications and relative value of certain products – for example, when deciding whether to use off-the-shelf implants that can be adapted using a physical </w:t>
      </w:r>
      <w:proofErr w:type="spellStart"/>
      <w:r w:rsidR="006F1A7C" w:rsidRPr="005F62F4">
        <w:t>biomodel</w:t>
      </w:r>
      <w:proofErr w:type="spellEnd"/>
      <w:r w:rsidR="006F1A7C" w:rsidRPr="005F62F4">
        <w:t xml:space="preserve"> or more expensive patient-specific implants.</w:t>
      </w:r>
    </w:p>
    <w:p w14:paraId="41795632" w14:textId="211A29F6" w:rsidR="003E7B6C" w:rsidRPr="005F62F4" w:rsidRDefault="004269E7" w:rsidP="003E7B6C">
      <w:pPr>
        <w:pStyle w:val="Para"/>
      </w:pPr>
      <w:r w:rsidRPr="005F62F4">
        <w:t>Most s</w:t>
      </w:r>
      <w:r w:rsidR="003E7B6C" w:rsidRPr="005F62F4">
        <w:t>takeholders suggested that further cost</w:t>
      </w:r>
      <w:r w:rsidR="00DD7013" w:rsidRPr="005F62F4">
        <w:t xml:space="preserve"> </w:t>
      </w:r>
      <w:r w:rsidR="003E7B6C" w:rsidRPr="005F62F4">
        <w:t xml:space="preserve">analyses, including examination of manufacturing costs, are needed to clarify </w:t>
      </w:r>
      <w:r w:rsidR="002134B5" w:rsidRPr="005F62F4">
        <w:t>these cost considerations</w:t>
      </w:r>
      <w:r w:rsidR="003E7B6C" w:rsidRPr="005F62F4">
        <w:t>.</w:t>
      </w:r>
    </w:p>
    <w:p w14:paraId="54E8F844" w14:textId="41C44FBF" w:rsidR="00F60DF5" w:rsidRPr="005F62F4" w:rsidRDefault="00524AC8" w:rsidP="004F2931">
      <w:pPr>
        <w:pStyle w:val="Heading3"/>
      </w:pPr>
      <w:r w:rsidRPr="005F62F4">
        <w:t>G</w:t>
      </w:r>
      <w:r w:rsidR="001D610D" w:rsidRPr="005F62F4">
        <w:t>r</w:t>
      </w:r>
      <w:r w:rsidR="001446D0" w:rsidRPr="005F62F4">
        <w:t xml:space="preserve">owth in </w:t>
      </w:r>
      <w:r w:rsidR="00DA5C24" w:rsidRPr="005F62F4">
        <w:t xml:space="preserve">use of </w:t>
      </w:r>
      <w:r w:rsidR="00241345" w:rsidRPr="005F62F4">
        <w:t xml:space="preserve">PL-listed </w:t>
      </w:r>
      <w:r w:rsidR="00DA5C24" w:rsidRPr="005F62F4">
        <w:t xml:space="preserve">surgical guides and </w:t>
      </w:r>
      <w:proofErr w:type="spellStart"/>
      <w:r w:rsidR="00DA5C24" w:rsidRPr="005F62F4">
        <w:t>biomodels</w:t>
      </w:r>
      <w:proofErr w:type="spellEnd"/>
    </w:p>
    <w:p w14:paraId="1BA0F648" w14:textId="5A6CE041" w:rsidR="00330CD3" w:rsidRPr="005F62F4" w:rsidRDefault="00330CD3" w:rsidP="00330CD3">
      <w:pPr>
        <w:pStyle w:val="ParaKeep"/>
      </w:pPr>
      <w:r w:rsidRPr="005F62F4">
        <w:t>Many stakeholders, but particularly representatives of private health insurers, were conscious of the grow</w:t>
      </w:r>
      <w:r w:rsidR="00AB0189" w:rsidRPr="005F62F4">
        <w:t>th</w:t>
      </w:r>
      <w:r w:rsidR="00B95F2E" w:rsidRPr="005F62F4">
        <w:t xml:space="preserve"> in</w:t>
      </w:r>
      <w:r w:rsidRPr="005F62F4">
        <w:t xml:space="preserve"> benefits paid for surgical guides and </w:t>
      </w:r>
      <w:proofErr w:type="spellStart"/>
      <w:r w:rsidRPr="005F62F4">
        <w:t>biomodels</w:t>
      </w:r>
      <w:proofErr w:type="spellEnd"/>
      <w:r w:rsidRPr="005F62F4">
        <w:t xml:space="preserve"> </w:t>
      </w:r>
      <w:r w:rsidR="00E34628" w:rsidRPr="005F62F4">
        <w:t>on the PL</w:t>
      </w:r>
      <w:r w:rsidRPr="005F62F4">
        <w:t xml:space="preserve">. </w:t>
      </w:r>
      <w:r w:rsidR="00CD4AD8" w:rsidRPr="005F62F4">
        <w:t xml:space="preserve">The </w:t>
      </w:r>
      <w:r w:rsidR="00556BF7" w:rsidRPr="005F62F4">
        <w:t xml:space="preserve">perceived </w:t>
      </w:r>
      <w:r w:rsidR="00CD4AD8" w:rsidRPr="005F62F4">
        <w:t xml:space="preserve">reasons for this </w:t>
      </w:r>
      <w:r w:rsidR="000F7601" w:rsidRPr="005F62F4">
        <w:t>growth</w:t>
      </w:r>
      <w:r w:rsidR="00607A63" w:rsidRPr="005F62F4">
        <w:t xml:space="preserve"> are </w:t>
      </w:r>
      <w:r w:rsidR="008D0134" w:rsidRPr="005F62F4">
        <w:t>summarised</w:t>
      </w:r>
      <w:r w:rsidR="00607A63" w:rsidRPr="005F62F4">
        <w:t xml:space="preserve"> </w:t>
      </w:r>
      <w:proofErr w:type="gramStart"/>
      <w:r w:rsidR="00607A63" w:rsidRPr="005F62F4">
        <w:t>below, and</w:t>
      </w:r>
      <w:proofErr w:type="gramEnd"/>
      <w:r w:rsidR="00607A63" w:rsidRPr="005F62F4">
        <w:t xml:space="preserve"> are c</w:t>
      </w:r>
      <w:r w:rsidRPr="005F62F4">
        <w:t xml:space="preserve">onsistent with the utilisation data in </w:t>
      </w:r>
      <w:r w:rsidR="007A07B4" w:rsidRPr="005F62F4">
        <w:fldChar w:fldCharType="begin"/>
      </w:r>
      <w:r w:rsidR="007A07B4" w:rsidRPr="005F62F4">
        <w:instrText xml:space="preserve"> REF _Ref119398618 \r \h </w:instrText>
      </w:r>
      <w:r w:rsidR="005F62F4">
        <w:instrText xml:space="preserve"> \* MERGEFORMAT </w:instrText>
      </w:r>
      <w:r w:rsidR="007A07B4" w:rsidRPr="005F62F4">
        <w:fldChar w:fldCharType="separate"/>
      </w:r>
      <w:r w:rsidR="005606BF">
        <w:t>Section 3</w:t>
      </w:r>
      <w:r w:rsidR="007A07B4" w:rsidRPr="005F62F4">
        <w:fldChar w:fldCharType="end"/>
      </w:r>
      <w:r w:rsidR="00607A63" w:rsidRPr="005F62F4">
        <w:t>.</w:t>
      </w:r>
    </w:p>
    <w:p w14:paraId="0347FCAB" w14:textId="516793F6" w:rsidR="007D71B1" w:rsidRPr="005F62F4" w:rsidRDefault="007D71B1" w:rsidP="004F2931">
      <w:pPr>
        <w:pStyle w:val="Heading4"/>
      </w:pPr>
      <w:bookmarkStart w:id="89" w:name="_Hlk128051146"/>
      <w:r w:rsidRPr="005F62F4">
        <w:t>Increase</w:t>
      </w:r>
      <w:r w:rsidR="005B51C2" w:rsidRPr="005F62F4">
        <w:t>d u</w:t>
      </w:r>
      <w:r w:rsidR="008F26FE" w:rsidRPr="005F62F4">
        <w:t>tilisation</w:t>
      </w:r>
      <w:r w:rsidR="00650AE2" w:rsidRPr="005F62F4">
        <w:t xml:space="preserve"> in</w:t>
      </w:r>
      <w:r w:rsidR="00A861CF" w:rsidRPr="005F62F4">
        <w:t xml:space="preserve"> </w:t>
      </w:r>
      <w:r w:rsidRPr="005F62F4">
        <w:t>simple</w:t>
      </w:r>
      <w:r w:rsidR="00C658B7" w:rsidRPr="005F62F4">
        <w:t>r</w:t>
      </w:r>
      <w:r w:rsidRPr="005F62F4">
        <w:t xml:space="preserve"> procedures</w:t>
      </w:r>
    </w:p>
    <w:bookmarkEnd w:id="89"/>
    <w:p w14:paraId="3640F3B1" w14:textId="1790DB0B" w:rsidR="00BB639C" w:rsidRPr="005F62F4" w:rsidRDefault="00C738A6" w:rsidP="009F11D4">
      <w:pPr>
        <w:pStyle w:val="Para"/>
      </w:pPr>
      <w:r w:rsidRPr="005F62F4">
        <w:t xml:space="preserve">Stakeholders reported </w:t>
      </w:r>
      <w:r w:rsidR="004919F0" w:rsidRPr="005F62F4">
        <w:t xml:space="preserve">that when surgical guides and </w:t>
      </w:r>
      <w:proofErr w:type="spellStart"/>
      <w:r w:rsidR="004919F0" w:rsidRPr="005F62F4">
        <w:t>biomodels</w:t>
      </w:r>
      <w:proofErr w:type="spellEnd"/>
      <w:r w:rsidR="004919F0" w:rsidRPr="005F62F4">
        <w:t xml:space="preserve"> were first added to the PL, they were </w:t>
      </w:r>
      <w:r w:rsidR="000E59B5" w:rsidRPr="005F62F4">
        <w:t xml:space="preserve">used mainly </w:t>
      </w:r>
      <w:r w:rsidR="00E675E4" w:rsidRPr="005F62F4">
        <w:t xml:space="preserve">for </w:t>
      </w:r>
      <w:r w:rsidR="00330CD3" w:rsidRPr="005F62F4">
        <w:t>complex CMF procedures</w:t>
      </w:r>
      <w:r w:rsidR="00292B96" w:rsidRPr="005F62F4">
        <w:t>.</w:t>
      </w:r>
      <w:r w:rsidR="00950CDB" w:rsidRPr="005F62F4">
        <w:t xml:space="preserve"> O</w:t>
      </w:r>
      <w:r w:rsidR="00617457" w:rsidRPr="005F62F4">
        <w:t>ver time</w:t>
      </w:r>
      <w:r w:rsidR="00237A6A" w:rsidRPr="005F62F4">
        <w:t xml:space="preserve">, </w:t>
      </w:r>
      <w:r w:rsidR="0051040E" w:rsidRPr="005F62F4">
        <w:t>their use</w:t>
      </w:r>
      <w:r w:rsidR="00237A6A" w:rsidRPr="005F62F4">
        <w:t xml:space="preserve"> </w:t>
      </w:r>
      <w:r w:rsidR="004D0EA6" w:rsidRPr="005F62F4">
        <w:t>has</w:t>
      </w:r>
      <w:r w:rsidR="00950CDB" w:rsidRPr="005F62F4">
        <w:t xml:space="preserve"> </w:t>
      </w:r>
      <w:r w:rsidR="00237A6A" w:rsidRPr="005F62F4">
        <w:t>expanded</w:t>
      </w:r>
      <w:r w:rsidR="00693C97" w:rsidRPr="005F62F4">
        <w:t xml:space="preserve"> </w:t>
      </w:r>
      <w:r w:rsidR="00917676" w:rsidRPr="005F62F4">
        <w:t>to</w:t>
      </w:r>
      <w:r w:rsidR="00237A6A" w:rsidRPr="005F62F4">
        <w:t xml:space="preserve"> </w:t>
      </w:r>
      <w:r w:rsidR="00967C14" w:rsidRPr="005F62F4">
        <w:t>simpler procedures</w:t>
      </w:r>
      <w:r w:rsidR="00330CD3" w:rsidRPr="005F62F4">
        <w:t>, particularly high-volume but low-complexity dental procedures</w:t>
      </w:r>
      <w:r w:rsidR="00983880" w:rsidRPr="005F62F4">
        <w:t xml:space="preserve"> (see</w:t>
      </w:r>
      <w:r w:rsidR="00EF125F" w:rsidRPr="005F62F4">
        <w:t xml:space="preserve"> ‘</w:t>
      </w:r>
      <w:r w:rsidR="00EF125F" w:rsidRPr="005F62F4">
        <w:rPr>
          <w:b/>
        </w:rPr>
        <w:fldChar w:fldCharType="begin"/>
      </w:r>
      <w:r w:rsidR="00EF125F" w:rsidRPr="005F62F4">
        <w:instrText xml:space="preserve"> REF _Ref128060389 \h </w:instrText>
      </w:r>
      <w:r w:rsidR="005F62F4">
        <w:rPr>
          <w:b/>
        </w:rPr>
        <w:instrText xml:space="preserve"> \* MERGEFORMAT </w:instrText>
      </w:r>
      <w:r w:rsidR="00EF125F" w:rsidRPr="005F62F4">
        <w:rPr>
          <w:b/>
        </w:rPr>
      </w:r>
      <w:r w:rsidR="00EF125F" w:rsidRPr="005F62F4">
        <w:rPr>
          <w:b/>
        </w:rPr>
        <w:fldChar w:fldCharType="separate"/>
      </w:r>
      <w:r w:rsidR="005606BF" w:rsidRPr="005F62F4">
        <w:t xml:space="preserve">Scope of use of surgical guides and </w:t>
      </w:r>
      <w:proofErr w:type="spellStart"/>
      <w:r w:rsidR="005606BF" w:rsidRPr="005F62F4">
        <w:t>biomodels</w:t>
      </w:r>
      <w:proofErr w:type="spellEnd"/>
      <w:r w:rsidR="00EF125F" w:rsidRPr="005F62F4">
        <w:rPr>
          <w:b/>
        </w:rPr>
        <w:fldChar w:fldCharType="end"/>
      </w:r>
      <w:r w:rsidR="00EF125F" w:rsidRPr="005F62F4">
        <w:t>’, below</w:t>
      </w:r>
      <w:r w:rsidR="00983880" w:rsidRPr="005F62F4">
        <w:t>)</w:t>
      </w:r>
      <w:r w:rsidR="00D07795" w:rsidRPr="005F62F4">
        <w:t>.</w:t>
      </w:r>
    </w:p>
    <w:p w14:paraId="738D2751" w14:textId="023451E4" w:rsidR="007D71B1" w:rsidRPr="005F62F4" w:rsidRDefault="007D71B1" w:rsidP="004F2931">
      <w:pPr>
        <w:pStyle w:val="Heading4"/>
      </w:pPr>
      <w:r w:rsidRPr="005F62F4">
        <w:lastRenderedPageBreak/>
        <w:t>Increase</w:t>
      </w:r>
      <w:r w:rsidR="001E14A6" w:rsidRPr="005F62F4">
        <w:t>d</w:t>
      </w:r>
      <w:r w:rsidRPr="005F62F4">
        <w:t xml:space="preserve"> number of </w:t>
      </w:r>
      <w:r w:rsidR="000F2B4D" w:rsidRPr="005F62F4">
        <w:t>products per procedure</w:t>
      </w:r>
    </w:p>
    <w:p w14:paraId="4A8CF023" w14:textId="52CC5696" w:rsidR="00206F0D" w:rsidRPr="005F62F4" w:rsidRDefault="00B46D17" w:rsidP="0005346A">
      <w:pPr>
        <w:pStyle w:val="ParaKeep"/>
      </w:pPr>
      <w:r w:rsidRPr="005F62F4">
        <w:t xml:space="preserve">Stakeholders noted </w:t>
      </w:r>
      <w:r w:rsidR="00F33B47" w:rsidRPr="005F62F4">
        <w:t xml:space="preserve">that </w:t>
      </w:r>
      <w:r w:rsidRPr="005F62F4">
        <w:t>t</w:t>
      </w:r>
      <w:r w:rsidR="0011344C" w:rsidRPr="005F62F4">
        <w:t xml:space="preserve">he number of </w:t>
      </w:r>
      <w:r w:rsidR="00330CD3" w:rsidRPr="005F62F4">
        <w:t xml:space="preserve">surgical guides </w:t>
      </w:r>
      <w:r w:rsidR="0011344C" w:rsidRPr="005F62F4">
        <w:t>and/</w:t>
      </w:r>
      <w:r w:rsidR="00330CD3" w:rsidRPr="005F62F4">
        <w:t xml:space="preserve">or </w:t>
      </w:r>
      <w:proofErr w:type="spellStart"/>
      <w:r w:rsidR="00330CD3" w:rsidRPr="005F62F4">
        <w:t>biomodels</w:t>
      </w:r>
      <w:proofErr w:type="spellEnd"/>
      <w:r w:rsidR="00330CD3" w:rsidRPr="005F62F4">
        <w:t xml:space="preserve"> </w:t>
      </w:r>
      <w:r w:rsidR="00C91646" w:rsidRPr="005F62F4">
        <w:t xml:space="preserve">supplied </w:t>
      </w:r>
      <w:r w:rsidR="003A20CA" w:rsidRPr="005F62F4">
        <w:t xml:space="preserve">(and </w:t>
      </w:r>
      <w:r w:rsidR="004F07A3" w:rsidRPr="005F62F4">
        <w:t>billed)</w:t>
      </w:r>
      <w:r w:rsidR="00C91646" w:rsidRPr="005F62F4">
        <w:t xml:space="preserve"> </w:t>
      </w:r>
      <w:r w:rsidR="00330CD3" w:rsidRPr="005F62F4">
        <w:t>for a single procedure</w:t>
      </w:r>
      <w:r w:rsidR="00206F0D" w:rsidRPr="005F62F4">
        <w:t xml:space="preserve"> had increased over time</w:t>
      </w:r>
      <w:r w:rsidR="00064AC6" w:rsidRPr="005F62F4">
        <w:t>.</w:t>
      </w:r>
      <w:r w:rsidR="00BC287F" w:rsidRPr="005F62F4">
        <w:rPr>
          <w:rStyle w:val="FootnoteReference"/>
        </w:rPr>
        <w:footnoteReference w:id="11"/>
      </w:r>
      <w:r w:rsidR="003C4AF3" w:rsidRPr="005F62F4">
        <w:t xml:space="preserve"> </w:t>
      </w:r>
      <w:r w:rsidR="00330CD3" w:rsidRPr="005F62F4">
        <w:t xml:space="preserve">We heard </w:t>
      </w:r>
      <w:r w:rsidR="00206F0D" w:rsidRPr="005F62F4">
        <w:t>multiple reasons for this increase, including:</w:t>
      </w:r>
    </w:p>
    <w:p w14:paraId="703B10BB" w14:textId="3FF92853" w:rsidR="00820660" w:rsidRPr="005F62F4" w:rsidRDefault="002C5262" w:rsidP="0005346A">
      <w:pPr>
        <w:pStyle w:val="Bullet1Keep"/>
      </w:pPr>
      <w:r w:rsidRPr="005F62F4">
        <w:t>S</w:t>
      </w:r>
      <w:r w:rsidR="00820660" w:rsidRPr="005F62F4">
        <w:t xml:space="preserve">urgeons </w:t>
      </w:r>
      <w:proofErr w:type="gramStart"/>
      <w:r w:rsidR="00820660" w:rsidRPr="005F62F4">
        <w:t>are able to</w:t>
      </w:r>
      <w:proofErr w:type="gramEnd"/>
      <w:r w:rsidR="00820660" w:rsidRPr="005F62F4">
        <w:t xml:space="preserve"> combine multiple surgeries in a single admission (as noted above)</w:t>
      </w:r>
      <w:r w:rsidRPr="005F62F4">
        <w:t>.</w:t>
      </w:r>
    </w:p>
    <w:p w14:paraId="55533844" w14:textId="548CD1C4" w:rsidR="005D2294" w:rsidRPr="005F62F4" w:rsidRDefault="002C5262" w:rsidP="00150F85">
      <w:pPr>
        <w:pStyle w:val="Bullet1"/>
      </w:pPr>
      <w:r w:rsidRPr="005F62F4">
        <w:t>S</w:t>
      </w:r>
      <w:r w:rsidR="00827F7C" w:rsidRPr="005F62F4">
        <w:t>ponsors</w:t>
      </w:r>
      <w:r w:rsidR="00330CD3" w:rsidRPr="005F62F4">
        <w:t xml:space="preserve"> </w:t>
      </w:r>
      <w:r w:rsidR="0005346A" w:rsidRPr="005F62F4">
        <w:t xml:space="preserve">sometimes </w:t>
      </w:r>
      <w:r w:rsidR="00330CD3" w:rsidRPr="005F62F4">
        <w:t xml:space="preserve">split </w:t>
      </w:r>
      <w:proofErr w:type="spellStart"/>
      <w:r w:rsidR="00CC55E1" w:rsidRPr="005F62F4">
        <w:t>biomodels</w:t>
      </w:r>
      <w:proofErr w:type="spellEnd"/>
      <w:r w:rsidR="00CC55E1" w:rsidRPr="005F62F4">
        <w:t xml:space="preserve"> </w:t>
      </w:r>
      <w:r w:rsidR="00330CD3" w:rsidRPr="005F62F4">
        <w:t>into multiple parts with each billed as a separate item</w:t>
      </w:r>
      <w:r w:rsidRPr="005F62F4">
        <w:t>.</w:t>
      </w:r>
    </w:p>
    <w:p w14:paraId="22F8CEA1" w14:textId="071CB5A3" w:rsidR="00D476E1" w:rsidRPr="005F62F4" w:rsidRDefault="002C5262" w:rsidP="00150F85">
      <w:pPr>
        <w:pStyle w:val="Bullet1"/>
      </w:pPr>
      <w:r w:rsidRPr="005F62F4">
        <w:t>S</w:t>
      </w:r>
      <w:r w:rsidR="00ED4E86" w:rsidRPr="005F62F4">
        <w:t xml:space="preserve">urgeons sometimes order </w:t>
      </w:r>
      <w:r w:rsidR="00330CD3" w:rsidRPr="005F62F4">
        <w:t>multiple surgical guides so the</w:t>
      </w:r>
      <w:r w:rsidR="00ED4E86" w:rsidRPr="005F62F4">
        <w:t>y</w:t>
      </w:r>
      <w:r w:rsidR="00330CD3" w:rsidRPr="005F62F4">
        <w:t xml:space="preserve"> </w:t>
      </w:r>
      <w:r w:rsidR="000A3C8F" w:rsidRPr="005F62F4">
        <w:t>can</w:t>
      </w:r>
      <w:r w:rsidR="00330CD3" w:rsidRPr="005F62F4">
        <w:t xml:space="preserve"> select the one most appropriate to the circumstances.</w:t>
      </w:r>
    </w:p>
    <w:p w14:paraId="04FA90D3" w14:textId="7370D4F3" w:rsidR="00330CD3" w:rsidRPr="005F62F4" w:rsidRDefault="002C5262" w:rsidP="00330CD3">
      <w:pPr>
        <w:pStyle w:val="Bullet1"/>
      </w:pPr>
      <w:r w:rsidRPr="005F62F4">
        <w:t>S</w:t>
      </w:r>
      <w:r w:rsidR="00E740ED" w:rsidRPr="005F62F4">
        <w:t xml:space="preserve">ponsors sometimes </w:t>
      </w:r>
      <w:r w:rsidR="00AB0160" w:rsidRPr="005F62F4">
        <w:t>provide (and charge for)</w:t>
      </w:r>
      <w:r w:rsidR="00330CD3" w:rsidRPr="005F62F4">
        <w:t xml:space="preserve"> multiple </w:t>
      </w:r>
      <w:proofErr w:type="spellStart"/>
      <w:r w:rsidR="00330CD3" w:rsidRPr="005F62F4">
        <w:t>biomodels</w:t>
      </w:r>
      <w:proofErr w:type="spellEnd"/>
      <w:r w:rsidR="00F430B0" w:rsidRPr="005F62F4">
        <w:t>,</w:t>
      </w:r>
      <w:r w:rsidR="00CC55E1" w:rsidRPr="005F62F4">
        <w:t xml:space="preserve"> </w:t>
      </w:r>
      <w:proofErr w:type="gramStart"/>
      <w:r w:rsidR="00C61B22" w:rsidRPr="005F62F4">
        <w:t>in excess of</w:t>
      </w:r>
      <w:proofErr w:type="gramEnd"/>
      <w:r w:rsidR="00C61B22" w:rsidRPr="005F62F4">
        <w:t xml:space="preserve"> those</w:t>
      </w:r>
      <w:r w:rsidR="00330CD3" w:rsidRPr="005F62F4">
        <w:t xml:space="preserve"> ordered by the surgeon.</w:t>
      </w:r>
    </w:p>
    <w:p w14:paraId="6505B03A" w14:textId="23343B83" w:rsidR="00B10CE9" w:rsidRPr="005F62F4" w:rsidRDefault="005B1BA1" w:rsidP="005F367D">
      <w:pPr>
        <w:pStyle w:val="Para"/>
      </w:pPr>
      <w:r w:rsidRPr="005F62F4">
        <w:t xml:space="preserve">We asked stakeholders </w:t>
      </w:r>
      <w:r w:rsidR="002B5878" w:rsidRPr="005F62F4">
        <w:t xml:space="preserve">how many </w:t>
      </w:r>
      <w:r w:rsidR="0007014F" w:rsidRPr="005F62F4">
        <w:t xml:space="preserve">surgical guides and </w:t>
      </w:r>
      <w:proofErr w:type="spellStart"/>
      <w:r w:rsidR="0007014F" w:rsidRPr="005F62F4">
        <w:t>biomodels</w:t>
      </w:r>
      <w:proofErr w:type="spellEnd"/>
      <w:r w:rsidR="0007014F" w:rsidRPr="005F62F4">
        <w:t xml:space="preserve"> </w:t>
      </w:r>
      <w:r w:rsidR="008E0963" w:rsidRPr="005F62F4">
        <w:t xml:space="preserve">were </w:t>
      </w:r>
      <w:r w:rsidR="00DC18D0" w:rsidRPr="005F62F4">
        <w:t>typically needed</w:t>
      </w:r>
      <w:r w:rsidR="008E0963" w:rsidRPr="005F62F4">
        <w:t xml:space="preserve"> </w:t>
      </w:r>
      <w:r w:rsidR="002018A9" w:rsidRPr="005F62F4">
        <w:t xml:space="preserve">for </w:t>
      </w:r>
      <w:r w:rsidR="00CB1625" w:rsidRPr="005F62F4">
        <w:t>various</w:t>
      </w:r>
      <w:r w:rsidR="00BA2CCC" w:rsidRPr="005F62F4">
        <w:t xml:space="preserve"> procedure</w:t>
      </w:r>
      <w:r w:rsidR="00CB1625" w:rsidRPr="005F62F4">
        <w:t>s</w:t>
      </w:r>
      <w:r w:rsidR="0064644D" w:rsidRPr="005F62F4">
        <w:t xml:space="preserve">, and </w:t>
      </w:r>
      <w:r w:rsidR="00B22720" w:rsidRPr="005F62F4">
        <w:t xml:space="preserve">whether there should be a limit on the number of </w:t>
      </w:r>
      <w:r w:rsidR="002957A3" w:rsidRPr="005F62F4">
        <w:t>items</w:t>
      </w:r>
      <w:r w:rsidR="00B22720" w:rsidRPr="005F62F4">
        <w:t xml:space="preserve"> that could </w:t>
      </w:r>
      <w:r w:rsidR="00593797" w:rsidRPr="005F62F4">
        <w:t xml:space="preserve">be </w:t>
      </w:r>
      <w:r w:rsidR="00B22720" w:rsidRPr="005F62F4">
        <w:t>claimed through</w:t>
      </w:r>
      <w:r w:rsidR="00593797" w:rsidRPr="005F62F4">
        <w:t xml:space="preserve"> the PL mechanisms.</w:t>
      </w:r>
      <w:r w:rsidR="0071330D" w:rsidRPr="005F62F4">
        <w:t xml:space="preserve"> </w:t>
      </w:r>
      <w:r w:rsidR="00593797" w:rsidRPr="005F62F4">
        <w:t>We</w:t>
      </w:r>
      <w:r w:rsidR="0081469C" w:rsidRPr="005F62F4">
        <w:t xml:space="preserve"> </w:t>
      </w:r>
      <w:r w:rsidR="00DB7592" w:rsidRPr="005F62F4">
        <w:t xml:space="preserve">heard a wide range of </w:t>
      </w:r>
      <w:r w:rsidR="0081469C" w:rsidRPr="005F62F4">
        <w:t>responses</w:t>
      </w:r>
      <w:r w:rsidR="00C54CE2" w:rsidRPr="005F62F4">
        <w:t xml:space="preserve"> – </w:t>
      </w:r>
      <w:r w:rsidR="0081469C" w:rsidRPr="005F62F4">
        <w:t xml:space="preserve">from </w:t>
      </w:r>
      <w:r w:rsidR="00266021" w:rsidRPr="005F62F4">
        <w:t>one</w:t>
      </w:r>
      <w:r w:rsidR="001B76AB" w:rsidRPr="005F62F4">
        <w:t xml:space="preserve"> </w:t>
      </w:r>
      <w:r w:rsidR="00F00C03" w:rsidRPr="005F62F4">
        <w:t xml:space="preserve">surgical guide and </w:t>
      </w:r>
      <w:r w:rsidR="00966C2F" w:rsidRPr="005F62F4">
        <w:t xml:space="preserve">one </w:t>
      </w:r>
      <w:proofErr w:type="spellStart"/>
      <w:r w:rsidR="00F00C03" w:rsidRPr="005F62F4">
        <w:t>biomodel</w:t>
      </w:r>
      <w:proofErr w:type="spellEnd"/>
      <w:r w:rsidR="00F00C03" w:rsidRPr="005F62F4">
        <w:t xml:space="preserve"> </w:t>
      </w:r>
      <w:r w:rsidR="00D20E57" w:rsidRPr="005F62F4">
        <w:t>per plate</w:t>
      </w:r>
      <w:r w:rsidR="00F520E7" w:rsidRPr="005F62F4">
        <w:t xml:space="preserve"> up</w:t>
      </w:r>
      <w:r w:rsidR="00D20E57" w:rsidRPr="005F62F4">
        <w:t xml:space="preserve"> </w:t>
      </w:r>
      <w:r w:rsidR="001B76AB" w:rsidRPr="005F62F4">
        <w:t>to</w:t>
      </w:r>
      <w:r w:rsidR="00C55107" w:rsidRPr="005F62F4">
        <w:t xml:space="preserve"> 10</w:t>
      </w:r>
      <w:r w:rsidR="004218BB" w:rsidRPr="005F62F4">
        <w:t> </w:t>
      </w:r>
      <w:r w:rsidR="00C41AFD" w:rsidRPr="005F62F4">
        <w:t>per procedure</w:t>
      </w:r>
      <w:r w:rsidR="00F520E7" w:rsidRPr="005F62F4">
        <w:t>.</w:t>
      </w:r>
    </w:p>
    <w:p w14:paraId="73AA5EB9" w14:textId="25DBE45D" w:rsidR="008C627D" w:rsidRPr="005F62F4" w:rsidRDefault="00E8171E" w:rsidP="005F367D">
      <w:pPr>
        <w:pStyle w:val="Para"/>
      </w:pPr>
      <w:r w:rsidRPr="005F62F4">
        <w:t>S</w:t>
      </w:r>
      <w:r w:rsidR="006D4B55" w:rsidRPr="005F62F4">
        <w:t>ome s</w:t>
      </w:r>
      <w:r w:rsidRPr="005F62F4">
        <w:t>urgeons</w:t>
      </w:r>
      <w:r w:rsidR="00330CD3" w:rsidRPr="005F62F4">
        <w:t xml:space="preserve"> suggested that</w:t>
      </w:r>
      <w:r w:rsidR="005A6D96" w:rsidRPr="005F62F4">
        <w:t>,</w:t>
      </w:r>
      <w:r w:rsidR="00330CD3" w:rsidRPr="005F62F4">
        <w:t xml:space="preserve"> in most circumstances, a maximum of 2</w:t>
      </w:r>
      <w:r w:rsidR="00777841" w:rsidRPr="005F62F4">
        <w:t> </w:t>
      </w:r>
      <w:r w:rsidR="00336592" w:rsidRPr="005F62F4">
        <w:t xml:space="preserve">or </w:t>
      </w:r>
      <w:r w:rsidR="00593554" w:rsidRPr="005F62F4">
        <w:t>3</w:t>
      </w:r>
      <w:r w:rsidR="005A6D96" w:rsidRPr="005F62F4">
        <w:t> </w:t>
      </w:r>
      <w:r w:rsidR="00330CD3" w:rsidRPr="005F62F4">
        <w:t>surgical guides and 2</w:t>
      </w:r>
      <w:r w:rsidR="00777841" w:rsidRPr="005F62F4">
        <w:t> </w:t>
      </w:r>
      <w:r w:rsidR="00336592" w:rsidRPr="005F62F4">
        <w:t xml:space="preserve">or </w:t>
      </w:r>
      <w:r w:rsidR="00593554" w:rsidRPr="005F62F4">
        <w:t>3</w:t>
      </w:r>
      <w:r w:rsidR="00E94D56" w:rsidRPr="005F62F4">
        <w:t> </w:t>
      </w:r>
      <w:proofErr w:type="spellStart"/>
      <w:r w:rsidR="00330CD3" w:rsidRPr="005F62F4">
        <w:t>biomodels</w:t>
      </w:r>
      <w:proofErr w:type="spellEnd"/>
      <w:r w:rsidR="00330CD3" w:rsidRPr="005F62F4">
        <w:t xml:space="preserve"> would be required for a complex CMF procedure</w:t>
      </w:r>
      <w:r w:rsidR="005A6D96" w:rsidRPr="005F62F4">
        <w:t>;</w:t>
      </w:r>
      <w:r w:rsidR="00330CD3" w:rsidRPr="005F62F4">
        <w:t xml:space="preserve"> additional products </w:t>
      </w:r>
      <w:r w:rsidR="005A6D96" w:rsidRPr="005F62F4">
        <w:t xml:space="preserve">were unlikely to </w:t>
      </w:r>
      <w:r w:rsidR="00330CD3" w:rsidRPr="005F62F4">
        <w:t>confer any additional benefit</w:t>
      </w:r>
      <w:r w:rsidR="00016292" w:rsidRPr="005F62F4">
        <w:t xml:space="preserve"> </w:t>
      </w:r>
      <w:r w:rsidR="00EA5313" w:rsidRPr="005F62F4">
        <w:t xml:space="preserve">and </w:t>
      </w:r>
      <w:r w:rsidR="00016292" w:rsidRPr="005F62F4">
        <w:t>would</w:t>
      </w:r>
      <w:r w:rsidR="002665E4" w:rsidRPr="005F62F4">
        <w:t xml:space="preserve"> only</w:t>
      </w:r>
      <w:r w:rsidR="00330CD3" w:rsidRPr="005F62F4">
        <w:t xml:space="preserve"> add to the overall cost of the procedure.</w:t>
      </w:r>
      <w:r w:rsidR="006D4B55" w:rsidRPr="005F62F4">
        <w:t xml:space="preserve"> </w:t>
      </w:r>
      <w:r w:rsidR="00F3487B" w:rsidRPr="005F62F4">
        <w:t>O</w:t>
      </w:r>
      <w:r w:rsidR="00536661" w:rsidRPr="005F62F4">
        <w:t xml:space="preserve">thers said </w:t>
      </w:r>
      <w:r w:rsidR="009C7126" w:rsidRPr="005F62F4">
        <w:t>that</w:t>
      </w:r>
      <w:r w:rsidR="00536661" w:rsidRPr="005F62F4">
        <w:t xml:space="preserve"> </w:t>
      </w:r>
      <w:r w:rsidR="00724825" w:rsidRPr="005F62F4">
        <w:t xml:space="preserve">the </w:t>
      </w:r>
      <w:r w:rsidR="00D74BCA" w:rsidRPr="005F62F4">
        <w:t xml:space="preserve">appropriate </w:t>
      </w:r>
      <w:r w:rsidR="00724825" w:rsidRPr="005F62F4">
        <w:t xml:space="preserve">number of surgical guides and </w:t>
      </w:r>
      <w:proofErr w:type="spellStart"/>
      <w:r w:rsidR="00724825" w:rsidRPr="005F62F4">
        <w:t>biomodels</w:t>
      </w:r>
      <w:proofErr w:type="spellEnd"/>
      <w:r w:rsidR="00724825" w:rsidRPr="005F62F4">
        <w:t xml:space="preserve"> used </w:t>
      </w:r>
      <w:r w:rsidR="00536661" w:rsidRPr="005F62F4">
        <w:t xml:space="preserve">is dependent on the individual circumstances of </w:t>
      </w:r>
      <w:r w:rsidR="00786D53" w:rsidRPr="005F62F4">
        <w:t>the</w:t>
      </w:r>
      <w:r w:rsidR="00536661" w:rsidRPr="005F62F4">
        <w:t xml:space="preserve"> given procedure</w:t>
      </w:r>
      <w:r w:rsidR="00231818" w:rsidRPr="005F62F4">
        <w:t>,</w:t>
      </w:r>
      <w:r w:rsidR="00536661" w:rsidRPr="005F62F4">
        <w:t xml:space="preserve"> patient</w:t>
      </w:r>
      <w:r w:rsidR="00441AA5" w:rsidRPr="005F62F4">
        <w:t xml:space="preserve"> and the surgical plan</w:t>
      </w:r>
      <w:r w:rsidR="00864208" w:rsidRPr="005F62F4">
        <w:t>.</w:t>
      </w:r>
    </w:p>
    <w:p w14:paraId="77806B06" w14:textId="6B0F97EF" w:rsidR="007E69F1" w:rsidRPr="005F62F4" w:rsidRDefault="00DB0D69" w:rsidP="005F367D">
      <w:pPr>
        <w:pStyle w:val="Para"/>
      </w:pPr>
      <w:r w:rsidRPr="005F62F4">
        <w:t>Some</w:t>
      </w:r>
      <w:r w:rsidR="0015040C" w:rsidRPr="005F62F4">
        <w:t xml:space="preserve"> </w:t>
      </w:r>
      <w:r w:rsidR="00F055D7" w:rsidRPr="005F62F4">
        <w:t>surgeons</w:t>
      </w:r>
      <w:r w:rsidR="00F055D7" w:rsidRPr="005F62F4" w:rsidDel="004F3FD3">
        <w:t xml:space="preserve"> </w:t>
      </w:r>
      <w:r w:rsidR="00F055D7" w:rsidRPr="005F62F4">
        <w:t xml:space="preserve">suggested that </w:t>
      </w:r>
      <w:r w:rsidR="00A95C83" w:rsidRPr="005F62F4">
        <w:t xml:space="preserve">further </w:t>
      </w:r>
      <w:r w:rsidR="009A0AAE" w:rsidRPr="005F62F4">
        <w:t xml:space="preserve">consultation </w:t>
      </w:r>
      <w:r w:rsidR="00A95C83" w:rsidRPr="005F62F4">
        <w:t>may be</w:t>
      </w:r>
      <w:r w:rsidR="00396153" w:rsidRPr="005F62F4">
        <w:t xml:space="preserve"> required to </w:t>
      </w:r>
      <w:r w:rsidR="00DD6844" w:rsidRPr="005F62F4">
        <w:t>identify</w:t>
      </w:r>
      <w:r w:rsidR="00396153" w:rsidRPr="005F62F4">
        <w:t xml:space="preserve"> the appropriate </w:t>
      </w:r>
      <w:r w:rsidR="009A0AAE" w:rsidRPr="005F62F4">
        <w:t>number</w:t>
      </w:r>
      <w:r w:rsidR="00D008B1" w:rsidRPr="005F62F4">
        <w:t>(s)</w:t>
      </w:r>
      <w:r w:rsidR="0048675D" w:rsidRPr="005F62F4">
        <w:t xml:space="preserve"> if limits </w:t>
      </w:r>
      <w:r w:rsidR="005F1EB3" w:rsidRPr="005F62F4">
        <w:t xml:space="preserve">to PL eligibility </w:t>
      </w:r>
      <w:r w:rsidR="0048675D" w:rsidRPr="005F62F4">
        <w:t>were to be considered</w:t>
      </w:r>
      <w:r w:rsidR="00EC6E47" w:rsidRPr="005F62F4">
        <w:t>.</w:t>
      </w:r>
      <w:r w:rsidR="00026D09" w:rsidRPr="005F62F4">
        <w:t xml:space="preserve"> They also highlighted the need for</w:t>
      </w:r>
      <w:r w:rsidR="001854D3" w:rsidRPr="005F62F4">
        <w:t xml:space="preserve"> a</w:t>
      </w:r>
      <w:r w:rsidR="00FC73F4" w:rsidRPr="005F62F4">
        <w:t>n</w:t>
      </w:r>
      <w:r w:rsidR="00887FF6" w:rsidRPr="005F62F4">
        <w:t xml:space="preserve"> exception</w:t>
      </w:r>
      <w:r w:rsidR="001854D3" w:rsidRPr="005F62F4">
        <w:t xml:space="preserve"> process to enable </w:t>
      </w:r>
      <w:r w:rsidR="005B43C2" w:rsidRPr="005F62F4">
        <w:t xml:space="preserve">claims </w:t>
      </w:r>
      <w:r w:rsidR="00B6038D" w:rsidRPr="005F62F4">
        <w:t>for items above</w:t>
      </w:r>
      <w:r w:rsidR="005B43C2" w:rsidRPr="005F62F4">
        <w:t xml:space="preserve"> </w:t>
      </w:r>
      <w:r w:rsidR="001D5602" w:rsidRPr="005F62F4">
        <w:t xml:space="preserve">the </w:t>
      </w:r>
      <w:r w:rsidR="005B43C2" w:rsidRPr="005F62F4">
        <w:t>limit</w:t>
      </w:r>
      <w:r w:rsidR="005C6E7A" w:rsidRPr="005F62F4">
        <w:t xml:space="preserve"> </w:t>
      </w:r>
      <w:r w:rsidR="00EE291E" w:rsidRPr="005F62F4">
        <w:t>in</w:t>
      </w:r>
      <w:r w:rsidR="005C6E7A" w:rsidRPr="005F62F4">
        <w:t xml:space="preserve"> appropriate clinical circumstances</w:t>
      </w:r>
      <w:r w:rsidR="000B45CA" w:rsidRPr="005F62F4">
        <w:t xml:space="preserve"> (see Section </w:t>
      </w:r>
      <w:r w:rsidR="000B45CA" w:rsidRPr="005F62F4">
        <w:fldChar w:fldCharType="begin"/>
      </w:r>
      <w:r w:rsidR="000B45CA" w:rsidRPr="005F62F4">
        <w:instrText xml:space="preserve"> REF _Ref128758077 \n \h </w:instrText>
      </w:r>
      <w:r w:rsidR="005F62F4">
        <w:instrText xml:space="preserve"> \* MERGEFORMAT </w:instrText>
      </w:r>
      <w:r w:rsidR="000B45CA" w:rsidRPr="005F62F4">
        <w:fldChar w:fldCharType="separate"/>
      </w:r>
      <w:r w:rsidR="005606BF">
        <w:t>4.2</w:t>
      </w:r>
      <w:r w:rsidR="000B45CA" w:rsidRPr="005F62F4">
        <w:fldChar w:fldCharType="end"/>
      </w:r>
      <w:r w:rsidR="000B45CA" w:rsidRPr="005F62F4">
        <w:t xml:space="preserve"> for further discussion)</w:t>
      </w:r>
      <w:r w:rsidR="00396153" w:rsidRPr="005F62F4">
        <w:t>.</w:t>
      </w:r>
    </w:p>
    <w:p w14:paraId="1BCCCF0E" w14:textId="77777777" w:rsidR="009669E0" w:rsidRPr="005F62F4" w:rsidRDefault="009669E0" w:rsidP="004F2931">
      <w:pPr>
        <w:pStyle w:val="Heading4"/>
      </w:pPr>
      <w:r w:rsidRPr="005F62F4">
        <w:t>Increase in claims not related to prostheses</w:t>
      </w:r>
    </w:p>
    <w:p w14:paraId="57BDA90A" w14:textId="71BCC600" w:rsidR="00330CD3" w:rsidRPr="005F62F4" w:rsidRDefault="002A1B66" w:rsidP="005F367D">
      <w:pPr>
        <w:pStyle w:val="Para"/>
      </w:pPr>
      <w:r w:rsidRPr="005F62F4">
        <w:t>Stakeholders reported an increase in</w:t>
      </w:r>
      <w:r w:rsidR="004A21DE" w:rsidRPr="005F62F4">
        <w:t xml:space="preserve"> </w:t>
      </w:r>
      <w:r w:rsidR="006B01DE" w:rsidRPr="005F62F4">
        <w:t>c</w:t>
      </w:r>
      <w:r w:rsidR="00330CD3" w:rsidRPr="005F62F4">
        <w:t>laim</w:t>
      </w:r>
      <w:r w:rsidR="00F02AA5" w:rsidRPr="005F62F4">
        <w:t>s</w:t>
      </w:r>
      <w:r w:rsidR="00330CD3" w:rsidRPr="005F62F4">
        <w:t xml:space="preserve"> for use</w:t>
      </w:r>
      <w:r w:rsidR="00CA2974" w:rsidRPr="005F62F4">
        <w:t>s</w:t>
      </w:r>
      <w:r w:rsidR="00330CD3" w:rsidRPr="005F62F4">
        <w:t xml:space="preserve"> of surgical guides and </w:t>
      </w:r>
      <w:proofErr w:type="spellStart"/>
      <w:r w:rsidR="00330CD3" w:rsidRPr="005F62F4">
        <w:t>biomodels</w:t>
      </w:r>
      <w:proofErr w:type="spellEnd"/>
      <w:r w:rsidR="00330CD3" w:rsidRPr="005F62F4">
        <w:t xml:space="preserve"> that are clearly inconsistent with PL criteria (e.g. for surgeries that did not involve implant of a prosthesis); see </w:t>
      </w:r>
      <w:r w:rsidR="00330CD3" w:rsidRPr="005F62F4">
        <w:fldChar w:fldCharType="begin"/>
      </w:r>
      <w:r w:rsidR="00330CD3" w:rsidRPr="005F62F4">
        <w:instrText xml:space="preserve"> REF _Ref119344810 \r \h </w:instrText>
      </w:r>
      <w:r w:rsidR="005F367D" w:rsidRPr="005F62F4">
        <w:instrText xml:space="preserve"> \* MERGEFORMAT </w:instrText>
      </w:r>
      <w:r w:rsidR="00330CD3" w:rsidRPr="005F62F4">
        <w:fldChar w:fldCharType="separate"/>
      </w:r>
      <w:r w:rsidR="005606BF">
        <w:t>Section 4</w:t>
      </w:r>
      <w:r w:rsidR="00330CD3" w:rsidRPr="005F62F4">
        <w:fldChar w:fldCharType="end"/>
      </w:r>
      <w:r w:rsidR="00FD4883" w:rsidRPr="005F62F4">
        <w:t xml:space="preserve"> </w:t>
      </w:r>
      <w:r w:rsidR="00330CD3" w:rsidRPr="005F62F4">
        <w:t>for detailed analysis of product eligibility in relation to the PL criteria.</w:t>
      </w:r>
    </w:p>
    <w:p w14:paraId="51012FE7" w14:textId="77777777" w:rsidR="001B06AB" w:rsidRPr="005F62F4" w:rsidRDefault="001B06AB" w:rsidP="00FF1BA0">
      <w:r w:rsidRPr="005F62F4">
        <w:br w:type="page"/>
      </w:r>
    </w:p>
    <w:p w14:paraId="2B78A0E7" w14:textId="51FD8A02" w:rsidR="00C51381" w:rsidRPr="005F62F4" w:rsidRDefault="009357F3" w:rsidP="004F2931">
      <w:pPr>
        <w:pStyle w:val="Heading3"/>
      </w:pPr>
      <w:bookmarkStart w:id="90" w:name="_Toc120178308"/>
      <w:bookmarkStart w:id="91" w:name="_Ref128060389"/>
      <w:r w:rsidRPr="005F62F4">
        <w:lastRenderedPageBreak/>
        <w:t>Scope</w:t>
      </w:r>
      <w:r w:rsidR="00C51381" w:rsidRPr="005F62F4">
        <w:t xml:space="preserve"> of </w:t>
      </w:r>
      <w:r w:rsidRPr="005F62F4">
        <w:t>use of</w:t>
      </w:r>
      <w:r w:rsidR="00C51381" w:rsidRPr="005F62F4">
        <w:t xml:space="preserve"> surgical guides and </w:t>
      </w:r>
      <w:proofErr w:type="spellStart"/>
      <w:r w:rsidR="00C51381" w:rsidRPr="005F62F4">
        <w:t>biomodels</w:t>
      </w:r>
      <w:bookmarkEnd w:id="90"/>
      <w:bookmarkEnd w:id="91"/>
      <w:proofErr w:type="spellEnd"/>
    </w:p>
    <w:p w14:paraId="47FEA614" w14:textId="7FD47A1B" w:rsidR="00A03DBE" w:rsidRPr="005F62F4" w:rsidRDefault="00132651" w:rsidP="000145E7">
      <w:pPr>
        <w:pStyle w:val="Para"/>
      </w:pPr>
      <w:r w:rsidRPr="005F62F4">
        <w:t xml:space="preserve">Historically, surgical guides and </w:t>
      </w:r>
      <w:proofErr w:type="spellStart"/>
      <w:r w:rsidRPr="005F62F4">
        <w:t>biomodels</w:t>
      </w:r>
      <w:proofErr w:type="spellEnd"/>
      <w:r w:rsidRPr="005F62F4">
        <w:t xml:space="preserve"> were primarily used for complex CMF procedures</w:t>
      </w:r>
      <w:r w:rsidR="005204A4" w:rsidRPr="005F62F4">
        <w:t>.</w:t>
      </w:r>
      <w:r w:rsidR="00564267" w:rsidRPr="005F62F4">
        <w:t xml:space="preserve"> </w:t>
      </w:r>
      <w:r w:rsidR="005204A4" w:rsidRPr="005F62F4">
        <w:t>O</w:t>
      </w:r>
      <w:r w:rsidR="00564267" w:rsidRPr="005F62F4">
        <w:t>ver time, their use has exp</w:t>
      </w:r>
      <w:r w:rsidR="008203EA" w:rsidRPr="005F62F4">
        <w:t>a</w:t>
      </w:r>
      <w:r w:rsidR="00564267" w:rsidRPr="005F62F4">
        <w:t xml:space="preserve">nded to </w:t>
      </w:r>
      <w:r w:rsidR="00DC02DD" w:rsidRPr="005F62F4">
        <w:t xml:space="preserve">a </w:t>
      </w:r>
      <w:r w:rsidR="008203EA" w:rsidRPr="005F62F4">
        <w:t>broad range of</w:t>
      </w:r>
      <w:r w:rsidR="004F0E6B" w:rsidRPr="005F62F4">
        <w:t xml:space="preserve"> procedures, </w:t>
      </w:r>
      <w:r w:rsidR="006E5460" w:rsidRPr="005F62F4">
        <w:t>including orthopaedic and dental surgery</w:t>
      </w:r>
      <w:r w:rsidR="00EC44B1" w:rsidRPr="005F62F4">
        <w:t>.</w:t>
      </w:r>
      <w:r w:rsidR="0007441B" w:rsidRPr="005F62F4">
        <w:t xml:space="preserve"> </w:t>
      </w:r>
      <w:r w:rsidR="00510BA8" w:rsidRPr="005F62F4">
        <w:fldChar w:fldCharType="begin"/>
      </w:r>
      <w:r w:rsidR="00510BA8" w:rsidRPr="005F62F4">
        <w:instrText xml:space="preserve"> REF _Ref119910990 \h  \* MERGEFORMAT </w:instrText>
      </w:r>
      <w:r w:rsidR="00510BA8" w:rsidRPr="005F62F4">
        <w:fldChar w:fldCharType="separate"/>
      </w:r>
      <w:r w:rsidR="005606BF" w:rsidRPr="005F62F4">
        <w:t>Table </w:t>
      </w:r>
      <w:r w:rsidR="005606BF">
        <w:t>2</w:t>
      </w:r>
      <w:r w:rsidR="00510BA8" w:rsidRPr="005F62F4">
        <w:fldChar w:fldCharType="end"/>
      </w:r>
      <w:r w:rsidR="0007441B" w:rsidRPr="005F62F4">
        <w:t xml:space="preserve"> </w:t>
      </w:r>
      <w:r w:rsidR="0064052A" w:rsidRPr="005F62F4">
        <w:t xml:space="preserve">lists </w:t>
      </w:r>
      <w:r w:rsidR="0007441B" w:rsidRPr="005F62F4">
        <w:t xml:space="preserve">examples of procedures where surgical guides and </w:t>
      </w:r>
      <w:proofErr w:type="spellStart"/>
      <w:r w:rsidR="0007441B" w:rsidRPr="005F62F4">
        <w:t>biomodels</w:t>
      </w:r>
      <w:proofErr w:type="spellEnd"/>
      <w:r w:rsidR="0007441B" w:rsidRPr="005F62F4">
        <w:t xml:space="preserve"> are typically used</w:t>
      </w:r>
      <w:r w:rsidR="00D9148D" w:rsidRPr="005F62F4">
        <w:t>.</w:t>
      </w:r>
    </w:p>
    <w:p w14:paraId="690811E3" w14:textId="6D40F981" w:rsidR="00C51381" w:rsidRPr="005F62F4" w:rsidRDefault="00450105" w:rsidP="000145E7">
      <w:pPr>
        <w:pStyle w:val="Para"/>
      </w:pPr>
      <w:r w:rsidRPr="005F62F4">
        <w:t xml:space="preserve">Despite the increased use of surgical guides and </w:t>
      </w:r>
      <w:proofErr w:type="spellStart"/>
      <w:r w:rsidRPr="005F62F4">
        <w:t>biomodels</w:t>
      </w:r>
      <w:proofErr w:type="spellEnd"/>
      <w:r w:rsidRPr="005F62F4">
        <w:t>, we did not identify any clinical practice guidelines for their use.</w:t>
      </w:r>
      <w:r w:rsidRPr="005F62F4">
        <w:rPr>
          <w:rStyle w:val="FootnoteReference"/>
        </w:rPr>
        <w:footnoteReference w:id="12"/>
      </w:r>
    </w:p>
    <w:p w14:paraId="132E8E24" w14:textId="3EA5BC59" w:rsidR="006F798C" w:rsidRPr="005F62F4" w:rsidRDefault="00E56C05" w:rsidP="006F798C">
      <w:pPr>
        <w:pStyle w:val="Caption"/>
      </w:pPr>
      <w:bookmarkStart w:id="92" w:name="_Ref119910990"/>
      <w:bookmarkStart w:id="93" w:name="_Toc129954639"/>
      <w:r w:rsidRPr="005F62F4">
        <w:t>Table </w:t>
      </w:r>
      <w:r w:rsidRPr="005F62F4">
        <w:fldChar w:fldCharType="begin"/>
      </w:r>
      <w:r w:rsidRPr="005F62F4">
        <w:instrText>SEQ Table \* ARABIC</w:instrText>
      </w:r>
      <w:r w:rsidRPr="005F62F4">
        <w:fldChar w:fldCharType="separate"/>
      </w:r>
      <w:r w:rsidR="005606BF">
        <w:rPr>
          <w:noProof/>
        </w:rPr>
        <w:t>2</w:t>
      </w:r>
      <w:r w:rsidRPr="005F62F4">
        <w:fldChar w:fldCharType="end"/>
      </w:r>
      <w:bookmarkEnd w:id="92"/>
      <w:r w:rsidR="006F798C" w:rsidRPr="005F62F4">
        <w:t xml:space="preserve">: Typical procedures where surgical guides and </w:t>
      </w:r>
      <w:proofErr w:type="spellStart"/>
      <w:r w:rsidR="006F798C" w:rsidRPr="005F62F4">
        <w:t>biomodels</w:t>
      </w:r>
      <w:proofErr w:type="spellEnd"/>
      <w:r w:rsidR="006F798C" w:rsidRPr="005F62F4">
        <w:t xml:space="preserve"> are used</w:t>
      </w:r>
      <w:bookmarkEnd w:id="93"/>
    </w:p>
    <w:tbl>
      <w:tblPr>
        <w:tblStyle w:val="SGB"/>
        <w:tblW w:w="9498" w:type="dxa"/>
        <w:tblLook w:val="04A0" w:firstRow="1" w:lastRow="0" w:firstColumn="1" w:lastColumn="0" w:noHBand="0" w:noVBand="1"/>
      </w:tblPr>
      <w:tblGrid>
        <w:gridCol w:w="1843"/>
        <w:gridCol w:w="7655"/>
      </w:tblGrid>
      <w:tr w:rsidR="00CD17D7" w:rsidRPr="005F62F4" w14:paraId="73122AB6" w14:textId="77777777" w:rsidTr="005F3A0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7331ED2B" w14:textId="28BB45DF" w:rsidR="00CD17D7" w:rsidRPr="005F62F4" w:rsidRDefault="00CD17D7" w:rsidP="00CD17D7">
            <w:pPr>
              <w:pStyle w:val="Tabletextkeep"/>
              <w:rPr>
                <w:sz w:val="22"/>
                <w:szCs w:val="24"/>
              </w:rPr>
            </w:pPr>
            <w:bookmarkStart w:id="94" w:name="ColumnTitle_4"/>
            <w:r w:rsidRPr="005F62F4">
              <w:rPr>
                <w:sz w:val="22"/>
                <w:szCs w:val="24"/>
              </w:rPr>
              <w:t>Type of surgery</w:t>
            </w:r>
          </w:p>
        </w:tc>
        <w:tc>
          <w:tcPr>
            <w:tcW w:w="7655" w:type="dxa"/>
          </w:tcPr>
          <w:p w14:paraId="5D647CBC" w14:textId="6BA429F2" w:rsidR="00CD17D7" w:rsidRPr="005F62F4" w:rsidRDefault="00D441ED" w:rsidP="00CD17D7">
            <w:pPr>
              <w:pStyle w:val="Tabletextkeep"/>
              <w:cnfStyle w:val="100000000000" w:firstRow="1" w:lastRow="0" w:firstColumn="0" w:lastColumn="0" w:oddVBand="0" w:evenVBand="0" w:oddHBand="0" w:evenHBand="0" w:firstRowFirstColumn="0" w:firstRowLastColumn="0" w:lastRowFirstColumn="0" w:lastRowLastColumn="0"/>
              <w:rPr>
                <w:sz w:val="22"/>
                <w:szCs w:val="24"/>
              </w:rPr>
            </w:pPr>
            <w:r w:rsidRPr="005F62F4">
              <w:rPr>
                <w:sz w:val="22"/>
                <w:szCs w:val="24"/>
              </w:rPr>
              <w:t>Example p</w:t>
            </w:r>
            <w:r w:rsidR="00CD17D7" w:rsidRPr="005F62F4">
              <w:rPr>
                <w:sz w:val="22"/>
                <w:szCs w:val="24"/>
              </w:rPr>
              <w:t>rocedure</w:t>
            </w:r>
            <w:r w:rsidR="00850080" w:rsidRPr="005F62F4">
              <w:rPr>
                <w:sz w:val="22"/>
                <w:szCs w:val="24"/>
              </w:rPr>
              <w:t>s</w:t>
            </w:r>
          </w:p>
        </w:tc>
      </w:tr>
      <w:bookmarkEnd w:id="94"/>
      <w:tr w:rsidR="00CD17D7" w:rsidRPr="005F62F4" w14:paraId="04587089" w14:textId="77777777" w:rsidTr="005F3A0A">
        <w:tc>
          <w:tcPr>
            <w:cnfStyle w:val="001000000000" w:firstRow="0" w:lastRow="0" w:firstColumn="1" w:lastColumn="0" w:oddVBand="0" w:evenVBand="0" w:oddHBand="0" w:evenHBand="0" w:firstRowFirstColumn="0" w:firstRowLastColumn="0" w:lastRowFirstColumn="0" w:lastRowLastColumn="0"/>
            <w:tcW w:w="1843" w:type="dxa"/>
          </w:tcPr>
          <w:p w14:paraId="1AFD6FF8" w14:textId="318A0E1D" w:rsidR="00CD17D7" w:rsidRPr="005F62F4" w:rsidRDefault="00CD17D7" w:rsidP="00CD17D7">
            <w:pPr>
              <w:pStyle w:val="Tabletextkeep"/>
              <w:rPr>
                <w:sz w:val="22"/>
                <w:szCs w:val="24"/>
              </w:rPr>
            </w:pPr>
            <w:r w:rsidRPr="005F62F4">
              <w:rPr>
                <w:sz w:val="22"/>
                <w:szCs w:val="24"/>
              </w:rPr>
              <w:t xml:space="preserve">CMF </w:t>
            </w:r>
          </w:p>
        </w:tc>
        <w:tc>
          <w:tcPr>
            <w:tcW w:w="7655" w:type="dxa"/>
          </w:tcPr>
          <w:p w14:paraId="3580D3E7" w14:textId="2B15B160" w:rsidR="00CD17D7" w:rsidRPr="005F62F4" w:rsidRDefault="00CD17D7" w:rsidP="00CD17D7">
            <w:pPr>
              <w:pStyle w:val="TableBullet1"/>
              <w:cnfStyle w:val="000000000000" w:firstRow="0" w:lastRow="0" w:firstColumn="0" w:lastColumn="0" w:oddVBand="0" w:evenVBand="0" w:oddHBand="0" w:evenHBand="0" w:firstRowFirstColumn="0" w:firstRowLastColumn="0" w:lastRowFirstColumn="0" w:lastRowLastColumn="0"/>
              <w:rPr>
                <w:sz w:val="22"/>
                <w:szCs w:val="24"/>
              </w:rPr>
            </w:pPr>
            <w:r w:rsidRPr="005F62F4">
              <w:rPr>
                <w:sz w:val="22"/>
                <w:szCs w:val="24"/>
              </w:rPr>
              <w:t>Orthognathic (jaw) surgery, including TMJ surgery</w:t>
            </w:r>
          </w:p>
          <w:p w14:paraId="10106065" w14:textId="77777777" w:rsidR="00CD17D7" w:rsidRPr="005F62F4" w:rsidRDefault="00CD17D7" w:rsidP="00CD17D7">
            <w:pPr>
              <w:pStyle w:val="TableBullet1"/>
              <w:cnfStyle w:val="000000000000" w:firstRow="0" w:lastRow="0" w:firstColumn="0" w:lastColumn="0" w:oddVBand="0" w:evenVBand="0" w:oddHBand="0" w:evenHBand="0" w:firstRowFirstColumn="0" w:firstRowLastColumn="0" w:lastRowFirstColumn="0" w:lastRowLastColumn="0"/>
              <w:rPr>
                <w:sz w:val="22"/>
                <w:szCs w:val="24"/>
              </w:rPr>
            </w:pPr>
            <w:r w:rsidRPr="005F62F4">
              <w:rPr>
                <w:sz w:val="22"/>
                <w:szCs w:val="24"/>
              </w:rPr>
              <w:t>Facial trauma surgery</w:t>
            </w:r>
          </w:p>
          <w:p w14:paraId="5F4EC800" w14:textId="77777777" w:rsidR="00CD17D7" w:rsidRPr="005F62F4" w:rsidRDefault="00CD17D7" w:rsidP="00CD17D7">
            <w:pPr>
              <w:pStyle w:val="TableBullet1"/>
              <w:cnfStyle w:val="000000000000" w:firstRow="0" w:lastRow="0" w:firstColumn="0" w:lastColumn="0" w:oddVBand="0" w:evenVBand="0" w:oddHBand="0" w:evenHBand="0" w:firstRowFirstColumn="0" w:firstRowLastColumn="0" w:lastRowFirstColumn="0" w:lastRowLastColumn="0"/>
              <w:rPr>
                <w:sz w:val="22"/>
                <w:szCs w:val="24"/>
              </w:rPr>
            </w:pPr>
            <w:r w:rsidRPr="005F62F4">
              <w:rPr>
                <w:sz w:val="22"/>
                <w:szCs w:val="24"/>
              </w:rPr>
              <w:t>Cancer resection and reconstruction</w:t>
            </w:r>
          </w:p>
          <w:p w14:paraId="6C5B8283" w14:textId="0872F02B" w:rsidR="00CD17D7" w:rsidRPr="005F62F4" w:rsidRDefault="00CD17D7" w:rsidP="00CD17D7">
            <w:pPr>
              <w:pStyle w:val="TableBullet1"/>
              <w:cnfStyle w:val="000000000000" w:firstRow="0" w:lastRow="0" w:firstColumn="0" w:lastColumn="0" w:oddVBand="0" w:evenVBand="0" w:oddHBand="0" w:evenHBand="0" w:firstRowFirstColumn="0" w:firstRowLastColumn="0" w:lastRowFirstColumn="0" w:lastRowLastColumn="0"/>
              <w:rPr>
                <w:sz w:val="22"/>
                <w:szCs w:val="24"/>
              </w:rPr>
            </w:pPr>
            <w:r w:rsidRPr="005F62F4">
              <w:rPr>
                <w:sz w:val="22"/>
                <w:szCs w:val="24"/>
              </w:rPr>
              <w:t>Orbital surgery</w:t>
            </w:r>
          </w:p>
          <w:p w14:paraId="0DAAC59E" w14:textId="6DE43702" w:rsidR="00CD17D7" w:rsidRPr="005F62F4" w:rsidRDefault="0052641F" w:rsidP="00CD17D7">
            <w:pPr>
              <w:pStyle w:val="TableBullet1"/>
              <w:cnfStyle w:val="000000000000" w:firstRow="0" w:lastRow="0" w:firstColumn="0" w:lastColumn="0" w:oddVBand="0" w:evenVBand="0" w:oddHBand="0" w:evenHBand="0" w:firstRowFirstColumn="0" w:firstRowLastColumn="0" w:lastRowFirstColumn="0" w:lastRowLastColumn="0"/>
              <w:rPr>
                <w:sz w:val="22"/>
                <w:szCs w:val="24"/>
              </w:rPr>
            </w:pPr>
            <w:r w:rsidRPr="005F62F4">
              <w:rPr>
                <w:sz w:val="22"/>
                <w:szCs w:val="24"/>
              </w:rPr>
              <w:t>Procedures</w:t>
            </w:r>
            <w:r w:rsidR="00BF6854" w:rsidRPr="005F62F4">
              <w:rPr>
                <w:sz w:val="22"/>
                <w:szCs w:val="24"/>
              </w:rPr>
              <w:t xml:space="preserve"> for c</w:t>
            </w:r>
            <w:r w:rsidR="00CD17D7" w:rsidRPr="005F62F4">
              <w:rPr>
                <w:sz w:val="22"/>
                <w:szCs w:val="24"/>
              </w:rPr>
              <w:t>left and craniofacial deformities</w:t>
            </w:r>
            <w:r w:rsidR="009B2204" w:rsidRPr="005F62F4">
              <w:rPr>
                <w:sz w:val="22"/>
                <w:szCs w:val="24"/>
              </w:rPr>
              <w:t xml:space="preserve"> (</w:t>
            </w:r>
            <w:proofErr w:type="gramStart"/>
            <w:r w:rsidR="009B2204" w:rsidRPr="005F62F4">
              <w:rPr>
                <w:sz w:val="22"/>
                <w:szCs w:val="24"/>
              </w:rPr>
              <w:t>e.g.</w:t>
            </w:r>
            <w:proofErr w:type="gramEnd"/>
            <w:r w:rsidR="009B2204" w:rsidRPr="005F62F4">
              <w:rPr>
                <w:sz w:val="22"/>
                <w:szCs w:val="24"/>
              </w:rPr>
              <w:t xml:space="preserve"> </w:t>
            </w:r>
            <w:r w:rsidR="003C3CD7" w:rsidRPr="005F62F4">
              <w:rPr>
                <w:sz w:val="22"/>
                <w:szCs w:val="24"/>
              </w:rPr>
              <w:t>cranio</w:t>
            </w:r>
            <w:r w:rsidR="00955D69" w:rsidRPr="005F62F4">
              <w:rPr>
                <w:sz w:val="22"/>
                <w:szCs w:val="24"/>
              </w:rPr>
              <w:t>syno</w:t>
            </w:r>
            <w:r w:rsidR="00FF36AE" w:rsidRPr="005F62F4">
              <w:rPr>
                <w:sz w:val="22"/>
                <w:szCs w:val="24"/>
              </w:rPr>
              <w:t>stosis conditions)</w:t>
            </w:r>
          </w:p>
          <w:p w14:paraId="00C71475" w14:textId="5B9540FB" w:rsidR="00462CE4" w:rsidRPr="005F62F4" w:rsidRDefault="00462CE4" w:rsidP="00CD17D7">
            <w:pPr>
              <w:pStyle w:val="TableBullet1"/>
              <w:cnfStyle w:val="000000000000" w:firstRow="0" w:lastRow="0" w:firstColumn="0" w:lastColumn="0" w:oddVBand="0" w:evenVBand="0" w:oddHBand="0" w:evenHBand="0" w:firstRowFirstColumn="0" w:firstRowLastColumn="0" w:lastRowFirstColumn="0" w:lastRowLastColumn="0"/>
              <w:rPr>
                <w:sz w:val="22"/>
                <w:szCs w:val="24"/>
              </w:rPr>
            </w:pPr>
            <w:r w:rsidRPr="005F62F4">
              <w:rPr>
                <w:sz w:val="22"/>
                <w:szCs w:val="24"/>
              </w:rPr>
              <w:t>Cran</w:t>
            </w:r>
            <w:r w:rsidR="009263C8" w:rsidRPr="005F62F4">
              <w:rPr>
                <w:sz w:val="22"/>
                <w:szCs w:val="24"/>
              </w:rPr>
              <w:t>ial vault</w:t>
            </w:r>
            <w:r w:rsidR="00CC4C4E" w:rsidRPr="005F62F4">
              <w:rPr>
                <w:sz w:val="22"/>
                <w:szCs w:val="24"/>
              </w:rPr>
              <w:t xml:space="preserve"> reconst</w:t>
            </w:r>
            <w:r w:rsidR="00525E76" w:rsidRPr="005F62F4">
              <w:rPr>
                <w:sz w:val="22"/>
                <w:szCs w:val="24"/>
              </w:rPr>
              <w:t>ruction</w:t>
            </w:r>
            <w:r w:rsidR="00247248" w:rsidRPr="005F62F4">
              <w:rPr>
                <w:sz w:val="22"/>
                <w:szCs w:val="24"/>
              </w:rPr>
              <w:t xml:space="preserve"> and cranioplast</w:t>
            </w:r>
            <w:r w:rsidR="008F3BB1" w:rsidRPr="005F62F4">
              <w:rPr>
                <w:sz w:val="22"/>
                <w:szCs w:val="24"/>
              </w:rPr>
              <w:t>ies</w:t>
            </w:r>
          </w:p>
          <w:p w14:paraId="07BD4DA5" w14:textId="671F344C" w:rsidR="00CD17D7" w:rsidRPr="005F62F4" w:rsidRDefault="0052641F" w:rsidP="00CD17D7">
            <w:pPr>
              <w:pStyle w:val="TableBullet1"/>
              <w:cnfStyle w:val="000000000000" w:firstRow="0" w:lastRow="0" w:firstColumn="0" w:lastColumn="0" w:oddVBand="0" w:evenVBand="0" w:oddHBand="0" w:evenHBand="0" w:firstRowFirstColumn="0" w:firstRowLastColumn="0" w:lastRowFirstColumn="0" w:lastRowLastColumn="0"/>
              <w:rPr>
                <w:sz w:val="22"/>
                <w:szCs w:val="24"/>
              </w:rPr>
            </w:pPr>
            <w:r w:rsidRPr="005F62F4">
              <w:rPr>
                <w:sz w:val="22"/>
                <w:szCs w:val="24"/>
              </w:rPr>
              <w:t>Procedures</w:t>
            </w:r>
            <w:r w:rsidR="00BF6854" w:rsidRPr="005F62F4">
              <w:rPr>
                <w:sz w:val="22"/>
                <w:szCs w:val="24"/>
              </w:rPr>
              <w:t xml:space="preserve"> </w:t>
            </w:r>
            <w:r w:rsidR="00406146" w:rsidRPr="005F62F4">
              <w:rPr>
                <w:sz w:val="22"/>
                <w:szCs w:val="24"/>
              </w:rPr>
              <w:t>for r</w:t>
            </w:r>
            <w:r w:rsidR="00CD17D7" w:rsidRPr="005F62F4">
              <w:rPr>
                <w:sz w:val="22"/>
                <w:szCs w:val="24"/>
              </w:rPr>
              <w:t>are conditions (</w:t>
            </w:r>
            <w:proofErr w:type="gramStart"/>
            <w:r w:rsidR="00CD17D7" w:rsidRPr="005F62F4">
              <w:rPr>
                <w:sz w:val="22"/>
                <w:szCs w:val="24"/>
              </w:rPr>
              <w:t>e.g.</w:t>
            </w:r>
            <w:proofErr w:type="gramEnd"/>
            <w:r w:rsidR="00CD17D7" w:rsidRPr="005F62F4">
              <w:rPr>
                <w:sz w:val="22"/>
                <w:szCs w:val="24"/>
              </w:rPr>
              <w:t xml:space="preserve"> fibrous dysplasia,</w:t>
            </w:r>
            <w:r w:rsidR="00BC02AB" w:rsidRPr="005F62F4">
              <w:rPr>
                <w:sz w:val="22"/>
                <w:szCs w:val="24"/>
              </w:rPr>
              <w:t xml:space="preserve"> anodontia</w:t>
            </w:r>
            <w:r w:rsidR="00CD17D7" w:rsidRPr="005F62F4">
              <w:rPr>
                <w:sz w:val="22"/>
                <w:szCs w:val="24"/>
              </w:rPr>
              <w:t>)</w:t>
            </w:r>
          </w:p>
        </w:tc>
      </w:tr>
      <w:tr w:rsidR="00CD17D7" w:rsidRPr="005F62F4" w14:paraId="4D344D8C" w14:textId="77777777" w:rsidTr="005F3A0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47668BDE" w14:textId="7D27D70C" w:rsidR="00CD17D7" w:rsidRPr="005F62F4" w:rsidRDefault="00CD17D7" w:rsidP="00CD17D7">
            <w:pPr>
              <w:pStyle w:val="TableText"/>
              <w:rPr>
                <w:sz w:val="22"/>
                <w:szCs w:val="24"/>
              </w:rPr>
            </w:pPr>
            <w:r w:rsidRPr="005F62F4">
              <w:rPr>
                <w:sz w:val="22"/>
                <w:szCs w:val="24"/>
              </w:rPr>
              <w:t xml:space="preserve">Other </w:t>
            </w:r>
          </w:p>
        </w:tc>
        <w:tc>
          <w:tcPr>
            <w:tcW w:w="7655" w:type="dxa"/>
          </w:tcPr>
          <w:p w14:paraId="342FC27A" w14:textId="76BA7E15" w:rsidR="00CD17D7" w:rsidRPr="005F62F4" w:rsidRDefault="00CD17D7" w:rsidP="00CD17D7">
            <w:pPr>
              <w:pStyle w:val="TableBullet1"/>
              <w:cnfStyle w:val="000000010000" w:firstRow="0" w:lastRow="0" w:firstColumn="0" w:lastColumn="0" w:oddVBand="0" w:evenVBand="0" w:oddHBand="0" w:evenHBand="1" w:firstRowFirstColumn="0" w:firstRowLastColumn="0" w:lastRowFirstColumn="0" w:lastRowLastColumn="0"/>
              <w:rPr>
                <w:sz w:val="22"/>
                <w:szCs w:val="24"/>
              </w:rPr>
            </w:pPr>
            <w:r w:rsidRPr="005F62F4">
              <w:rPr>
                <w:sz w:val="22"/>
                <w:szCs w:val="24"/>
              </w:rPr>
              <w:t>Pre-prosthetic surgery (</w:t>
            </w:r>
            <w:proofErr w:type="gramStart"/>
            <w:r w:rsidRPr="005F62F4">
              <w:rPr>
                <w:sz w:val="22"/>
                <w:szCs w:val="24"/>
              </w:rPr>
              <w:t>e.g.</w:t>
            </w:r>
            <w:proofErr w:type="gramEnd"/>
            <w:r w:rsidRPr="005F62F4">
              <w:rPr>
                <w:sz w:val="22"/>
                <w:szCs w:val="24"/>
              </w:rPr>
              <w:t xml:space="preserve"> </w:t>
            </w:r>
            <w:r w:rsidR="007413F0" w:rsidRPr="005F62F4">
              <w:rPr>
                <w:sz w:val="22"/>
                <w:szCs w:val="24"/>
              </w:rPr>
              <w:t xml:space="preserve">alveolar ridge </w:t>
            </w:r>
            <w:r w:rsidRPr="005F62F4">
              <w:rPr>
                <w:sz w:val="22"/>
                <w:szCs w:val="24"/>
              </w:rPr>
              <w:t>augmentation)</w:t>
            </w:r>
          </w:p>
          <w:p w14:paraId="403E1063" w14:textId="22EBED0D" w:rsidR="007413F0" w:rsidRPr="005F62F4" w:rsidRDefault="007413F0" w:rsidP="00CD17D7">
            <w:pPr>
              <w:pStyle w:val="TableBullet1"/>
              <w:cnfStyle w:val="000000010000" w:firstRow="0" w:lastRow="0" w:firstColumn="0" w:lastColumn="0" w:oddVBand="0" w:evenVBand="0" w:oddHBand="0" w:evenHBand="1" w:firstRowFirstColumn="0" w:firstRowLastColumn="0" w:lastRowFirstColumn="0" w:lastRowLastColumn="0"/>
              <w:rPr>
                <w:sz w:val="22"/>
                <w:szCs w:val="24"/>
              </w:rPr>
            </w:pPr>
            <w:r w:rsidRPr="005F62F4">
              <w:rPr>
                <w:sz w:val="22"/>
                <w:szCs w:val="24"/>
              </w:rPr>
              <w:t>Dental implant surgery</w:t>
            </w:r>
          </w:p>
          <w:p w14:paraId="2744A1C8" w14:textId="77777777" w:rsidR="00CD17D7" w:rsidRPr="005F62F4" w:rsidRDefault="00CD17D7" w:rsidP="00CD17D7">
            <w:pPr>
              <w:pStyle w:val="TableBullet1"/>
              <w:cnfStyle w:val="000000010000" w:firstRow="0" w:lastRow="0" w:firstColumn="0" w:lastColumn="0" w:oddVBand="0" w:evenVBand="0" w:oddHBand="0" w:evenHBand="1" w:firstRowFirstColumn="0" w:firstRowLastColumn="0" w:lastRowFirstColumn="0" w:lastRowLastColumn="0"/>
              <w:rPr>
                <w:sz w:val="22"/>
                <w:szCs w:val="24"/>
              </w:rPr>
            </w:pPr>
            <w:r w:rsidRPr="005F62F4">
              <w:rPr>
                <w:sz w:val="22"/>
                <w:szCs w:val="24"/>
              </w:rPr>
              <w:t>Sleep apnoea surgery</w:t>
            </w:r>
          </w:p>
          <w:p w14:paraId="0EFF38DF" w14:textId="77777777" w:rsidR="00CD17D7" w:rsidRPr="005F62F4" w:rsidRDefault="00CD17D7" w:rsidP="00CD17D7">
            <w:pPr>
              <w:pStyle w:val="TableBullet1"/>
              <w:cnfStyle w:val="000000010000" w:firstRow="0" w:lastRow="0" w:firstColumn="0" w:lastColumn="0" w:oddVBand="0" w:evenVBand="0" w:oddHBand="0" w:evenHBand="1" w:firstRowFirstColumn="0" w:firstRowLastColumn="0" w:lastRowFirstColumn="0" w:lastRowLastColumn="0"/>
              <w:rPr>
                <w:sz w:val="22"/>
                <w:szCs w:val="24"/>
              </w:rPr>
            </w:pPr>
            <w:r w:rsidRPr="005F62F4">
              <w:rPr>
                <w:sz w:val="22"/>
                <w:szCs w:val="24"/>
              </w:rPr>
              <w:t>Orthopaedic surgery</w:t>
            </w:r>
          </w:p>
          <w:p w14:paraId="703573DD" w14:textId="77777777" w:rsidR="00CD17D7" w:rsidRPr="005F62F4" w:rsidRDefault="00CD17D7" w:rsidP="00CD17D7">
            <w:pPr>
              <w:pStyle w:val="TableBullet1"/>
              <w:cnfStyle w:val="000000010000" w:firstRow="0" w:lastRow="0" w:firstColumn="0" w:lastColumn="0" w:oddVBand="0" w:evenVBand="0" w:oddHBand="0" w:evenHBand="1" w:firstRowFirstColumn="0" w:firstRowLastColumn="0" w:lastRowFirstColumn="0" w:lastRowLastColumn="0"/>
              <w:rPr>
                <w:sz w:val="22"/>
                <w:szCs w:val="24"/>
              </w:rPr>
            </w:pPr>
            <w:r w:rsidRPr="005F62F4">
              <w:rPr>
                <w:sz w:val="22"/>
                <w:szCs w:val="24"/>
              </w:rPr>
              <w:t>Neurosurgery</w:t>
            </w:r>
          </w:p>
          <w:p w14:paraId="4410A26F" w14:textId="40EE9B52" w:rsidR="00CD17D7" w:rsidRPr="005F62F4" w:rsidRDefault="00CD17D7" w:rsidP="00CD17D7">
            <w:pPr>
              <w:pStyle w:val="TableBullet1"/>
              <w:cnfStyle w:val="000000010000" w:firstRow="0" w:lastRow="0" w:firstColumn="0" w:lastColumn="0" w:oddVBand="0" w:evenVBand="0" w:oddHBand="0" w:evenHBand="1" w:firstRowFirstColumn="0" w:firstRowLastColumn="0" w:lastRowFirstColumn="0" w:lastRowLastColumn="0"/>
              <w:rPr>
                <w:sz w:val="22"/>
                <w:szCs w:val="24"/>
              </w:rPr>
            </w:pPr>
            <w:r w:rsidRPr="005F62F4">
              <w:rPr>
                <w:sz w:val="22"/>
                <w:szCs w:val="24"/>
              </w:rPr>
              <w:t>Cardiovascular surgery</w:t>
            </w:r>
          </w:p>
        </w:tc>
      </w:tr>
    </w:tbl>
    <w:p w14:paraId="05A875EA" w14:textId="5A033D42" w:rsidR="00ED2F22" w:rsidRPr="005F62F4" w:rsidRDefault="00923802" w:rsidP="00ED2F22">
      <w:pPr>
        <w:pStyle w:val="Para"/>
      </w:pPr>
      <w:r w:rsidRPr="005F62F4">
        <w:t>S</w:t>
      </w:r>
      <w:r w:rsidR="00ED2F22" w:rsidRPr="005F62F4">
        <w:t xml:space="preserve">ome surgeons highlighted that, historically, they performed these surgeries without the use of surgical guides and </w:t>
      </w:r>
      <w:proofErr w:type="spellStart"/>
      <w:r w:rsidR="00ED2F22" w:rsidRPr="005F62F4">
        <w:t>biomodels</w:t>
      </w:r>
      <w:proofErr w:type="spellEnd"/>
      <w:r w:rsidR="00ED2F22" w:rsidRPr="005F62F4">
        <w:t xml:space="preserve">, and many continue to do so. In fact, we heard that that some surgeons do not use surgical guides or </w:t>
      </w:r>
      <w:proofErr w:type="spellStart"/>
      <w:r w:rsidR="00ED2F22" w:rsidRPr="005F62F4">
        <w:t>biomodels</w:t>
      </w:r>
      <w:proofErr w:type="spellEnd"/>
      <w:r w:rsidR="00ED2F22" w:rsidRPr="005F62F4">
        <w:t xml:space="preserve"> at all (these were mostly older, more experienced surgeons who are confident in their freehand surgical skills).</w:t>
      </w:r>
    </w:p>
    <w:p w14:paraId="32C14912" w14:textId="34BD4C3B" w:rsidR="003A188E" w:rsidRPr="005F62F4" w:rsidRDefault="00E17067" w:rsidP="003A188E">
      <w:pPr>
        <w:pStyle w:val="Para"/>
      </w:pPr>
      <w:r w:rsidRPr="005F62F4">
        <w:t>Most s</w:t>
      </w:r>
      <w:r w:rsidR="003A188E" w:rsidRPr="005F62F4">
        <w:t xml:space="preserve">urgeons </w:t>
      </w:r>
      <w:r w:rsidRPr="005F62F4">
        <w:t>we spoke to told us</w:t>
      </w:r>
      <w:r w:rsidR="003A188E" w:rsidRPr="005F62F4">
        <w:t xml:space="preserve"> that they consider a range of factors to determine whether and what surgical guides and </w:t>
      </w:r>
      <w:proofErr w:type="spellStart"/>
      <w:r w:rsidR="003A188E" w:rsidRPr="005F62F4">
        <w:t>biomodels</w:t>
      </w:r>
      <w:proofErr w:type="spellEnd"/>
      <w:r w:rsidR="003A188E" w:rsidRPr="005F62F4">
        <w:t xml:space="preserve"> are required for a given surgical procedure. These include the type and complexity of the surgery; the surgeon’s preferences and </w:t>
      </w:r>
      <w:r w:rsidR="00BE1620" w:rsidRPr="005F62F4">
        <w:t>skills</w:t>
      </w:r>
      <w:r w:rsidR="003A188E" w:rsidRPr="005F62F4">
        <w:t xml:space="preserve">; the patient’s treatment plan, including whether there is sufficient time to manufacture surgical guides and </w:t>
      </w:r>
      <w:proofErr w:type="spellStart"/>
      <w:r w:rsidR="003A188E" w:rsidRPr="005F62F4">
        <w:t>biomodels</w:t>
      </w:r>
      <w:proofErr w:type="spellEnd"/>
      <w:r w:rsidR="003A188E" w:rsidRPr="005F62F4">
        <w:t xml:space="preserve">; and, for some, the </w:t>
      </w:r>
      <w:r w:rsidR="00DA24F2" w:rsidRPr="005F62F4">
        <w:t xml:space="preserve">relative </w:t>
      </w:r>
      <w:r w:rsidR="003A188E" w:rsidRPr="005F62F4">
        <w:t>cost</w:t>
      </w:r>
      <w:r w:rsidR="00BE52F0" w:rsidRPr="005F62F4">
        <w:t>s and benefits</w:t>
      </w:r>
      <w:r w:rsidR="003A188E" w:rsidRPr="005F62F4">
        <w:t xml:space="preserve"> of </w:t>
      </w:r>
      <w:r w:rsidR="00DA24F2" w:rsidRPr="005F62F4">
        <w:t xml:space="preserve">guided </w:t>
      </w:r>
      <w:r w:rsidR="00A86D02" w:rsidRPr="005F62F4">
        <w:t>and freehand</w:t>
      </w:r>
      <w:r w:rsidR="00BE1620" w:rsidRPr="005F62F4">
        <w:t xml:space="preserve"> </w:t>
      </w:r>
      <w:r w:rsidR="00A86D02" w:rsidRPr="005F62F4">
        <w:t>surgeries</w:t>
      </w:r>
      <w:r w:rsidR="003A188E" w:rsidRPr="005F62F4">
        <w:t>.</w:t>
      </w:r>
    </w:p>
    <w:p w14:paraId="1BFA9F9A" w14:textId="571E98D1" w:rsidR="00B07106" w:rsidRPr="005F62F4" w:rsidRDefault="00B07106" w:rsidP="005B6D45">
      <w:pPr>
        <w:pStyle w:val="ParaKeep"/>
        <w:ind w:right="227"/>
      </w:pPr>
      <w:r w:rsidRPr="005F62F4">
        <w:lastRenderedPageBreak/>
        <w:t xml:space="preserve">While </w:t>
      </w:r>
      <w:r w:rsidR="003704C6" w:rsidRPr="005F62F4">
        <w:t>surgeons</w:t>
      </w:r>
      <w:r w:rsidR="00EA0EDB" w:rsidRPr="005F62F4">
        <w:t xml:space="preserve"> and peak bodies</w:t>
      </w:r>
      <w:r w:rsidRPr="005F62F4">
        <w:t xml:space="preserve"> saw benefits in using surgical guides and </w:t>
      </w:r>
      <w:proofErr w:type="spellStart"/>
      <w:r w:rsidRPr="005F62F4">
        <w:t>biomodels</w:t>
      </w:r>
      <w:proofErr w:type="spellEnd"/>
      <w:r w:rsidRPr="005F62F4">
        <w:t xml:space="preserve"> in complex surger</w:t>
      </w:r>
      <w:r w:rsidR="001C29B1" w:rsidRPr="005F62F4">
        <w:t>ies</w:t>
      </w:r>
      <w:r w:rsidRPr="005F62F4">
        <w:t xml:space="preserve">, most held the view that </w:t>
      </w:r>
      <w:r w:rsidR="004A4226" w:rsidRPr="005F62F4">
        <w:t>they</w:t>
      </w:r>
      <w:r w:rsidRPr="005F62F4">
        <w:t xml:space="preserve"> were not needed for </w:t>
      </w:r>
      <w:r w:rsidR="00632DF3" w:rsidRPr="005F62F4">
        <w:t>‘</w:t>
      </w:r>
      <w:r w:rsidR="00442938" w:rsidRPr="005F62F4">
        <w:t>s</w:t>
      </w:r>
      <w:r w:rsidR="00632DF3" w:rsidRPr="005F62F4">
        <w:t xml:space="preserve">impler’ </w:t>
      </w:r>
      <w:r w:rsidR="005C5FAE" w:rsidRPr="005F62F4">
        <w:t>procedures</w:t>
      </w:r>
      <w:r w:rsidR="00632DF3" w:rsidRPr="005F62F4">
        <w:t xml:space="preserve"> </w:t>
      </w:r>
      <w:r w:rsidRPr="005F62F4">
        <w:t>such as:</w:t>
      </w:r>
    </w:p>
    <w:p w14:paraId="78C997C1" w14:textId="77777777" w:rsidR="00764B3C" w:rsidRPr="005F62F4" w:rsidRDefault="00A503EB" w:rsidP="00C36AFC">
      <w:pPr>
        <w:pStyle w:val="Bullet1Keep"/>
      </w:pPr>
      <w:r w:rsidRPr="005F62F4">
        <w:t>s</w:t>
      </w:r>
      <w:r w:rsidR="00764B3C" w:rsidRPr="005F62F4">
        <w:t xml:space="preserve">imple </w:t>
      </w:r>
      <w:r w:rsidR="00BF7674" w:rsidRPr="005F62F4">
        <w:t xml:space="preserve">dental implant surgery or </w:t>
      </w:r>
      <w:r w:rsidR="00764B3C" w:rsidRPr="005F62F4">
        <w:t>minor oral surgery</w:t>
      </w:r>
    </w:p>
    <w:p w14:paraId="68CFCBE2" w14:textId="53C2C5A1" w:rsidR="00764B3C" w:rsidRPr="005F62F4" w:rsidRDefault="00A503EB" w:rsidP="00E70C98">
      <w:pPr>
        <w:pStyle w:val="Bullet1"/>
      </w:pPr>
      <w:r w:rsidRPr="005F62F4">
        <w:t>a</w:t>
      </w:r>
      <w:r w:rsidR="00764B3C" w:rsidRPr="005F62F4">
        <w:t>lveolar ridge augmentation</w:t>
      </w:r>
    </w:p>
    <w:p w14:paraId="06CD9836" w14:textId="1219A382" w:rsidR="00764B3C" w:rsidRPr="005F62F4" w:rsidRDefault="00356037" w:rsidP="00E70C98">
      <w:pPr>
        <w:pStyle w:val="Bullet1"/>
      </w:pPr>
      <w:r w:rsidRPr="005F62F4">
        <w:t xml:space="preserve">simple </w:t>
      </w:r>
      <w:r w:rsidR="00A503EB" w:rsidRPr="005F62F4">
        <w:t>s</w:t>
      </w:r>
      <w:r w:rsidR="00764B3C" w:rsidRPr="005F62F4">
        <w:t>ingle jaw surgery.</w:t>
      </w:r>
    </w:p>
    <w:p w14:paraId="76A821A9" w14:textId="54EC0E75" w:rsidR="00C77667" w:rsidRPr="005F62F4" w:rsidRDefault="00442938" w:rsidP="00BF683E">
      <w:pPr>
        <w:pStyle w:val="Para"/>
        <w:rPr>
          <w:rFonts w:eastAsia="@Arial Unicode MS"/>
          <w:lang w:eastAsia="en-AU"/>
        </w:rPr>
      </w:pPr>
      <w:r w:rsidRPr="005F62F4">
        <w:rPr>
          <w:rFonts w:eastAsia="@Arial Unicode MS"/>
          <w:lang w:eastAsia="en-AU"/>
        </w:rPr>
        <w:t>However</w:t>
      </w:r>
      <w:r w:rsidR="004B468B" w:rsidRPr="005F62F4">
        <w:rPr>
          <w:rFonts w:eastAsia="@Arial Unicode MS"/>
          <w:lang w:eastAsia="en-AU"/>
        </w:rPr>
        <w:t>, surgeons</w:t>
      </w:r>
      <w:r w:rsidR="00200D95" w:rsidRPr="005F62F4">
        <w:rPr>
          <w:rFonts w:eastAsia="@Arial Unicode MS"/>
          <w:lang w:eastAsia="en-AU"/>
        </w:rPr>
        <w:t xml:space="preserve"> reported that it was not always possible to </w:t>
      </w:r>
      <w:r w:rsidR="00CF5403" w:rsidRPr="005F62F4">
        <w:rPr>
          <w:rFonts w:eastAsia="@Arial Unicode MS"/>
          <w:lang w:eastAsia="en-AU"/>
        </w:rPr>
        <w:t>categorise</w:t>
      </w:r>
      <w:r w:rsidR="00200D95" w:rsidRPr="005F62F4">
        <w:rPr>
          <w:rFonts w:eastAsia="@Arial Unicode MS"/>
          <w:lang w:eastAsia="en-AU"/>
        </w:rPr>
        <w:t xml:space="preserve"> a </w:t>
      </w:r>
      <w:r w:rsidR="00CF5403" w:rsidRPr="005F62F4">
        <w:rPr>
          <w:rFonts w:eastAsia="@Arial Unicode MS"/>
          <w:lang w:eastAsia="en-AU"/>
        </w:rPr>
        <w:t xml:space="preserve">type of </w:t>
      </w:r>
      <w:r w:rsidR="00381553" w:rsidRPr="005F62F4">
        <w:rPr>
          <w:rFonts w:eastAsia="@Arial Unicode MS"/>
          <w:lang w:eastAsia="en-AU"/>
        </w:rPr>
        <w:t>procedure as ‘simple’ or ‘complex’</w:t>
      </w:r>
      <w:r w:rsidR="002139A1" w:rsidRPr="005F62F4">
        <w:rPr>
          <w:rFonts w:eastAsia="@Arial Unicode MS"/>
          <w:lang w:eastAsia="en-AU"/>
        </w:rPr>
        <w:t xml:space="preserve">, as </w:t>
      </w:r>
      <w:r w:rsidR="00CD1953" w:rsidRPr="005F62F4">
        <w:rPr>
          <w:rFonts w:eastAsia="@Arial Unicode MS"/>
          <w:lang w:eastAsia="en-AU"/>
        </w:rPr>
        <w:t>complexity</w:t>
      </w:r>
      <w:r w:rsidR="002139A1" w:rsidRPr="005F62F4">
        <w:rPr>
          <w:rFonts w:eastAsia="@Arial Unicode MS"/>
          <w:lang w:eastAsia="en-AU"/>
        </w:rPr>
        <w:t xml:space="preserve"> depends on individual clinical circumstances</w:t>
      </w:r>
      <w:r w:rsidR="000158CF" w:rsidRPr="005F62F4">
        <w:rPr>
          <w:rFonts w:eastAsia="@Arial Unicode MS"/>
          <w:lang w:eastAsia="en-AU"/>
        </w:rPr>
        <w:t xml:space="preserve">. For example, </w:t>
      </w:r>
      <w:r w:rsidR="006E7CBA" w:rsidRPr="005F62F4">
        <w:rPr>
          <w:rFonts w:eastAsia="@Arial Unicode MS"/>
          <w:lang w:eastAsia="en-AU"/>
        </w:rPr>
        <w:t xml:space="preserve">some </w:t>
      </w:r>
      <w:r w:rsidR="00875736" w:rsidRPr="005F62F4">
        <w:rPr>
          <w:rFonts w:eastAsia="@Arial Unicode MS"/>
          <w:lang w:eastAsia="en-AU"/>
        </w:rPr>
        <w:t>single jaw surger</w:t>
      </w:r>
      <w:r w:rsidR="006E7CBA" w:rsidRPr="005F62F4">
        <w:rPr>
          <w:rFonts w:eastAsia="@Arial Unicode MS"/>
          <w:lang w:eastAsia="en-AU"/>
        </w:rPr>
        <w:t xml:space="preserve">ies were considered </w:t>
      </w:r>
      <w:r w:rsidR="006069A6" w:rsidRPr="005F62F4">
        <w:rPr>
          <w:rFonts w:eastAsia="@Arial Unicode MS"/>
          <w:lang w:eastAsia="en-AU"/>
        </w:rPr>
        <w:t>complex (</w:t>
      </w:r>
      <w:proofErr w:type="gramStart"/>
      <w:r w:rsidR="006069A6" w:rsidRPr="005F62F4">
        <w:rPr>
          <w:rFonts w:eastAsia="@Arial Unicode MS"/>
          <w:lang w:eastAsia="en-AU"/>
        </w:rPr>
        <w:t>e.g.</w:t>
      </w:r>
      <w:proofErr w:type="gramEnd"/>
      <w:r w:rsidR="00D22802" w:rsidRPr="005F62F4">
        <w:rPr>
          <w:rFonts w:eastAsia="@Arial Unicode MS"/>
          <w:lang w:eastAsia="en-AU"/>
        </w:rPr>
        <w:t xml:space="preserve"> custom genioplasty and </w:t>
      </w:r>
      <w:r w:rsidR="007855C0" w:rsidRPr="005F62F4">
        <w:rPr>
          <w:rFonts w:eastAsia="@Arial Unicode MS"/>
          <w:lang w:eastAsia="en-AU"/>
        </w:rPr>
        <w:t>procedures</w:t>
      </w:r>
      <w:r w:rsidR="00875736" w:rsidRPr="005F62F4">
        <w:rPr>
          <w:rFonts w:eastAsia="@Arial Unicode MS"/>
          <w:lang w:eastAsia="en-AU"/>
        </w:rPr>
        <w:t xml:space="preserve"> where the jaw is segmented</w:t>
      </w:r>
      <w:r w:rsidR="007855C0" w:rsidRPr="005F62F4">
        <w:rPr>
          <w:rFonts w:eastAsia="@Arial Unicode MS"/>
          <w:lang w:eastAsia="en-AU"/>
        </w:rPr>
        <w:t>)</w:t>
      </w:r>
      <w:r w:rsidR="00994243" w:rsidRPr="005F62F4">
        <w:rPr>
          <w:rFonts w:eastAsia="@Arial Unicode MS"/>
          <w:lang w:eastAsia="en-AU"/>
        </w:rPr>
        <w:t>.</w:t>
      </w:r>
      <w:r w:rsidR="00EA3D73" w:rsidRPr="005F62F4">
        <w:rPr>
          <w:rStyle w:val="FootnoteReference"/>
          <w:rFonts w:eastAsia="@Arial Unicode MS"/>
          <w:lang w:eastAsia="en-AU"/>
        </w:rPr>
        <w:footnoteReference w:id="13"/>
      </w:r>
      <w:r w:rsidR="00994243" w:rsidRPr="005F62F4">
        <w:rPr>
          <w:rFonts w:eastAsia="@Arial Unicode MS"/>
          <w:lang w:eastAsia="en-AU"/>
        </w:rPr>
        <w:t xml:space="preserve"> </w:t>
      </w:r>
      <w:r w:rsidR="00C07E78" w:rsidRPr="005F62F4">
        <w:rPr>
          <w:rFonts w:eastAsia="@Arial Unicode MS"/>
          <w:lang w:eastAsia="en-AU"/>
        </w:rPr>
        <w:t xml:space="preserve">Patient characteristics, </w:t>
      </w:r>
      <w:r w:rsidR="0097074B" w:rsidRPr="005F62F4">
        <w:rPr>
          <w:rFonts w:eastAsia="@Arial Unicode MS"/>
          <w:lang w:eastAsia="en-AU"/>
        </w:rPr>
        <w:t>including</w:t>
      </w:r>
      <w:r w:rsidR="00C07E78" w:rsidRPr="005F62F4">
        <w:rPr>
          <w:rFonts w:eastAsia="@Arial Unicode MS"/>
          <w:lang w:eastAsia="en-AU"/>
        </w:rPr>
        <w:t xml:space="preserve"> age</w:t>
      </w:r>
      <w:r w:rsidR="001966C2" w:rsidRPr="005F62F4">
        <w:rPr>
          <w:rFonts w:eastAsia="@Arial Unicode MS"/>
          <w:lang w:eastAsia="en-AU"/>
        </w:rPr>
        <w:t xml:space="preserve"> and anatomy</w:t>
      </w:r>
      <w:r w:rsidR="0097074B" w:rsidRPr="005F62F4">
        <w:rPr>
          <w:rFonts w:eastAsia="@Arial Unicode MS"/>
          <w:lang w:eastAsia="en-AU"/>
        </w:rPr>
        <w:t>,</w:t>
      </w:r>
      <w:r w:rsidR="00C77667" w:rsidRPr="005F62F4">
        <w:rPr>
          <w:rFonts w:eastAsia="@Arial Unicode MS"/>
          <w:lang w:eastAsia="en-AU"/>
        </w:rPr>
        <w:t xml:space="preserve"> can also </w:t>
      </w:r>
      <w:r w:rsidR="00052EE1" w:rsidRPr="005F62F4">
        <w:rPr>
          <w:rFonts w:eastAsia="@Arial Unicode MS"/>
          <w:lang w:eastAsia="en-AU"/>
        </w:rPr>
        <w:t xml:space="preserve">influence the </w:t>
      </w:r>
      <w:r w:rsidR="00C77667" w:rsidRPr="005F62F4">
        <w:rPr>
          <w:rFonts w:eastAsia="@Arial Unicode MS"/>
          <w:lang w:eastAsia="en-AU"/>
        </w:rPr>
        <w:t>complex</w:t>
      </w:r>
      <w:r w:rsidR="00052EE1" w:rsidRPr="005F62F4">
        <w:rPr>
          <w:rFonts w:eastAsia="@Arial Unicode MS"/>
          <w:lang w:eastAsia="en-AU"/>
        </w:rPr>
        <w:t>ity of the procedure</w:t>
      </w:r>
      <w:r w:rsidR="00C77667" w:rsidRPr="005F62F4">
        <w:rPr>
          <w:rFonts w:eastAsia="@Arial Unicode MS"/>
          <w:lang w:eastAsia="en-AU"/>
        </w:rPr>
        <w:t>.</w:t>
      </w:r>
    </w:p>
    <w:p w14:paraId="2CB573D2" w14:textId="4BD96484" w:rsidR="00381553" w:rsidRPr="005F62F4" w:rsidRDefault="004548E7" w:rsidP="00BF683E">
      <w:pPr>
        <w:pStyle w:val="Para"/>
        <w:rPr>
          <w:rFonts w:eastAsia="@Arial Unicode MS"/>
          <w:lang w:eastAsia="en-AU"/>
        </w:rPr>
      </w:pPr>
      <w:r w:rsidRPr="005F62F4">
        <w:rPr>
          <w:rFonts w:eastAsia="@Arial Unicode MS"/>
          <w:lang w:eastAsia="en-AU"/>
        </w:rPr>
        <w:t>S</w:t>
      </w:r>
      <w:r w:rsidR="00B25D21" w:rsidRPr="005F62F4">
        <w:rPr>
          <w:rFonts w:eastAsia="@Arial Unicode MS"/>
          <w:lang w:eastAsia="en-AU"/>
        </w:rPr>
        <w:t>ome s</w:t>
      </w:r>
      <w:r w:rsidRPr="005F62F4">
        <w:rPr>
          <w:rFonts w:eastAsia="@Arial Unicode MS"/>
          <w:lang w:eastAsia="en-AU"/>
        </w:rPr>
        <w:t>urgeons noted that</w:t>
      </w:r>
      <w:r w:rsidR="00B25D21" w:rsidRPr="005F62F4">
        <w:rPr>
          <w:rFonts w:eastAsia="@Arial Unicode MS"/>
          <w:lang w:eastAsia="en-AU"/>
        </w:rPr>
        <w:t xml:space="preserve"> surgical guides and </w:t>
      </w:r>
      <w:proofErr w:type="spellStart"/>
      <w:r w:rsidR="00B25D21" w:rsidRPr="005F62F4">
        <w:rPr>
          <w:rFonts w:eastAsia="@Arial Unicode MS"/>
          <w:lang w:eastAsia="en-AU"/>
        </w:rPr>
        <w:t>biomodels</w:t>
      </w:r>
      <w:proofErr w:type="spellEnd"/>
      <w:r w:rsidR="00B25D21" w:rsidRPr="005F62F4">
        <w:rPr>
          <w:rFonts w:eastAsia="@Arial Unicode MS"/>
          <w:lang w:eastAsia="en-AU"/>
        </w:rPr>
        <w:t xml:space="preserve"> could still be </w:t>
      </w:r>
      <w:r w:rsidR="00795BB6" w:rsidRPr="005F62F4">
        <w:rPr>
          <w:rFonts w:eastAsia="@Arial Unicode MS"/>
          <w:lang w:eastAsia="en-AU"/>
        </w:rPr>
        <w:t>clinically</w:t>
      </w:r>
      <w:r w:rsidR="00B25D21" w:rsidRPr="005F62F4">
        <w:rPr>
          <w:rFonts w:eastAsia="@Arial Unicode MS"/>
          <w:lang w:eastAsia="en-AU"/>
        </w:rPr>
        <w:t xml:space="preserve"> useful </w:t>
      </w:r>
      <w:r w:rsidR="00665F7F" w:rsidRPr="005F62F4">
        <w:rPr>
          <w:rFonts w:eastAsia="@Arial Unicode MS"/>
          <w:lang w:eastAsia="en-AU"/>
        </w:rPr>
        <w:t xml:space="preserve">– although perhaps not essential – </w:t>
      </w:r>
      <w:r w:rsidR="00E5733C" w:rsidRPr="005F62F4">
        <w:rPr>
          <w:rFonts w:eastAsia="@Arial Unicode MS"/>
          <w:lang w:eastAsia="en-AU"/>
        </w:rPr>
        <w:t xml:space="preserve">in ‘simpler’ </w:t>
      </w:r>
      <w:r w:rsidR="009971AE" w:rsidRPr="005F62F4">
        <w:rPr>
          <w:rFonts w:eastAsia="@Arial Unicode MS"/>
          <w:lang w:eastAsia="en-AU"/>
        </w:rPr>
        <w:t>procedures</w:t>
      </w:r>
      <w:r w:rsidR="00967A31" w:rsidRPr="005F62F4">
        <w:rPr>
          <w:rFonts w:eastAsia="@Arial Unicode MS"/>
          <w:lang w:eastAsia="en-AU"/>
        </w:rPr>
        <w:t xml:space="preserve"> </w:t>
      </w:r>
      <w:r w:rsidR="00973504" w:rsidRPr="005F62F4">
        <w:rPr>
          <w:rFonts w:eastAsia="@Arial Unicode MS"/>
          <w:lang w:eastAsia="en-AU"/>
        </w:rPr>
        <w:t>(</w:t>
      </w:r>
      <w:proofErr w:type="gramStart"/>
      <w:r w:rsidR="00125F47" w:rsidRPr="005F62F4">
        <w:t>e</w:t>
      </w:r>
      <w:r w:rsidR="006A3AE2" w:rsidRPr="005F62F4">
        <w:t>.g.</w:t>
      </w:r>
      <w:proofErr w:type="gramEnd"/>
      <w:r w:rsidR="006A3AE2" w:rsidRPr="005F62F4">
        <w:t xml:space="preserve"> a </w:t>
      </w:r>
      <w:proofErr w:type="spellStart"/>
      <w:r w:rsidR="006A3AE2" w:rsidRPr="005F62F4">
        <w:t>biomodel</w:t>
      </w:r>
      <w:proofErr w:type="spellEnd"/>
      <w:r w:rsidR="006A3AE2" w:rsidRPr="005F62F4">
        <w:t xml:space="preserve"> may be useful to confirm proper positioning of a custom implant in an alveolar ridge augmentation</w:t>
      </w:r>
      <w:r w:rsidR="00973504" w:rsidRPr="005F62F4">
        <w:t>)</w:t>
      </w:r>
      <w:r w:rsidR="006A3AE2" w:rsidRPr="005F62F4">
        <w:t>.</w:t>
      </w:r>
    </w:p>
    <w:p w14:paraId="185513CE" w14:textId="7427B8AB" w:rsidR="00B07106" w:rsidRPr="005F62F4" w:rsidRDefault="00B07106" w:rsidP="00BF683E">
      <w:pPr>
        <w:pStyle w:val="Para"/>
      </w:pPr>
      <w:r w:rsidRPr="005F62F4">
        <w:rPr>
          <w:rFonts w:eastAsia="@Arial Unicode MS"/>
          <w:lang w:eastAsia="en-AU"/>
        </w:rPr>
        <w:t>I</w:t>
      </w:r>
      <w:r w:rsidR="007B157A" w:rsidRPr="005F62F4">
        <w:rPr>
          <w:rFonts w:eastAsia="@Arial Unicode MS"/>
          <w:lang w:eastAsia="en-AU"/>
        </w:rPr>
        <w:t xml:space="preserve">n addition, </w:t>
      </w:r>
      <w:r w:rsidR="00BA2C77" w:rsidRPr="005F62F4">
        <w:rPr>
          <w:rFonts w:eastAsia="@Arial Unicode MS"/>
          <w:lang w:eastAsia="en-AU"/>
        </w:rPr>
        <w:t>i</w:t>
      </w:r>
      <w:r w:rsidRPr="005F62F4">
        <w:rPr>
          <w:rFonts w:eastAsia="@Arial Unicode MS"/>
          <w:lang w:eastAsia="en-AU"/>
        </w:rPr>
        <w:t xml:space="preserve">nput from product sponsors did not necessarily align with </w:t>
      </w:r>
      <w:r w:rsidR="00F32E1C" w:rsidRPr="005F62F4">
        <w:rPr>
          <w:rFonts w:eastAsia="@Arial Unicode MS"/>
          <w:lang w:eastAsia="en-AU"/>
        </w:rPr>
        <w:t xml:space="preserve">the </w:t>
      </w:r>
      <w:r w:rsidRPr="005F62F4">
        <w:rPr>
          <w:rFonts w:eastAsia="@Arial Unicode MS"/>
          <w:lang w:eastAsia="en-AU"/>
        </w:rPr>
        <w:t>view</w:t>
      </w:r>
      <w:r w:rsidR="00F32E1C" w:rsidRPr="005F62F4">
        <w:rPr>
          <w:rFonts w:eastAsia="@Arial Unicode MS"/>
          <w:lang w:eastAsia="en-AU"/>
        </w:rPr>
        <w:t xml:space="preserve"> that surgical guides and </w:t>
      </w:r>
      <w:proofErr w:type="spellStart"/>
      <w:r w:rsidR="00F32E1C" w:rsidRPr="005F62F4">
        <w:rPr>
          <w:rFonts w:eastAsia="@Arial Unicode MS"/>
          <w:lang w:eastAsia="en-AU"/>
        </w:rPr>
        <w:t>biomodels</w:t>
      </w:r>
      <w:proofErr w:type="spellEnd"/>
      <w:r w:rsidR="00F32E1C" w:rsidRPr="005F62F4">
        <w:rPr>
          <w:rFonts w:eastAsia="@Arial Unicode MS"/>
          <w:lang w:eastAsia="en-AU"/>
        </w:rPr>
        <w:t xml:space="preserve"> were not needed </w:t>
      </w:r>
      <w:r w:rsidR="00F60B33" w:rsidRPr="005F62F4">
        <w:rPr>
          <w:rFonts w:eastAsia="@Arial Unicode MS"/>
          <w:lang w:eastAsia="en-AU"/>
        </w:rPr>
        <w:t>in simple procedures</w:t>
      </w:r>
      <w:r w:rsidRPr="005F62F4">
        <w:rPr>
          <w:rFonts w:eastAsia="@Arial Unicode MS"/>
          <w:lang w:eastAsia="en-AU"/>
        </w:rPr>
        <w:t>. For example, some stated</w:t>
      </w:r>
      <w:r w:rsidRPr="005F62F4">
        <w:t xml:space="preserve"> that the use of</w:t>
      </w:r>
      <w:r w:rsidR="00820105" w:rsidRPr="005F62F4">
        <w:t xml:space="preserve"> surgical guides</w:t>
      </w:r>
      <w:r w:rsidRPr="005F62F4">
        <w:t xml:space="preserve"> is recognised as the standard of care in dental implantology in Australia, and it is now more common for dental implants to be placed with the use of a surgical guide than without one.</w:t>
      </w:r>
    </w:p>
    <w:p w14:paraId="53175788" w14:textId="77777777" w:rsidR="0025760A" w:rsidRPr="005F62F4" w:rsidRDefault="008B7DA3" w:rsidP="00B4115E">
      <w:pPr>
        <w:pStyle w:val="Heading4"/>
      </w:pPr>
      <w:r w:rsidRPr="005F62F4">
        <w:t>Surgical guides</w:t>
      </w:r>
    </w:p>
    <w:p w14:paraId="4185CD54" w14:textId="74B914AD" w:rsidR="0042690D" w:rsidRPr="005F62F4" w:rsidRDefault="00037C02" w:rsidP="00451F23">
      <w:pPr>
        <w:pStyle w:val="ParaKeep"/>
      </w:pPr>
      <w:r w:rsidRPr="005F62F4">
        <w:t>Surgeons</w:t>
      </w:r>
      <w:r w:rsidR="0042690D" w:rsidRPr="005F62F4">
        <w:t xml:space="preserve"> considered the use of surgical guides to be the standard of care for complex CMF surgeries including:</w:t>
      </w:r>
    </w:p>
    <w:p w14:paraId="4522EFF3" w14:textId="0F97178A" w:rsidR="0042690D" w:rsidRPr="005F62F4" w:rsidRDefault="42B09369" w:rsidP="007C4445">
      <w:pPr>
        <w:pStyle w:val="Bullet1"/>
      </w:pPr>
      <w:r w:rsidRPr="005F62F4">
        <w:t xml:space="preserve">complex </w:t>
      </w:r>
      <w:r w:rsidR="00934D1E" w:rsidRPr="005F62F4">
        <w:t>o</w:t>
      </w:r>
      <w:r w:rsidR="0042690D" w:rsidRPr="005F62F4">
        <w:t>rthognathic surgery</w:t>
      </w:r>
    </w:p>
    <w:p w14:paraId="685C0E59" w14:textId="34980294" w:rsidR="0042690D" w:rsidRPr="005F62F4" w:rsidRDefault="0042690D" w:rsidP="007C4445">
      <w:pPr>
        <w:pStyle w:val="Bullet1"/>
      </w:pPr>
      <w:r w:rsidRPr="005F62F4">
        <w:t>TMJ surgery</w:t>
      </w:r>
    </w:p>
    <w:p w14:paraId="2E9F5AB4" w14:textId="6D3644F7" w:rsidR="0042690D" w:rsidRPr="005F62F4" w:rsidRDefault="00934D1E" w:rsidP="007C4445">
      <w:pPr>
        <w:pStyle w:val="Bullet1"/>
      </w:pPr>
      <w:r w:rsidRPr="005F62F4">
        <w:t>r</w:t>
      </w:r>
      <w:r w:rsidR="0042690D" w:rsidRPr="005F62F4">
        <w:t>econstruction of cranial defects</w:t>
      </w:r>
    </w:p>
    <w:p w14:paraId="32677439" w14:textId="5600B8FB" w:rsidR="0042690D" w:rsidRPr="005F62F4" w:rsidRDefault="00934D1E" w:rsidP="007C4445">
      <w:pPr>
        <w:pStyle w:val="Bullet1"/>
      </w:pPr>
      <w:r w:rsidRPr="005F62F4">
        <w:t>c</w:t>
      </w:r>
      <w:r w:rsidR="0042690D" w:rsidRPr="005F62F4">
        <w:t>ancer resections</w:t>
      </w:r>
    </w:p>
    <w:p w14:paraId="45E27776" w14:textId="74C55BC2" w:rsidR="0042690D" w:rsidRPr="005F62F4" w:rsidRDefault="00934D1E" w:rsidP="007C4445">
      <w:pPr>
        <w:pStyle w:val="Bullet1"/>
      </w:pPr>
      <w:r w:rsidRPr="005F62F4">
        <w:t>s</w:t>
      </w:r>
      <w:r w:rsidR="0042690D" w:rsidRPr="005F62F4">
        <w:t xml:space="preserve">ome trauma indications, such as </w:t>
      </w:r>
      <w:proofErr w:type="spellStart"/>
      <w:r w:rsidR="0042690D" w:rsidRPr="005F62F4">
        <w:t>comminuted</w:t>
      </w:r>
      <w:proofErr w:type="spellEnd"/>
      <w:r w:rsidR="0042690D" w:rsidRPr="005F62F4">
        <w:t xml:space="preserve"> fractures.</w:t>
      </w:r>
    </w:p>
    <w:p w14:paraId="593ECFB9" w14:textId="32E47088" w:rsidR="0042690D" w:rsidRPr="005F62F4" w:rsidRDefault="006C4E2E" w:rsidP="001A2508">
      <w:pPr>
        <w:pStyle w:val="Para"/>
      </w:pPr>
      <w:r w:rsidRPr="005F62F4">
        <w:t>In addition, s</w:t>
      </w:r>
      <w:r w:rsidR="0042690D" w:rsidRPr="005F62F4">
        <w:t xml:space="preserve">urgical guides were </w:t>
      </w:r>
      <w:r w:rsidR="00F05150" w:rsidRPr="005F62F4">
        <w:t>often</w:t>
      </w:r>
      <w:r w:rsidR="00264C4B" w:rsidRPr="005F62F4">
        <w:t xml:space="preserve"> considered necessary</w:t>
      </w:r>
      <w:r w:rsidR="0042690D" w:rsidRPr="005F62F4">
        <w:t xml:space="preserve"> for </w:t>
      </w:r>
      <w:r w:rsidR="00264C4B" w:rsidRPr="005F62F4">
        <w:t>implanting</w:t>
      </w:r>
      <w:r w:rsidR="0042690D" w:rsidRPr="005F62F4">
        <w:t xml:space="preserve"> </w:t>
      </w:r>
      <w:r w:rsidR="007246BB" w:rsidRPr="005F62F4">
        <w:t>patient-specific implants.</w:t>
      </w:r>
    </w:p>
    <w:p w14:paraId="7EA8B0D9" w14:textId="77777777" w:rsidR="004B6343" w:rsidRPr="005F62F4" w:rsidRDefault="004B6343" w:rsidP="00FD7356">
      <w:r w:rsidRPr="005F62F4">
        <w:br w:type="page"/>
      </w:r>
    </w:p>
    <w:p w14:paraId="537B37E5" w14:textId="779D06B1" w:rsidR="000E732F" w:rsidRPr="005F62F4" w:rsidRDefault="000E732F" w:rsidP="00B4115E">
      <w:pPr>
        <w:pStyle w:val="Heading4"/>
      </w:pPr>
      <w:proofErr w:type="spellStart"/>
      <w:r w:rsidRPr="005F62F4">
        <w:lastRenderedPageBreak/>
        <w:t>Biomodels</w:t>
      </w:r>
      <w:proofErr w:type="spellEnd"/>
    </w:p>
    <w:p w14:paraId="3D677C15" w14:textId="155D521A" w:rsidR="002D3D8D" w:rsidRPr="005F62F4" w:rsidRDefault="0042690D" w:rsidP="00D32613">
      <w:pPr>
        <w:pStyle w:val="Para"/>
      </w:pPr>
      <w:r w:rsidRPr="005F62F4">
        <w:t xml:space="preserve">The use </w:t>
      </w:r>
      <w:r w:rsidR="002412EA" w:rsidRPr="005F62F4">
        <w:t>and perceived benefits</w:t>
      </w:r>
      <w:r w:rsidRPr="005F62F4">
        <w:t xml:space="preserve"> of </w:t>
      </w:r>
      <w:proofErr w:type="spellStart"/>
      <w:r w:rsidRPr="005F62F4">
        <w:t>biomodels</w:t>
      </w:r>
      <w:proofErr w:type="spellEnd"/>
      <w:r w:rsidRPr="005F62F4">
        <w:t xml:space="preserve"> varied more widely </w:t>
      </w:r>
      <w:r w:rsidR="00936180" w:rsidRPr="005F62F4">
        <w:t>among</w:t>
      </w:r>
      <w:r w:rsidRPr="005F62F4">
        <w:t xml:space="preserve"> </w:t>
      </w:r>
      <w:r w:rsidR="00A73870" w:rsidRPr="005F62F4">
        <w:t>surgeons</w:t>
      </w:r>
      <w:r w:rsidRPr="005F62F4">
        <w:t xml:space="preserve">, with some reporting that they do not use </w:t>
      </w:r>
      <w:proofErr w:type="spellStart"/>
      <w:r w:rsidRPr="005F62F4">
        <w:t>biomodels</w:t>
      </w:r>
      <w:proofErr w:type="spellEnd"/>
      <w:r w:rsidRPr="005F62F4">
        <w:t xml:space="preserve"> at all in their surgery, or only rarely.</w:t>
      </w:r>
    </w:p>
    <w:p w14:paraId="391C3371" w14:textId="378515D1" w:rsidR="009358FF" w:rsidRPr="005F62F4" w:rsidRDefault="009358FF" w:rsidP="00D32613">
      <w:pPr>
        <w:pStyle w:val="Para"/>
      </w:pPr>
      <w:r w:rsidRPr="005F62F4">
        <w:t xml:space="preserve">Where </w:t>
      </w:r>
      <w:proofErr w:type="spellStart"/>
      <w:r w:rsidRPr="005F62F4">
        <w:t>biomodels</w:t>
      </w:r>
      <w:proofErr w:type="spellEnd"/>
      <w:r w:rsidRPr="005F62F4">
        <w:t xml:space="preserve"> are used, </w:t>
      </w:r>
      <w:r w:rsidR="00A73870" w:rsidRPr="005F62F4">
        <w:t>surgeons</w:t>
      </w:r>
      <w:r w:rsidR="00F37766" w:rsidRPr="005F62F4">
        <w:t xml:space="preserve"> </w:t>
      </w:r>
      <w:r w:rsidRPr="005F62F4">
        <w:t xml:space="preserve">reported using physical </w:t>
      </w:r>
      <w:proofErr w:type="spellStart"/>
      <w:r w:rsidRPr="005F62F4">
        <w:t>biomodels</w:t>
      </w:r>
      <w:proofErr w:type="spellEnd"/>
      <w:r w:rsidRPr="005F62F4">
        <w:t xml:space="preserve">, although </w:t>
      </w:r>
      <w:r w:rsidR="009275B7" w:rsidRPr="005F62F4">
        <w:t xml:space="preserve">stakeholders reported </w:t>
      </w:r>
      <w:r w:rsidR="00A753E9" w:rsidRPr="005F62F4">
        <w:t xml:space="preserve">that </w:t>
      </w:r>
      <w:r w:rsidRPr="005F62F4">
        <w:t xml:space="preserve">dynamic </w:t>
      </w:r>
      <w:r w:rsidR="009275B7" w:rsidRPr="005F62F4">
        <w:t xml:space="preserve">virtual </w:t>
      </w:r>
      <w:proofErr w:type="spellStart"/>
      <w:r w:rsidRPr="005F62F4">
        <w:t>biomodel</w:t>
      </w:r>
      <w:r w:rsidR="009275B7" w:rsidRPr="005F62F4">
        <w:t>s</w:t>
      </w:r>
      <w:proofErr w:type="spellEnd"/>
      <w:r w:rsidRPr="005F62F4">
        <w:t xml:space="preserve"> are also used</w:t>
      </w:r>
      <w:r w:rsidR="009275B7" w:rsidRPr="005F62F4">
        <w:t xml:space="preserve"> during surgery</w:t>
      </w:r>
      <w:r w:rsidR="007246BB" w:rsidRPr="005F62F4">
        <w:t>.</w:t>
      </w:r>
    </w:p>
    <w:p w14:paraId="09EE5B6F" w14:textId="040A6001" w:rsidR="0042690D" w:rsidRPr="005F62F4" w:rsidRDefault="0042690D" w:rsidP="00451F23">
      <w:pPr>
        <w:pStyle w:val="ParaKeep"/>
      </w:pPr>
      <w:proofErr w:type="gramStart"/>
      <w:r w:rsidRPr="005F62F4">
        <w:t>Similar to</w:t>
      </w:r>
      <w:proofErr w:type="gramEnd"/>
      <w:r w:rsidRPr="005F62F4">
        <w:t xml:space="preserve"> surgical guides, </w:t>
      </w:r>
      <w:r w:rsidR="00C129ED" w:rsidRPr="005F62F4">
        <w:t>surgeons</w:t>
      </w:r>
      <w:r w:rsidRPr="005F62F4">
        <w:t xml:space="preserve"> indicated that </w:t>
      </w:r>
      <w:r w:rsidR="00181494" w:rsidRPr="005F62F4">
        <w:t>physical</w:t>
      </w:r>
      <w:r w:rsidRPr="005F62F4">
        <w:t xml:space="preserve"> </w:t>
      </w:r>
      <w:proofErr w:type="spellStart"/>
      <w:r w:rsidRPr="005F62F4">
        <w:t>biomodels</w:t>
      </w:r>
      <w:proofErr w:type="spellEnd"/>
      <w:r w:rsidRPr="005F62F4">
        <w:t xml:space="preserve"> are generally only required for complex surgeries, such as cranial, trauma and oncology cases to</w:t>
      </w:r>
      <w:r w:rsidR="006332CD" w:rsidRPr="005F62F4">
        <w:t>:</w:t>
      </w:r>
    </w:p>
    <w:p w14:paraId="18365B96" w14:textId="521B963A" w:rsidR="0042690D" w:rsidRPr="005F62F4" w:rsidRDefault="0042690D" w:rsidP="00702B57">
      <w:pPr>
        <w:pStyle w:val="Bullet1"/>
      </w:pPr>
      <w:r w:rsidRPr="005F62F4">
        <w:t xml:space="preserve">visualise anatomy that cannot </w:t>
      </w:r>
      <w:r w:rsidR="00F2158B" w:rsidRPr="005F62F4">
        <w:t xml:space="preserve">otherwise </w:t>
      </w:r>
      <w:r w:rsidRPr="005F62F4">
        <w:t>be visualised in surgery</w:t>
      </w:r>
    </w:p>
    <w:p w14:paraId="78644E0C" w14:textId="07C8832C" w:rsidR="000F7D1A" w:rsidRPr="005F62F4" w:rsidRDefault="00AB3BD1" w:rsidP="00702B57">
      <w:pPr>
        <w:pStyle w:val="Bullet1"/>
      </w:pPr>
      <w:r w:rsidRPr="005F62F4">
        <w:t>verify the</w:t>
      </w:r>
      <w:r w:rsidR="000F7D1A" w:rsidRPr="005F62F4">
        <w:t xml:space="preserve"> fit of the surgical guide</w:t>
      </w:r>
      <w:r w:rsidR="00E23B7A" w:rsidRPr="005F62F4">
        <w:t xml:space="preserve"> </w:t>
      </w:r>
      <w:r w:rsidR="00C51180" w:rsidRPr="005F62F4">
        <w:t xml:space="preserve">(or custom implant) </w:t>
      </w:r>
      <w:r w:rsidR="000F7D1A" w:rsidRPr="005F62F4">
        <w:t>and positioning on the patient</w:t>
      </w:r>
    </w:p>
    <w:p w14:paraId="3B132A48" w14:textId="38235F53" w:rsidR="0042690D" w:rsidRPr="005F62F4" w:rsidRDefault="002E316D" w:rsidP="00702B57">
      <w:pPr>
        <w:pStyle w:val="Bullet1"/>
      </w:pPr>
      <w:r w:rsidRPr="005F62F4">
        <w:t>aid in the harvesting and reconstruction of bone gr</w:t>
      </w:r>
      <w:r w:rsidR="00EB33FB" w:rsidRPr="005F62F4">
        <w:t>afting intraoperatively</w:t>
      </w:r>
    </w:p>
    <w:p w14:paraId="6949D2D0" w14:textId="77777777" w:rsidR="0042690D" w:rsidRPr="005F62F4" w:rsidRDefault="0042690D" w:rsidP="00702B57">
      <w:pPr>
        <w:pStyle w:val="Bullet1"/>
      </w:pPr>
      <w:r w:rsidRPr="005F62F4">
        <w:t>assist</w:t>
      </w:r>
      <w:r w:rsidR="00B73831" w:rsidRPr="005F62F4">
        <w:t xml:space="preserve"> </w:t>
      </w:r>
      <w:r w:rsidRPr="005F62F4">
        <w:t>the reconstruction team to understand the soft tissue requirements</w:t>
      </w:r>
    </w:p>
    <w:p w14:paraId="50295A6A" w14:textId="07A2BB63" w:rsidR="0042690D" w:rsidRPr="005F62F4" w:rsidRDefault="00CC461C" w:rsidP="00702B57">
      <w:pPr>
        <w:pStyle w:val="Bullet1"/>
      </w:pPr>
      <w:r w:rsidRPr="005F62F4">
        <w:t xml:space="preserve">reconstruct the orbit/midface based on the mirror image of the </w:t>
      </w:r>
      <w:r w:rsidR="007D2DB7" w:rsidRPr="005F62F4">
        <w:t>non-affected</w:t>
      </w:r>
      <w:r w:rsidRPr="005F62F4">
        <w:t xml:space="preserve"> side</w:t>
      </w:r>
      <w:r w:rsidR="00B40BB1" w:rsidRPr="005F62F4">
        <w:t>,</w:t>
      </w:r>
      <w:r w:rsidR="00CC354E" w:rsidRPr="005F62F4">
        <w:t xml:space="preserve"> </w:t>
      </w:r>
      <w:r w:rsidR="00B40BB1" w:rsidRPr="005F62F4">
        <w:t xml:space="preserve">enabling bending of a plate </w:t>
      </w:r>
      <w:r w:rsidR="00396CDF" w:rsidRPr="005F62F4">
        <w:t xml:space="preserve">to </w:t>
      </w:r>
      <w:r w:rsidR="00B40BB1" w:rsidRPr="005F62F4">
        <w:t>apply to the fractured sid</w:t>
      </w:r>
      <w:r w:rsidR="00570A33" w:rsidRPr="005F62F4">
        <w:t>e</w:t>
      </w:r>
    </w:p>
    <w:p w14:paraId="5D7E8114" w14:textId="5E16B793" w:rsidR="00760394" w:rsidRPr="005F62F4" w:rsidRDefault="00760394" w:rsidP="00702B57">
      <w:pPr>
        <w:pStyle w:val="Bullet1"/>
      </w:pPr>
      <w:r w:rsidRPr="005F62F4">
        <w:t>adapt or pre-bend an off-the-shelf plate to fit the patient’s anatomy.</w:t>
      </w:r>
    </w:p>
    <w:p w14:paraId="592ABDAC" w14:textId="08FB6AE2" w:rsidR="007246BB" w:rsidRPr="005F62F4" w:rsidRDefault="007246BB" w:rsidP="007246BB">
      <w:pPr>
        <w:pStyle w:val="Para"/>
      </w:pPr>
      <w:r w:rsidRPr="005F62F4">
        <w:t xml:space="preserve">However, one product sponsor indicated the wide application of </w:t>
      </w:r>
      <w:proofErr w:type="spellStart"/>
      <w:r w:rsidRPr="005F62F4">
        <w:t>biomodels</w:t>
      </w:r>
      <w:proofErr w:type="spellEnd"/>
      <w:r w:rsidRPr="005F62F4">
        <w:t>, reporting that ‘</w:t>
      </w:r>
      <w:proofErr w:type="spellStart"/>
      <w:r w:rsidRPr="005F62F4">
        <w:t>biomodels</w:t>
      </w:r>
      <w:proofErr w:type="spellEnd"/>
      <w:r w:rsidRPr="005F62F4">
        <w:t xml:space="preserve"> are used in the planning phase regardless of the surgery complexity as this is a fail-safe mechanism to verify that it is what it needs to be’.</w:t>
      </w:r>
    </w:p>
    <w:p w14:paraId="57BB4E6B" w14:textId="30401022" w:rsidR="00657E8E" w:rsidRPr="005F62F4" w:rsidRDefault="00811A36" w:rsidP="00657E8E">
      <w:pPr>
        <w:pStyle w:val="Para"/>
      </w:pPr>
      <w:r w:rsidRPr="005F62F4">
        <w:t>Some o</w:t>
      </w:r>
      <w:r w:rsidR="00657E8E" w:rsidRPr="005F62F4">
        <w:t>ther</w:t>
      </w:r>
      <w:r w:rsidR="00483BD3" w:rsidRPr="005F62F4">
        <w:t xml:space="preserve"> stakeholder</w:t>
      </w:r>
      <w:r w:rsidR="00657E8E" w:rsidRPr="005F62F4">
        <w:t xml:space="preserve">s viewed </w:t>
      </w:r>
      <w:proofErr w:type="spellStart"/>
      <w:r w:rsidR="002149DA" w:rsidRPr="005F62F4">
        <w:t>biomodels</w:t>
      </w:r>
      <w:proofErr w:type="spellEnd"/>
      <w:r w:rsidR="002149DA" w:rsidRPr="005F62F4">
        <w:t xml:space="preserve"> to have</w:t>
      </w:r>
      <w:r w:rsidR="00657E8E" w:rsidRPr="005F62F4">
        <w:t xml:space="preserve"> no clinical benefit </w:t>
      </w:r>
      <w:r w:rsidR="004E6F33" w:rsidRPr="005F62F4">
        <w:t>over conventional surgery</w:t>
      </w:r>
      <w:r w:rsidR="00657E8E" w:rsidRPr="005F62F4">
        <w:t xml:space="preserve"> and </w:t>
      </w:r>
      <w:r w:rsidR="00B1684F" w:rsidRPr="005F62F4">
        <w:t>suggested</w:t>
      </w:r>
      <w:r w:rsidR="002149DA" w:rsidRPr="005F62F4">
        <w:t xml:space="preserve"> they simply increase </w:t>
      </w:r>
      <w:r w:rsidR="00657E8E" w:rsidRPr="005F62F4">
        <w:t>the cost of the procedure.</w:t>
      </w:r>
    </w:p>
    <w:p w14:paraId="47BC3E08" w14:textId="3456CF37" w:rsidR="002C177D" w:rsidRPr="005F62F4" w:rsidRDefault="006D2A7D" w:rsidP="00757B56">
      <w:pPr>
        <w:pStyle w:val="Para"/>
      </w:pPr>
      <w:r w:rsidRPr="005F62F4">
        <w:t xml:space="preserve">Importantly, many stakeholders considered </w:t>
      </w:r>
      <w:r w:rsidR="00B73831" w:rsidRPr="005F62F4">
        <w:t xml:space="preserve">that </w:t>
      </w:r>
      <w:proofErr w:type="spellStart"/>
      <w:r w:rsidR="00B73831" w:rsidRPr="005F62F4">
        <w:t>biomodels</w:t>
      </w:r>
      <w:proofErr w:type="spellEnd"/>
      <w:r w:rsidR="00B73831" w:rsidRPr="005F62F4">
        <w:t xml:space="preserve"> are </w:t>
      </w:r>
      <w:r w:rsidR="00AC0CF9" w:rsidRPr="005F62F4">
        <w:t>aids to surgical</w:t>
      </w:r>
      <w:r w:rsidR="00B73831" w:rsidRPr="005F62F4">
        <w:t xml:space="preserve"> planning</w:t>
      </w:r>
      <w:r w:rsidR="0025708D" w:rsidRPr="005F62F4">
        <w:t xml:space="preserve">, or </w:t>
      </w:r>
      <w:r w:rsidR="005C70A7" w:rsidRPr="005F62F4">
        <w:t>the</w:t>
      </w:r>
      <w:r w:rsidR="0025708D" w:rsidRPr="005F62F4">
        <w:t xml:space="preserve"> b</w:t>
      </w:r>
      <w:r w:rsidR="00BF385A" w:rsidRPr="005F62F4">
        <w:t>y</w:t>
      </w:r>
      <w:r w:rsidR="00D21856">
        <w:t>-product</w:t>
      </w:r>
      <w:r w:rsidR="0025708D" w:rsidRPr="005F62F4">
        <w:t xml:space="preserve"> of the process for manufacturing surgical guides </w:t>
      </w:r>
      <w:r w:rsidR="005C70A7" w:rsidRPr="005F62F4">
        <w:t xml:space="preserve">(that can be </w:t>
      </w:r>
      <w:r w:rsidR="0025708D" w:rsidRPr="005F62F4">
        <w:t xml:space="preserve">used </w:t>
      </w:r>
      <w:r w:rsidR="005C70A7" w:rsidRPr="005F62F4">
        <w:t xml:space="preserve">for </w:t>
      </w:r>
      <w:r w:rsidR="0025708D" w:rsidRPr="005F62F4">
        <w:t xml:space="preserve">verification </w:t>
      </w:r>
      <w:r w:rsidR="005C70A7" w:rsidRPr="005F62F4">
        <w:t xml:space="preserve">of </w:t>
      </w:r>
      <w:r w:rsidR="0025708D" w:rsidRPr="005F62F4">
        <w:t>guides</w:t>
      </w:r>
      <w:r w:rsidR="005C70A7" w:rsidRPr="005F62F4">
        <w:t>)</w:t>
      </w:r>
      <w:r w:rsidR="00B73831" w:rsidRPr="005F62F4">
        <w:t xml:space="preserve"> </w:t>
      </w:r>
      <w:r w:rsidR="007246BB" w:rsidRPr="005F62F4">
        <w:t xml:space="preserve">rather than tools used for the implantation of a prosthesis. </w:t>
      </w:r>
      <w:r w:rsidR="005C70A7" w:rsidRPr="005F62F4">
        <w:t>This has implications for</w:t>
      </w:r>
      <w:r w:rsidR="00B73EBC" w:rsidRPr="005F62F4">
        <w:t xml:space="preserve"> whether </w:t>
      </w:r>
      <w:proofErr w:type="spellStart"/>
      <w:r w:rsidR="00B73EBC" w:rsidRPr="005F62F4">
        <w:t>biomodels</w:t>
      </w:r>
      <w:proofErr w:type="spellEnd"/>
      <w:r w:rsidR="00B73EBC" w:rsidRPr="005F62F4">
        <w:t xml:space="preserve"> meet the criteria for the PL, as discussed in </w:t>
      </w:r>
      <w:r w:rsidR="00285E0C" w:rsidRPr="005F62F4">
        <w:fldChar w:fldCharType="begin"/>
      </w:r>
      <w:r w:rsidR="00285E0C" w:rsidRPr="005F62F4">
        <w:instrText xml:space="preserve"> REF _Ref119344810 \r \h </w:instrText>
      </w:r>
      <w:r w:rsidR="005F62F4">
        <w:instrText xml:space="preserve"> \* MERGEFORMAT </w:instrText>
      </w:r>
      <w:r w:rsidR="00285E0C" w:rsidRPr="005F62F4">
        <w:fldChar w:fldCharType="separate"/>
      </w:r>
      <w:r w:rsidR="005606BF">
        <w:t>Section 4</w:t>
      </w:r>
      <w:r w:rsidR="00285E0C" w:rsidRPr="005F62F4">
        <w:fldChar w:fldCharType="end"/>
      </w:r>
      <w:r w:rsidR="00B73EBC" w:rsidRPr="005F62F4">
        <w:t>.</w:t>
      </w:r>
    </w:p>
    <w:p w14:paraId="08C55B6B" w14:textId="402E4FD6" w:rsidR="008318A1" w:rsidRPr="005F62F4" w:rsidRDefault="00524AC8" w:rsidP="004F2931">
      <w:pPr>
        <w:pStyle w:val="Heading3"/>
      </w:pPr>
      <w:bookmarkStart w:id="95" w:name="_Toc120178309"/>
      <w:r w:rsidRPr="005F62F4">
        <w:t xml:space="preserve">Influence of </w:t>
      </w:r>
      <w:r w:rsidR="00F07BC3" w:rsidRPr="005F62F4">
        <w:t xml:space="preserve">PL </w:t>
      </w:r>
      <w:r w:rsidRPr="005F62F4">
        <w:t xml:space="preserve">listing on </w:t>
      </w:r>
      <w:r w:rsidR="00F07BC3" w:rsidRPr="005F62F4">
        <w:t>patterns of use</w:t>
      </w:r>
      <w:bookmarkEnd w:id="95"/>
    </w:p>
    <w:p w14:paraId="6F270604" w14:textId="400CCF9D" w:rsidR="00A301E3" w:rsidRPr="005F62F4" w:rsidRDefault="009322D2" w:rsidP="005E44E7">
      <w:pPr>
        <w:pStyle w:val="Para"/>
      </w:pPr>
      <w:r w:rsidRPr="005F62F4">
        <w:rPr>
          <w:lang w:eastAsia="en-AU"/>
        </w:rPr>
        <w:t xml:space="preserve">Surgeons </w:t>
      </w:r>
      <w:r w:rsidR="005E44E7" w:rsidRPr="005F62F4">
        <w:rPr>
          <w:lang w:eastAsia="en-AU"/>
        </w:rPr>
        <w:t xml:space="preserve">noted that </w:t>
      </w:r>
      <w:r w:rsidR="00BA24D9" w:rsidRPr="005F62F4">
        <w:rPr>
          <w:lang w:eastAsia="en-AU"/>
        </w:rPr>
        <w:t xml:space="preserve">while </w:t>
      </w:r>
      <w:r w:rsidR="005E44E7" w:rsidRPr="005F62F4">
        <w:rPr>
          <w:lang w:eastAsia="en-AU"/>
        </w:rPr>
        <w:t xml:space="preserve">uptake of </w:t>
      </w:r>
      <w:r w:rsidR="003C6D97" w:rsidRPr="005F62F4">
        <w:rPr>
          <w:lang w:eastAsia="en-AU"/>
        </w:rPr>
        <w:t xml:space="preserve">virtual surgical planning, including </w:t>
      </w:r>
      <w:r w:rsidR="00366E44" w:rsidRPr="005F62F4">
        <w:rPr>
          <w:lang w:eastAsia="en-AU"/>
        </w:rPr>
        <w:t xml:space="preserve">use of </w:t>
      </w:r>
      <w:r w:rsidR="005E44E7" w:rsidRPr="005F62F4">
        <w:rPr>
          <w:lang w:eastAsia="en-AU"/>
        </w:rPr>
        <w:t xml:space="preserve">surgical guides and </w:t>
      </w:r>
      <w:proofErr w:type="spellStart"/>
      <w:r w:rsidR="005E44E7" w:rsidRPr="005F62F4">
        <w:rPr>
          <w:lang w:eastAsia="en-AU"/>
        </w:rPr>
        <w:t>biomodels</w:t>
      </w:r>
      <w:proofErr w:type="spellEnd"/>
      <w:r w:rsidR="009324E4" w:rsidRPr="005F62F4">
        <w:rPr>
          <w:lang w:eastAsia="en-AU"/>
        </w:rPr>
        <w:t>,</w:t>
      </w:r>
      <w:r w:rsidR="005E44E7" w:rsidRPr="005F62F4">
        <w:rPr>
          <w:lang w:eastAsia="en-AU"/>
        </w:rPr>
        <w:t xml:space="preserve"> was</w:t>
      </w:r>
      <w:r w:rsidR="00366E44" w:rsidRPr="005F62F4">
        <w:rPr>
          <w:lang w:eastAsia="en-AU"/>
        </w:rPr>
        <w:t xml:space="preserve"> initially slower in the public system, </w:t>
      </w:r>
      <w:r w:rsidR="00BA24D9" w:rsidRPr="005F62F4">
        <w:t>the technology is available in both public and private settings.</w:t>
      </w:r>
    </w:p>
    <w:p w14:paraId="583BD8E9" w14:textId="4BB98A5A" w:rsidR="00B1504E" w:rsidRPr="005F62F4" w:rsidRDefault="00A53B00" w:rsidP="00FE582D">
      <w:pPr>
        <w:pStyle w:val="ParaKeep"/>
      </w:pPr>
      <w:r w:rsidRPr="005F62F4">
        <w:t>Most</w:t>
      </w:r>
      <w:r w:rsidR="00BA24D9" w:rsidRPr="005F62F4">
        <w:t xml:space="preserve"> </w:t>
      </w:r>
      <w:r w:rsidR="009322D2" w:rsidRPr="005F62F4">
        <w:t>surgeons</w:t>
      </w:r>
      <w:r w:rsidR="00BA24D9" w:rsidRPr="005F62F4">
        <w:t xml:space="preserve"> we spoke to reported that their use of surgical guides and </w:t>
      </w:r>
      <w:proofErr w:type="spellStart"/>
      <w:r w:rsidR="00BA24D9" w:rsidRPr="005F62F4">
        <w:t>biomodels</w:t>
      </w:r>
      <w:proofErr w:type="spellEnd"/>
      <w:r w:rsidR="00BA24D9" w:rsidRPr="005F62F4">
        <w:t xml:space="preserve"> is consistent across both the </w:t>
      </w:r>
      <w:r w:rsidR="00685B52" w:rsidRPr="005F62F4">
        <w:t>p</w:t>
      </w:r>
      <w:r w:rsidR="00BA24D9" w:rsidRPr="005F62F4">
        <w:t>ublic and private sector</w:t>
      </w:r>
      <w:r w:rsidR="007F2BE6" w:rsidRPr="005F62F4">
        <w:t>s</w:t>
      </w:r>
      <w:r w:rsidR="00264C4B" w:rsidRPr="005F62F4">
        <w:t>.</w:t>
      </w:r>
      <w:r w:rsidR="00A301E3" w:rsidRPr="005F62F4">
        <w:t xml:space="preserve"> </w:t>
      </w:r>
      <w:r w:rsidR="00DF17DA" w:rsidRPr="005F62F4">
        <w:t>However, some</w:t>
      </w:r>
      <w:r w:rsidR="00B1504E" w:rsidRPr="005F62F4">
        <w:t xml:space="preserve"> </w:t>
      </w:r>
      <w:r w:rsidR="006778D2" w:rsidRPr="005F62F4">
        <w:t>surgeons</w:t>
      </w:r>
      <w:r w:rsidR="00A17F33" w:rsidRPr="005F62F4">
        <w:t xml:space="preserve"> </w:t>
      </w:r>
      <w:r w:rsidR="00B1504E" w:rsidRPr="005F62F4">
        <w:t xml:space="preserve">considered that </w:t>
      </w:r>
      <w:r w:rsidR="00B1504E" w:rsidRPr="005F62F4">
        <w:lastRenderedPageBreak/>
        <w:t xml:space="preserve">a listing on the PL influences their use </w:t>
      </w:r>
      <w:r w:rsidR="00DF17DA" w:rsidRPr="005F62F4">
        <w:t>for privately</w:t>
      </w:r>
      <w:r w:rsidR="00506D21" w:rsidRPr="005F62F4">
        <w:t xml:space="preserve"> </w:t>
      </w:r>
      <w:r w:rsidR="00DF17DA" w:rsidRPr="005F62F4">
        <w:t>insured patients</w:t>
      </w:r>
      <w:r w:rsidRPr="005F62F4">
        <w:t xml:space="preserve">, with one </w:t>
      </w:r>
      <w:r w:rsidR="00D65D4B" w:rsidRPr="005F62F4">
        <w:t xml:space="preserve">surgeon </w:t>
      </w:r>
      <w:r w:rsidRPr="005F62F4">
        <w:t>commenting that</w:t>
      </w:r>
      <w:r w:rsidR="00DF17DA" w:rsidRPr="005F62F4">
        <w:t>:</w:t>
      </w:r>
    </w:p>
    <w:p w14:paraId="0AFD5789" w14:textId="5C92CF51" w:rsidR="00B1504E" w:rsidRPr="005F62F4" w:rsidRDefault="00B1504E" w:rsidP="00D47157">
      <w:pPr>
        <w:pStyle w:val="Pullquote"/>
      </w:pPr>
      <w:r w:rsidRPr="005F62F4">
        <w:t xml:space="preserve">If it’s not listed, it won’t be used as they are very costly things. These are the sort of surgeries that </w:t>
      </w:r>
      <w:proofErr w:type="gramStart"/>
      <w:r w:rsidRPr="005F62F4">
        <w:t>really only</w:t>
      </w:r>
      <w:proofErr w:type="gramEnd"/>
      <w:r w:rsidRPr="005F62F4">
        <w:t xml:space="preserve"> get done with patients who have private health insurance </w:t>
      </w:r>
      <w:r w:rsidR="00685B52" w:rsidRPr="005F62F4">
        <w:t>–</w:t>
      </w:r>
      <w:r w:rsidRPr="005F62F4">
        <w:t xml:space="preserve"> you will use products that are able to be rebat</w:t>
      </w:r>
      <w:r w:rsidR="001501F9" w:rsidRPr="005F62F4">
        <w:t>ed</w:t>
      </w:r>
      <w:r w:rsidRPr="005F62F4">
        <w:t xml:space="preserve"> as opposed to being out of pocket significantly.</w:t>
      </w:r>
      <w:r w:rsidR="001E5F96" w:rsidRPr="005F62F4">
        <w:t xml:space="preserve"> </w:t>
      </w:r>
      <w:r w:rsidR="001E5F96" w:rsidRPr="005F62F4" w:rsidDel="00C129ED">
        <w:t>(</w:t>
      </w:r>
      <w:r w:rsidR="00C129ED" w:rsidRPr="005F62F4">
        <w:t>Surgeon</w:t>
      </w:r>
      <w:r w:rsidR="001E5F96" w:rsidRPr="005F62F4">
        <w:t>)</w:t>
      </w:r>
    </w:p>
    <w:p w14:paraId="3F50C055" w14:textId="53A6A0B7" w:rsidR="00F23E00" w:rsidRPr="005F62F4" w:rsidRDefault="00F23E00" w:rsidP="004F2931">
      <w:pPr>
        <w:pStyle w:val="Heading2"/>
      </w:pPr>
      <w:bookmarkStart w:id="96" w:name="_Toc119908594"/>
      <w:bookmarkStart w:id="97" w:name="_Toc120178310"/>
      <w:bookmarkStart w:id="98" w:name="_Ref128731584"/>
      <w:bookmarkStart w:id="99" w:name="_Ref128757399"/>
      <w:bookmarkStart w:id="100" w:name="_Toc129954601"/>
      <w:bookmarkStart w:id="101" w:name="_Ref119675317"/>
      <w:bookmarkEnd w:id="96"/>
      <w:r w:rsidRPr="005F62F4">
        <w:t xml:space="preserve">Trends in the use of surgical guides and </w:t>
      </w:r>
      <w:proofErr w:type="spellStart"/>
      <w:r w:rsidRPr="005F62F4">
        <w:t>biomodels</w:t>
      </w:r>
      <w:bookmarkEnd w:id="97"/>
      <w:bookmarkEnd w:id="98"/>
      <w:bookmarkEnd w:id="99"/>
      <w:bookmarkEnd w:id="100"/>
      <w:proofErr w:type="spellEnd"/>
    </w:p>
    <w:p w14:paraId="62B737DF" w14:textId="5C5B5C10" w:rsidR="00844DC2" w:rsidRPr="005F62F4" w:rsidRDefault="000447D6" w:rsidP="006C01E3">
      <w:pPr>
        <w:pStyle w:val="ParaKeep"/>
      </w:pPr>
      <w:r w:rsidRPr="005F62F4">
        <w:t>Th</w:t>
      </w:r>
      <w:r w:rsidR="00773C1E" w:rsidRPr="005F62F4">
        <w:t>is review found that th</w:t>
      </w:r>
      <w:r w:rsidRPr="005F62F4">
        <w:t xml:space="preserve">e </w:t>
      </w:r>
      <w:r w:rsidR="00B33DF4" w:rsidRPr="005F62F4">
        <w:t xml:space="preserve">use of surgical guides and </w:t>
      </w:r>
      <w:proofErr w:type="spellStart"/>
      <w:r w:rsidR="00B33DF4" w:rsidRPr="005F62F4">
        <w:t>biomodels</w:t>
      </w:r>
      <w:proofErr w:type="spellEnd"/>
      <w:r w:rsidR="00943E46" w:rsidRPr="005F62F4">
        <w:t xml:space="preserve"> </w:t>
      </w:r>
      <w:r w:rsidRPr="005F62F4">
        <w:t>is likely to</w:t>
      </w:r>
      <w:r w:rsidR="00B33DF4" w:rsidRPr="005F62F4">
        <w:t xml:space="preserve"> continue </w:t>
      </w:r>
      <w:r w:rsidR="009F21BD" w:rsidRPr="005F62F4">
        <w:t xml:space="preserve">to grow </w:t>
      </w:r>
      <w:r w:rsidR="00B33DF4" w:rsidRPr="005F62F4">
        <w:t>and broaden</w:t>
      </w:r>
      <w:r w:rsidR="0080425C" w:rsidRPr="005F62F4">
        <w:t xml:space="preserve"> in the future</w:t>
      </w:r>
      <w:r w:rsidR="006E4CB8" w:rsidRPr="005F62F4">
        <w:t xml:space="preserve">, driven by </w:t>
      </w:r>
      <w:r w:rsidR="0080425C" w:rsidRPr="005F62F4">
        <w:t xml:space="preserve">the </w:t>
      </w:r>
      <w:r w:rsidR="00970248" w:rsidRPr="005F62F4">
        <w:t xml:space="preserve">same </w:t>
      </w:r>
      <w:r w:rsidR="000A5B8A" w:rsidRPr="005F62F4">
        <w:t xml:space="preserve">factors </w:t>
      </w:r>
      <w:r w:rsidR="009B2E39" w:rsidRPr="005F62F4">
        <w:t>influencing</w:t>
      </w:r>
      <w:r w:rsidR="000A5B8A" w:rsidRPr="005F62F4">
        <w:t xml:space="preserve"> </w:t>
      </w:r>
      <w:r w:rsidR="00016FCE" w:rsidRPr="005F62F4">
        <w:t>r</w:t>
      </w:r>
      <w:r w:rsidR="000A5B8A" w:rsidRPr="005F62F4">
        <w:t>ecent growth</w:t>
      </w:r>
      <w:r w:rsidR="00706438" w:rsidRPr="005F62F4">
        <w:t>.</w:t>
      </w:r>
    </w:p>
    <w:p w14:paraId="5B5E681A" w14:textId="5224FAE2" w:rsidR="00844DC2" w:rsidRPr="005F62F4" w:rsidRDefault="00B14C0D" w:rsidP="00844DC2">
      <w:pPr>
        <w:pStyle w:val="Para"/>
      </w:pPr>
      <w:r w:rsidRPr="005F62F4">
        <w:t>S</w:t>
      </w:r>
      <w:r w:rsidR="00CF0ABB" w:rsidRPr="005F62F4">
        <w:t xml:space="preserve">urgical guides and </w:t>
      </w:r>
      <w:proofErr w:type="spellStart"/>
      <w:r w:rsidR="00CF0ABB" w:rsidRPr="005F62F4">
        <w:t>biomodels</w:t>
      </w:r>
      <w:proofErr w:type="spellEnd"/>
      <w:r w:rsidR="00CF0ABB" w:rsidRPr="005F62F4">
        <w:t xml:space="preserve"> </w:t>
      </w:r>
      <w:r w:rsidR="006C01E3" w:rsidRPr="005F62F4">
        <w:t>ha</w:t>
      </w:r>
      <w:r w:rsidR="002D4144" w:rsidRPr="005F62F4">
        <w:t>ve</w:t>
      </w:r>
      <w:r w:rsidR="00CF0ABB" w:rsidRPr="005F62F4">
        <w:t xml:space="preserve"> </w:t>
      </w:r>
      <w:r w:rsidR="00BE2F1D" w:rsidRPr="005F62F4">
        <w:t>become a standard part of clinical practice</w:t>
      </w:r>
      <w:r w:rsidR="00CF0ABB" w:rsidRPr="005F62F4">
        <w:t xml:space="preserve"> and </w:t>
      </w:r>
      <w:r w:rsidR="00085FA2" w:rsidRPr="005F62F4">
        <w:rPr>
          <w:lang w:eastAsia="en-AU"/>
        </w:rPr>
        <w:t xml:space="preserve">will continue to be used in </w:t>
      </w:r>
      <w:r w:rsidR="00D63F39" w:rsidRPr="005F62F4">
        <w:rPr>
          <w:lang w:eastAsia="en-AU"/>
        </w:rPr>
        <w:t>a</w:t>
      </w:r>
      <w:r w:rsidR="00857A57" w:rsidRPr="005F62F4">
        <w:rPr>
          <w:lang w:eastAsia="en-AU"/>
        </w:rPr>
        <w:t xml:space="preserve"> growing</w:t>
      </w:r>
      <w:r w:rsidR="00822CF7" w:rsidRPr="005F62F4">
        <w:rPr>
          <w:lang w:eastAsia="en-AU"/>
        </w:rPr>
        <w:t xml:space="preserve"> </w:t>
      </w:r>
      <w:r w:rsidR="00D63F39" w:rsidRPr="005F62F4">
        <w:rPr>
          <w:lang w:eastAsia="en-AU"/>
        </w:rPr>
        <w:t>range of simple and complex procedures</w:t>
      </w:r>
      <w:r w:rsidR="00857A57" w:rsidRPr="005F62F4">
        <w:rPr>
          <w:lang w:eastAsia="en-AU"/>
        </w:rPr>
        <w:t>.</w:t>
      </w:r>
      <w:r w:rsidR="00844DC2" w:rsidRPr="005F62F4">
        <w:rPr>
          <w:lang w:eastAsia="en-AU"/>
        </w:rPr>
        <w:t xml:space="preserve"> </w:t>
      </w:r>
      <w:r w:rsidR="00844DC2" w:rsidRPr="005F62F4" w:rsidDel="008924EA">
        <w:t xml:space="preserve">The use of surgical guides and </w:t>
      </w:r>
      <w:proofErr w:type="spellStart"/>
      <w:r w:rsidR="00844DC2" w:rsidRPr="005F62F4" w:rsidDel="008924EA">
        <w:t>biomodels</w:t>
      </w:r>
      <w:proofErr w:type="spellEnd"/>
      <w:r w:rsidR="00844DC2" w:rsidRPr="005F62F4" w:rsidDel="008924EA">
        <w:t xml:space="preserve"> is now incorporated into surgical training: we heard that trainee oral and maxillofacial surgeons are assessed in the use of surgical guides and </w:t>
      </w:r>
      <w:proofErr w:type="spellStart"/>
      <w:r w:rsidR="00844DC2" w:rsidRPr="005F62F4" w:rsidDel="008924EA">
        <w:t>biomodels</w:t>
      </w:r>
      <w:proofErr w:type="spellEnd"/>
      <w:r w:rsidR="00844DC2" w:rsidRPr="005F62F4" w:rsidDel="008924EA">
        <w:t xml:space="preserve"> in clinical exams. </w:t>
      </w:r>
      <w:r w:rsidR="007453B6" w:rsidRPr="005F62F4">
        <w:t>In addition, s</w:t>
      </w:r>
      <w:r w:rsidR="002862AC" w:rsidRPr="005F62F4">
        <w:t xml:space="preserve">ponsors reportedly host education and training events </w:t>
      </w:r>
      <w:r w:rsidR="007453B6" w:rsidRPr="005F62F4">
        <w:t xml:space="preserve">to upskill </w:t>
      </w:r>
      <w:r w:rsidR="002862AC" w:rsidRPr="005F62F4">
        <w:t xml:space="preserve">registrars in the use of their products. </w:t>
      </w:r>
      <w:r w:rsidR="00844DC2" w:rsidRPr="005F62F4" w:rsidDel="008924EA">
        <w:t xml:space="preserve">As a result, growth in the use of surgical guides and </w:t>
      </w:r>
      <w:proofErr w:type="spellStart"/>
      <w:r w:rsidR="00844DC2" w:rsidRPr="005F62F4" w:rsidDel="008924EA">
        <w:t>biomodels</w:t>
      </w:r>
      <w:proofErr w:type="spellEnd"/>
      <w:r w:rsidR="00844DC2" w:rsidRPr="005F62F4" w:rsidDel="008924EA">
        <w:t xml:space="preserve"> is expected to continue, particularly among younger surgeons.</w:t>
      </w:r>
    </w:p>
    <w:p w14:paraId="62696D47" w14:textId="1E4876B8" w:rsidR="00844DC2" w:rsidRPr="005F62F4" w:rsidRDefault="00844DC2" w:rsidP="00421DB5">
      <w:pPr>
        <w:pStyle w:val="Para"/>
      </w:pPr>
      <w:r w:rsidRPr="005F62F4">
        <w:t xml:space="preserve">Coupled with the positive outcomes experienced by surgeons, the use of surgical guides and </w:t>
      </w:r>
      <w:proofErr w:type="spellStart"/>
      <w:r w:rsidRPr="005F62F4">
        <w:t>biomodels</w:t>
      </w:r>
      <w:proofErr w:type="spellEnd"/>
      <w:r w:rsidRPr="005F62F4">
        <w:t xml:space="preserve">, as well as patient-specific implants, has accelerated across a range of surgical contexts. Trends in the </w:t>
      </w:r>
      <w:r w:rsidRPr="005F62F4">
        <w:rPr>
          <w:rStyle w:val="QuoteChar"/>
          <w:rFonts w:eastAsia="MS Mincho"/>
        </w:rPr>
        <w:t>g</w:t>
      </w:r>
      <w:r w:rsidRPr="005F62F4">
        <w:t xml:space="preserve">rowth of the use of surgical guides and </w:t>
      </w:r>
      <w:proofErr w:type="spellStart"/>
      <w:r w:rsidRPr="005F62F4">
        <w:t>biomodels</w:t>
      </w:r>
      <w:proofErr w:type="spellEnd"/>
      <w:r w:rsidRPr="005F62F4">
        <w:t xml:space="preserve"> </w:t>
      </w:r>
      <w:r w:rsidR="00AF3373" w:rsidRPr="005F62F4">
        <w:t>are</w:t>
      </w:r>
      <w:r w:rsidRPr="005F62F4">
        <w:t xml:space="preserve"> also observed in utilisation data (see </w:t>
      </w:r>
      <w:r w:rsidRPr="005F62F4">
        <w:fldChar w:fldCharType="begin"/>
      </w:r>
      <w:r w:rsidRPr="005F62F4">
        <w:instrText xml:space="preserve"> REF _Ref119398618 \n \h  \* MERGEFORMAT </w:instrText>
      </w:r>
      <w:r w:rsidRPr="005F62F4">
        <w:fldChar w:fldCharType="separate"/>
      </w:r>
      <w:r w:rsidR="005606BF">
        <w:t>Section 3</w:t>
      </w:r>
      <w:r w:rsidRPr="005F62F4">
        <w:fldChar w:fldCharType="end"/>
      </w:r>
      <w:r w:rsidRPr="005F62F4">
        <w:t xml:space="preserve"> for a detailed analysis)</w:t>
      </w:r>
      <w:r w:rsidRPr="005F62F4" w:rsidDel="00EC34FD">
        <w:t xml:space="preserve"> </w:t>
      </w:r>
      <w:r w:rsidRPr="005F62F4">
        <w:t xml:space="preserve">and in grey and peer-reviewed literature </w:t>
      </w:r>
      <w:r w:rsidRPr="005F62F4">
        <w:fldChar w:fldCharType="begin" w:fldLock="1"/>
      </w:r>
      <w:r w:rsidRPr="005F62F4">
        <w:instrText>ADDIN CSL_CITATION {"citationItems":[{"id":"ITEM-1","itemData":{"DOI":"10.1186/s41205-017-0012-5","abstract":"Medical 3D printing is expanding exponentially, with tremendous potential yet to be realized in nearly all facets of medicine. Unfortunately, multiple informal subdomain-specific isolated terminological ‘silos’ where disparate terminology is used for similar concepts are also arising as rapidly. It is imperative to formalize the foundational terminology at this early stage to facilitate future knowledge integration, collaborative research, and appropriate reimbursement. The purpose of this work is to develop objective, literature-based consensus-building methodology for the medical 3D printing domain to support expert consensus. We first quantitatively survey the temporal, conceptual, and geographic diversity of all existing published applications within medical 3D printing literature and establish the existence of self-isolating research clusters. We then demonstrate an automated objective methodology to aid in establishing a terminological consensus for the field based on objective analysis of the existing literature. The resultant analysis provides a rich overview of the 3D printing literature, including publication statistics and trends globally, chronologically, technologically, and within each major medical discipline. The proposed methodology is used to objectively establish the dominance of the term “3D printing” to represent a collection of technologies that produce physical models in the medical setting. We demonstrate that specific domains do not use this term in line with objective consensus and call for its universal adoption. Our methodology can be applied to the entirety of medical 3D printing literature to obtain a complete, validated, and objective set of recommended and synonymous definitions to aid expert bodies in building ontological consensus.","author":[{"dropping-particle":"","family":"Chepelev","given":"Leonid","non-dropping-particle":"","parse-names":false,"suffix":""},{"dropping-particle":"","family":"Giannopoulos","given":"Andreas","non-dropping-particle":"","parse-names":false,"suffix":""},{"dropping-particle":"","family":"Tang","given":"Anji","non-dropping-particle":"","parse-names":false,"suffix":""},{"dropping-particle":"","family":"Mitsouras","given":"Dimitrios","non-dropping-particle":"","parse-names":false,"suffix":""},{"dropping-particle":"","family":"Rybicki","given":"Frank J.","non-dropping-particle":"","parse-names":false,"suffix":""}],"container-title":"3D Printing in Medicine","id":"ITEM-1","issue":"1","issued":{"date-parts":[["2017"]]},"publisher":"3D Printing in Medicine","title":"Medical 3D printing: methods to standardize terminology and report trends","type":"article-journal","volume":"3"},"uris":["http://www.mendeley.com/documents/?uuid=4952d96b-cc7b-4abb-9c70-23d4db8cac2b"]},{"id":"ITEM-2","itemData":{"author":[{"dropping-particle":"","family":"Meglioli","given":"M","non-dropping-particle":"","parse-names":false,"suffix":""},{"dropping-particle":"","family":"Naveau","given":"A","non-dropping-particle":"","parse-names":false,"suffix":""},{"dropping-particle":"","family":"Macaluso","given":"GM","non-dropping-particle":"","parse-names":false,"suffix":""},{"dropping-particle":"","family":"Catros","given":"S","non-dropping-particle":"","parse-names":false,"suffix":""}],"container-title":"3D Printing in Medicine","id":"ITEM-2","issue":"1","issued":{"date-parts":[["2020"]]},"page":"30","title":"3D printed bone models in oral and craniomaxillofacial surgery: a systematic review","type":"article-journal","volume":"6"},"uris":["http://www.mendeley.com/documents/?uuid=7b876947-60fc-482d-b995-b78f486404da"]},{"id":"ITEM-3","itemData":{"DOI":"10.1186/s12938-016-0236-4","ISSN":"1475-925X","author":[{"dropping-particle":"","family":"Tack","given":"Philip","non-dropping-particle":"","parse-names":false,"suffix":""},{"dropping-particle":"","family":"Victor","given":"Jan","non-dropping-particle":"","parse-names":false,"suffix":""},{"dropping-particle":"","family":"Gemmel","given":"Paul","non-dropping-particle":"","parse-names":false,"suffix":""},{"dropping-particle":"","family":"Annemans","given":"Lieven","non-dropping-particle":"","parse-names":false,"suffix":""}],"container-title":"BioMedical Engineering OnLine","id":"ITEM-3","issued":{"date-parts":[["2016"]]},"page":"115","publisher":"BioMed Central","title":"3D‑printing techniques in a medical setting: a systematic literature review","type":"article-journal","volume":"15"},"uris":["http://www.mendeley.com/documents/?uuid=abf6f559-1833-493d-85ca-0f42291280ff"]},{"id":"ITEM-4","itemData":{"DOI":"10.15761/bem.1000164","author":[{"dropping-particle":"","family":"Ansari","given":"Umair Hussain","non-dropping-particle":"","parse-names":false,"suffix":""},{"dropping-particle":"","family":"Thompson","given":"Robert","non-dropping-particle":"","parse-names":false,"suffix":""},{"dropping-particle":"","family":"Hoffman","given":"Gary Russell","non-dropping-particle":"","parse-names":false,"suffix":""}],"container-title":"Biology, Engineering and Medicine","id":"ITEM-4","issue":"1","issued":{"date-parts":[["2019"]]},"page":"1-5","title":"Computerized tomographic assisted biomodel fabrication utilizing 3D printing is a useful adjunct to facilitate the surgical resection and/or reconstruction of the maxillofacial skeleton: a 16-year institutional review","type":"article-journal","volume":"4"},"uris":["http://www.mendeley.com/documents/?uuid=187ea175-9ae8-424e-8ca9-15a4169ee383"]},{"id":"ITEM-5","itemData":{"ISSN":"03014894","PMID":"10773985","URL":"https://futureofsurgery.rcseng.ac.uk/report-2018/","abstract":"Most current surgical techniques were developed in the 20th century, especially during the past 50 years. Open heart surgery, vascular surgery, neonatal surgery, organ transplantation and artificial organs, microsurgery, intravenous hyperalimentation, and, more recently, endoscopic surgery emerged during the past five decades. Many of the dreams of surgeons in the past have now been realized. These advances in surgery were made possible by the development of new technologies and instrumentation, but most importantly were initiated by the pioneering spirit of surgeons. This will continue on in the next century, since history shows that classical or conventional treatment modalities are constantly changing and being replaced by new ones based on new ideas and technologies. In this age of molecular biology, gene therapy, computer science, and the Internet, the pace of change in medicine and surgery will accelerate. Systems for training and communications, and even medical ethics, will inevitably change. We may not be able to predict precisely the future changes in surgery and surgeons, but we must be prepared for them and steer the future of surgery for the benefit of patients.","accessed":{"date-parts":[["2023","2","3"]]},"author":[{"dropping-particle":"","family":"Royal College of Surgeons of England","given":"","non-dropping-particle":"","parse-names":false,"suffix":""}],"container-title":"Royal College of Surgeons of England website","id":"ITEM-5","issued":{"date-parts":[["2018"]]},"title":"Future of surgery","type":"webpage"},"uris":["http://www.mendeley.com/documents/?uuid=809b70ab-2a77-41f9-8146-2e8332df211e"]}],"mendeley":{"formattedCitation":"(Ansari et al. 2019; Chepelev et al. 2017; Meglioli et al. 2020; Royal College of Surgeons of England 2018; Tack et al. 2016)","plainTextFormattedCitation":"(Ansari et al. 2019; Chepelev et al. 2017; Meglioli et al. 2020; Royal College of Surgeons of England 2018; Tack et al. 2016)","previouslyFormattedCitation":"(Ansari et al. 2019; Chepelev et al. 2017; Meglioli et al. 2020; Royal College of Surgeons of England 2018; Tack et al. 2016)"},"properties":{"noteIndex":0},"schema":"https://github.com/citation-style-language/schema/raw/master/csl-citation.json"}</w:instrText>
      </w:r>
      <w:r w:rsidRPr="005F62F4">
        <w:fldChar w:fldCharType="separate"/>
      </w:r>
      <w:r w:rsidRPr="005F62F4">
        <w:rPr>
          <w:noProof/>
        </w:rPr>
        <w:t>(Ansari et al. 2019; Chepelev et al. 2017; Meglioli et al. 2020; Royal College of Surgeons of England 2018; Tack et al. 2016)</w:t>
      </w:r>
      <w:r w:rsidRPr="005F62F4">
        <w:fldChar w:fldCharType="end"/>
      </w:r>
      <w:r w:rsidRPr="005F62F4">
        <w:t>.</w:t>
      </w:r>
    </w:p>
    <w:p w14:paraId="7E4B66F7" w14:textId="6AB667AD" w:rsidR="00844DC2" w:rsidRPr="005F62F4" w:rsidRDefault="00844DC2" w:rsidP="004F2931">
      <w:pPr>
        <w:pStyle w:val="Heading3"/>
      </w:pPr>
      <w:r w:rsidRPr="005F62F4">
        <w:t>Emerging technologies</w:t>
      </w:r>
    </w:p>
    <w:p w14:paraId="06459796" w14:textId="4685996B" w:rsidR="00421DB5" w:rsidRPr="005F62F4" w:rsidRDefault="002A4979" w:rsidP="00421DB5">
      <w:pPr>
        <w:pStyle w:val="Para"/>
      </w:pPr>
      <w:r w:rsidRPr="005F62F4">
        <w:t>T</w:t>
      </w:r>
      <w:r w:rsidR="00421DB5" w:rsidRPr="005F62F4">
        <w:t xml:space="preserve">his review </w:t>
      </w:r>
      <w:r w:rsidRPr="005F62F4">
        <w:t xml:space="preserve">also </w:t>
      </w:r>
      <w:r w:rsidR="00421DB5" w:rsidRPr="005F62F4">
        <w:t xml:space="preserve">identified </w:t>
      </w:r>
      <w:r w:rsidR="00416898" w:rsidRPr="005F62F4">
        <w:t xml:space="preserve">emerging </w:t>
      </w:r>
      <w:r w:rsidR="00421DB5" w:rsidRPr="005F62F4">
        <w:t>technolog</w:t>
      </w:r>
      <w:r w:rsidR="0067619F" w:rsidRPr="005F62F4">
        <w:t>ies</w:t>
      </w:r>
      <w:r w:rsidR="00421DB5" w:rsidRPr="005F62F4">
        <w:t xml:space="preserve"> that are likely to influence future trends in the use of surgical guides and </w:t>
      </w:r>
      <w:proofErr w:type="spellStart"/>
      <w:r w:rsidR="00421DB5" w:rsidRPr="005F62F4">
        <w:t>biomodels</w:t>
      </w:r>
      <w:proofErr w:type="spellEnd"/>
      <w:r w:rsidR="0067619F" w:rsidRPr="005F62F4">
        <w:t>.</w:t>
      </w:r>
    </w:p>
    <w:p w14:paraId="17EF5AEB" w14:textId="063C3227" w:rsidR="00F23E00" w:rsidRPr="005F62F4" w:rsidRDefault="00F23E00" w:rsidP="00F23E00">
      <w:pPr>
        <w:pStyle w:val="Para"/>
      </w:pPr>
      <w:r w:rsidRPr="005F62F4">
        <w:t>There was widespread acknowledg</w:t>
      </w:r>
      <w:r w:rsidR="0092170B" w:rsidRPr="005F62F4">
        <w:t>ment</w:t>
      </w:r>
      <w:r w:rsidRPr="005F62F4">
        <w:t xml:space="preserve"> among stakeholders that there is an increasing trend in the use of digital health and custom</w:t>
      </w:r>
      <w:r w:rsidR="00684C07">
        <w:t>-</w:t>
      </w:r>
      <w:r w:rsidRPr="005F62F4">
        <w:t xml:space="preserve">made devices in surgery, aided by advances in virtual surgical planning, custom </w:t>
      </w:r>
      <w:r w:rsidR="00C07016" w:rsidRPr="005F62F4">
        <w:t xml:space="preserve">computer-aided design and manufacturing </w:t>
      </w:r>
      <w:r w:rsidRPr="005F62F4">
        <w:t>(CAD/CAM) and 3D</w:t>
      </w:r>
      <w:r w:rsidR="00C07016" w:rsidRPr="005F62F4">
        <w:t> </w:t>
      </w:r>
      <w:r w:rsidRPr="005F62F4">
        <w:t>printing technologies, particularly over the past 5 years.</w:t>
      </w:r>
    </w:p>
    <w:p w14:paraId="6AD12A85" w14:textId="408D6262" w:rsidR="00F23E00" w:rsidRPr="005F62F4" w:rsidRDefault="00F23E00" w:rsidP="00F23E00">
      <w:pPr>
        <w:pStyle w:val="Para"/>
      </w:pPr>
      <w:r w:rsidRPr="005F62F4">
        <w:rPr>
          <w:rStyle w:val="ParaChar"/>
        </w:rPr>
        <w:t xml:space="preserve">Surgical guides and physical </w:t>
      </w:r>
      <w:proofErr w:type="spellStart"/>
      <w:r w:rsidRPr="005F62F4">
        <w:rPr>
          <w:rStyle w:val="ParaChar"/>
        </w:rPr>
        <w:t>biomodels</w:t>
      </w:r>
      <w:proofErr w:type="spellEnd"/>
      <w:r w:rsidRPr="005F62F4">
        <w:rPr>
          <w:rStyle w:val="ParaChar"/>
        </w:rPr>
        <w:t xml:space="preserve"> are printed using </w:t>
      </w:r>
      <w:r w:rsidRPr="005F62F4">
        <w:t xml:space="preserve">additive manufacturing’ processes (more commonly known as </w:t>
      </w:r>
      <w:r w:rsidRPr="005F62F4">
        <w:rPr>
          <w:rStyle w:val="ParaChar"/>
        </w:rPr>
        <w:t>‘</w:t>
      </w:r>
      <w:r w:rsidRPr="005F62F4">
        <w:t>3D printing’)</w:t>
      </w:r>
      <w:r w:rsidRPr="005F62F4" w:rsidDel="00911F4C">
        <w:t>.</w:t>
      </w:r>
      <w:r w:rsidRPr="005F62F4">
        <w:t xml:space="preserve"> The most common types of processes used in additive manufacturing are ‘rapid prototyping’, and ‘stereolithography’ processes. </w:t>
      </w:r>
      <w:r w:rsidR="00844DC2" w:rsidRPr="005F62F4">
        <w:t>Recent a</w:t>
      </w:r>
      <w:r w:rsidRPr="005F62F4">
        <w:t>dvances include bioprinting techniques that combine living cells with supportive biomaterials as patient</w:t>
      </w:r>
      <w:r w:rsidR="006A039F" w:rsidRPr="005F62F4">
        <w:t>-</w:t>
      </w:r>
      <w:r w:rsidRPr="005F62F4">
        <w:t xml:space="preserve">specific implants </w:t>
      </w:r>
      <w:r w:rsidRPr="005F62F4">
        <w:fldChar w:fldCharType="begin" w:fldLock="1"/>
      </w:r>
      <w:r w:rsidRPr="005F62F4">
        <w:instrText>ADDIN CSL_CITATION {"citationItems":[{"id":"ITEM-1","itemData":{"DOI":"10.1186/s41205-017-0012-5","abstract":"Medical 3D printing is expanding exponentially, with tremendous potential yet to be realized in nearly all facets of medicine. Unfortunately, multiple informal subdomain-specific isolated terminological ‘silos’ where disparate terminology is used for similar concepts are also arising as rapidly. It is imperative to formalize the foundational terminology at this early stage to facilitate future knowledge integration, collaborative research, and appropriate reimbursement. The purpose of this work is to develop objective, literature-based consensus-building methodology for the medical 3D printing domain to support expert consensus. We first quantitatively survey the temporal, conceptual, and geographic diversity of all existing published applications within medical 3D printing literature and establish the existence of self-isolating research clusters. We then demonstrate an automated objective methodology to aid in establishing a terminological consensus for the field based on objective analysis of the existing literature. The resultant analysis provides a rich overview of the 3D printing literature, including publication statistics and trends globally, chronologically, technologically, and within each major medical discipline. The proposed methodology is used to objectively establish the dominance of the term “3D printing” to represent a collection of technologies that produce physical models in the medical setting. We demonstrate that specific domains do not use this term in line with objective consensus and call for its universal adoption. Our methodology can be applied to the entirety of medical 3D printing literature to obtain a complete, validated, and objective set of recommended and synonymous definitions to aid expert bodies in building ontological consensus.","author":[{"dropping-particle":"","family":"Chepelev","given":"Leonid","non-dropping-particle":"","parse-names":false,"suffix":""},{"dropping-particle":"","family":"Giannopoulos","given":"Andreas","non-dropping-particle":"","parse-names":false,"suffix":""},{"dropping-particle":"","family":"Tang","given":"Anji","non-dropping-particle":"","parse-names":false,"suffix":""},{"dropping-particle":"","family":"Mitsouras","given":"Dimitrios","non-dropping-particle":"","parse-names":false,"suffix":""},{"dropping-particle":"","family":"Rybicki","given":"Frank J.","non-dropping-particle":"","parse-names":false,"suffix":""}],"container-title":"3D Printing in Medicine","id":"ITEM-1","issue":"1","issued":{"date-parts":[["2017"]]},"publisher":"3D Printing in Medicine","title":"Medical 3D printing: methods to standardize terminology and report trends","type":"article-journal","volume":"3"},"uris":["http://www.mendeley.com/documents/?uuid=4952d96b-cc7b-4abb-9c70-23d4db8cac2b"]},{"id":"ITEM-2","itemData":{"PMID":"31211545","author":[{"dropping-particle":"","family":"Mason","given":"Jeff","non-dropping-particle":"","parse-names":false,"suffix":""},{"dropping-particle":"","family":"Visintini","given":"Sarah","non-dropping-particle":"","parse-names":false,"suffix":""},{"dropping-particle":"","family":"Quay","given":"Teo","non-dropping-particle":"","parse-names":false,"suffix":""}],"collection-title":"CADTH Issues in Emerging Health Technologies","container-title":"CADTH Issues in Emerging Health Technologies","id":"ITEM-2","issued":{"date-parts":[["2019"]]},"publisher":"Issue 175","publisher-place":"Ottawa","title":"An overview of clinical applications of 3-D printing and bioprinting","type":"book","volume":"175"},"uris":["http://www.mendeley.com/documents/?uuid=caf06370-867f-43ad-a104-c884404f81ee"]}],"mendeley":{"formattedCitation":"(Chepelev et al. 2017; Mason et al. 2019)","plainTextFormattedCitation":"(Chepelev et al. 2017; Mason et al. 2019)","previouslyFormattedCitation":"(Chepelev et al. 2017; Mason et al. 2019)"},"properties":{"noteIndex":0},"schema":"https://github.com/citation-style-language/schema/raw/master/csl-citation.json"}</w:instrText>
      </w:r>
      <w:r w:rsidRPr="005F62F4">
        <w:fldChar w:fldCharType="separate"/>
      </w:r>
      <w:r w:rsidRPr="005F62F4">
        <w:rPr>
          <w:noProof/>
        </w:rPr>
        <w:t>(Chepelev et al. 2017; Mason et al. 2019)</w:t>
      </w:r>
      <w:r w:rsidRPr="005F62F4">
        <w:fldChar w:fldCharType="end"/>
      </w:r>
      <w:r w:rsidR="00C81C25" w:rsidRPr="005F62F4">
        <w:t>.</w:t>
      </w:r>
    </w:p>
    <w:p w14:paraId="3AB950DB" w14:textId="0E5B807B" w:rsidR="004A523E" w:rsidRPr="005F62F4" w:rsidRDefault="004A523E" w:rsidP="004A523E">
      <w:pPr>
        <w:pStyle w:val="Para"/>
      </w:pPr>
      <w:r w:rsidRPr="005F62F4">
        <w:lastRenderedPageBreak/>
        <w:t xml:space="preserve">In addition to changing the way that surgeons work, stakeholders also explained that the growing market for virtual surgical planning (including surgical guides and </w:t>
      </w:r>
      <w:proofErr w:type="spellStart"/>
      <w:r w:rsidRPr="005F62F4">
        <w:t>biomodels</w:t>
      </w:r>
      <w:proofErr w:type="spellEnd"/>
      <w:r w:rsidRPr="005F62F4">
        <w:t>) has created a new medical technology job stream involving sponsors, biomedical engineers</w:t>
      </w:r>
      <w:r w:rsidR="00A26E8E" w:rsidRPr="005F62F4">
        <w:t xml:space="preserve"> and</w:t>
      </w:r>
      <w:r w:rsidRPr="005F62F4">
        <w:t xml:space="preserve"> technicians working with surgeons and registrars.</w:t>
      </w:r>
    </w:p>
    <w:p w14:paraId="224AD1A7" w14:textId="77777777" w:rsidR="00455060" w:rsidRPr="005F62F4" w:rsidRDefault="00455060" w:rsidP="004F2931">
      <w:pPr>
        <w:pStyle w:val="Heading3"/>
      </w:pPr>
      <w:r w:rsidRPr="005F62F4">
        <w:t>Point-of-care manufacturing</w:t>
      </w:r>
    </w:p>
    <w:p w14:paraId="17F02308" w14:textId="11C2A3E3" w:rsidR="000301AD" w:rsidRPr="005F62F4" w:rsidRDefault="00555426" w:rsidP="0089718A">
      <w:pPr>
        <w:pStyle w:val="ParaKeep"/>
      </w:pPr>
      <w:r w:rsidRPr="005F62F4">
        <w:t xml:space="preserve">Advances in 3D printing technologies have </w:t>
      </w:r>
      <w:r w:rsidR="0096524E" w:rsidRPr="005F62F4">
        <w:t>led</w:t>
      </w:r>
      <w:r w:rsidRPr="005F62F4">
        <w:t xml:space="preserve"> to the emergence of </w:t>
      </w:r>
      <w:r w:rsidR="004A523E" w:rsidRPr="005F62F4">
        <w:t>point</w:t>
      </w:r>
      <w:r w:rsidR="008E72A4" w:rsidRPr="005F62F4">
        <w:t>-</w:t>
      </w:r>
      <w:r w:rsidR="004A523E" w:rsidRPr="005F62F4">
        <w:t>of</w:t>
      </w:r>
      <w:r w:rsidR="008E72A4" w:rsidRPr="005F62F4">
        <w:t>-</w:t>
      </w:r>
      <w:r w:rsidR="004A523E" w:rsidRPr="005F62F4">
        <w:t>care manufacturing of medical technology in public hospital setting</w:t>
      </w:r>
      <w:r w:rsidR="00B51D0B" w:rsidRPr="005F62F4">
        <w:t>s</w:t>
      </w:r>
      <w:r w:rsidR="004A523E" w:rsidRPr="005F62F4">
        <w:t>, both in Australia and internationally</w:t>
      </w:r>
      <w:r w:rsidR="00D251B4" w:rsidRPr="005F62F4">
        <w:t xml:space="preserve">. </w:t>
      </w:r>
      <w:r w:rsidR="009B2183" w:rsidRPr="005F62F4">
        <w:t>This trend was highlighted by several stakeholders,</w:t>
      </w:r>
      <w:r w:rsidR="00915AEC" w:rsidRPr="005F62F4">
        <w:t xml:space="preserve"> as well as in the literature.</w:t>
      </w:r>
    </w:p>
    <w:p w14:paraId="727CB0B6" w14:textId="77777777" w:rsidR="000301AD" w:rsidRPr="005F62F4" w:rsidRDefault="000301AD" w:rsidP="000301AD">
      <w:pPr>
        <w:pStyle w:val="IntenseQuote"/>
      </w:pPr>
      <w:r w:rsidRPr="005F62F4">
        <w:t xml:space="preserve">3D planning and printing technologies are likely to become widely available in major hospitals, reaching more medical specialties. The field of 3D printing is expected to grow exponentially, with the healthcare sector projected to be the fastest growing segment of the market. </w:t>
      </w:r>
      <w:r w:rsidRPr="005F62F4">
        <w:fldChar w:fldCharType="begin" w:fldLock="1"/>
      </w:r>
      <w:r w:rsidRPr="005F62F4">
        <w:instrText>ADDIN CSL_CITATION {"citationItems":[{"id":"ITEM-1","itemData":{"ISSN":"03014894","PMID":"10773985","URL":"https://futureofsurgery.rcseng.ac.uk/report-2018/","abstract":"Most current surgical techniques were developed in the 20th century, especially during the past 50 years. Open heart surgery, vascular surgery, neonatal surgery, organ transplantation and artificial organs, microsurgery, intravenous hyperalimentation, and, more recently, endoscopic surgery emerged during the past five decades. Many of the dreams of surgeons in the past have now been realized. These advances in surgery were made possible by the development of new technologies and instrumentation, but most importantly were initiated by the pioneering spirit of surgeons. This will continue on in the next century, since history shows that classical or conventional treatment modalities are constantly changing and being replaced by new ones based on new ideas and technologies. In this age of molecular biology, gene therapy, computer science, and the Internet, the pace of change in medicine and surgery will accelerate. Systems for training and communications, and even medical ethics, will inevitably change. We may not be able to predict precisely the future changes in surgery and surgeons, but we must be prepared for them and steer the future of surgery for the benefit of patients.","accessed":{"date-parts":[["2023","2","3"]]},"author":[{"dropping-particle":"","family":"Royal College of Surgeons of England","given":"","non-dropping-particle":"","parse-names":false,"suffix":""}],"container-title":"Royal College of Surgeons of England website","id":"ITEM-1","issued":{"date-parts":[["2018"]]},"title":"Future of surgery","type":"webpage"},"uris":["http://www.mendeley.com/documents/?uuid=809b70ab-2a77-41f9-8146-2e8332df211e"]}],"mendeley":{"formattedCitation":"(Royal College of Surgeons of England 2018)","manualFormatting":"(Royal College of Surgeons of England 2018, p. 42)","plainTextFormattedCitation":"(Royal College of Surgeons of England 2018)","previouslyFormattedCitation":"(Royal College of Surgeons of England 2018)"},"properties":{"noteIndex":0},"schema":"https://github.com/citation-style-language/schema/raw/master/csl-citation.json"}</w:instrText>
      </w:r>
      <w:r w:rsidRPr="005F62F4">
        <w:fldChar w:fldCharType="separate"/>
      </w:r>
      <w:r w:rsidRPr="005F62F4">
        <w:rPr>
          <w:noProof/>
        </w:rPr>
        <w:t>(Royal College of Surgeons of England 2018, p. 42)</w:t>
      </w:r>
      <w:r w:rsidRPr="005F62F4">
        <w:fldChar w:fldCharType="end"/>
      </w:r>
    </w:p>
    <w:p w14:paraId="2B42A846" w14:textId="675CA3A8" w:rsidR="0048789B" w:rsidRPr="005F62F4" w:rsidRDefault="007600AC" w:rsidP="006A76DB">
      <w:pPr>
        <w:pStyle w:val="Para"/>
      </w:pPr>
      <w:r w:rsidRPr="005F62F4">
        <w:t>The potential bene</w:t>
      </w:r>
      <w:r w:rsidR="00AE6A90" w:rsidRPr="005F62F4">
        <w:t xml:space="preserve">fits of point-of-care manufacturing were highlighted in a report on </w:t>
      </w:r>
      <w:r w:rsidR="004A523E" w:rsidRPr="005F62F4">
        <w:t xml:space="preserve">an in-house medical 3D printing laboratory in </w:t>
      </w:r>
      <w:r w:rsidR="00AE6A90" w:rsidRPr="005F62F4">
        <w:t xml:space="preserve">a university hospital in </w:t>
      </w:r>
      <w:r w:rsidR="004A523E" w:rsidRPr="005F62F4">
        <w:t>Madrid, Spain</w:t>
      </w:r>
      <w:r w:rsidR="00AE6A90" w:rsidRPr="005F62F4">
        <w:t>.</w:t>
      </w:r>
      <w:r w:rsidR="00840A7E" w:rsidRPr="005F62F4">
        <w:t xml:space="preserve"> The authors </w:t>
      </w:r>
      <w:r w:rsidR="004A523E" w:rsidRPr="005F62F4">
        <w:t xml:space="preserve">reported </w:t>
      </w:r>
      <w:r w:rsidR="00840A7E" w:rsidRPr="005F62F4">
        <w:t>that</w:t>
      </w:r>
      <w:r w:rsidR="003C6210" w:rsidRPr="005F62F4">
        <w:t xml:space="preserve"> point-of-care manufacturing</w:t>
      </w:r>
      <w:r w:rsidR="00840A7E" w:rsidRPr="005F62F4">
        <w:t xml:space="preserve"> </w:t>
      </w:r>
      <w:r w:rsidR="004A523E" w:rsidRPr="005F62F4">
        <w:t>enable</w:t>
      </w:r>
      <w:r w:rsidR="003C6210" w:rsidRPr="005F62F4">
        <w:t>d</w:t>
      </w:r>
      <w:r w:rsidR="004A523E" w:rsidRPr="005F62F4">
        <w:t xml:space="preserve"> ‘complete control and monitoring of the process from the indication to the manufacture of a customised medical-surgical solution’. </w:t>
      </w:r>
      <w:r w:rsidR="00702049" w:rsidRPr="005F62F4">
        <w:t xml:space="preserve">They also reported that </w:t>
      </w:r>
      <w:r w:rsidR="004A523E" w:rsidRPr="005F62F4">
        <w:t>their experience as a manufacturing hospital ha</w:t>
      </w:r>
      <w:r w:rsidR="000236DC" w:rsidRPr="005F62F4">
        <w:t>d</w:t>
      </w:r>
      <w:r w:rsidR="004A523E" w:rsidRPr="005F62F4">
        <w:t xml:space="preserve"> increased their capacity to work with different commercial companies in the sector, participate in the co-design of personalised implants and collaborate with external research groups in bioprinting</w:t>
      </w:r>
      <w:r w:rsidR="00443336" w:rsidRPr="005F62F4">
        <w:t xml:space="preserve"> </w:t>
      </w:r>
      <w:r w:rsidR="00443336" w:rsidRPr="005F62F4">
        <w:fldChar w:fldCharType="begin" w:fldLock="1"/>
      </w:r>
      <w:r w:rsidR="00B00852" w:rsidRPr="005F62F4">
        <w:instrText>ADDIN CSL_CITATION {"citationItems":[{"id":"ITEM-1","itemData":{"DOI":"10.1186/s41205-021-00101-z","abstract":"The integration of 3D printing technology in hospitals is evolving toward production models such as point-of-care manufacturing. This study aims to present the results of the integration of 3D printing technology in a manufacturing university hospital. Observational, descriptive, retrospective, and monocentric study of 907 instances of 3D printing from November 2015 to March 2020. Variables such as product type, utility, time, or manufacturing materials were analyzed. Orthopedic Surgery and Traumatology, Oral and Maxillofacial Surgery, and Gynecology and Obstetrics are the medical specialties that have manufactured the largest number of processes. Working and printing time, as well as the amount of printing material, is different for different types of products and input data. The most common printing material was polylactic acid, although biocompatible resin was introduced to produce surgical guides. In addition, the hospital has worked on the co-design of custom-made implants with manufacturing companies and has also participated in tissue bio-printing projects. The integration of 3D printing in a university hospital allows identifying the conceptual evolution to “point-of-care manufacturing.”","author":[{"dropping-particle":"","family":"Calvo-Haro","given":"Jose Antonio","non-dropping-particle":"","parse-names":false,"suffix":""},{"dropping-particle":"","family":"Pascau","given":"Javier","non-dropping-particle":"","parse-names":false,"suffix":""},{"dropping-particle":"","family":"Asencio-Pascual","given":"José Manuel","non-dropping-particle":"","parse-names":false,"suffix":""},{"dropping-particle":"","family":"Calvo-Manuel","given":"Felipe","non-dropping-particle":"","parse-names":false,"suffix":""},{"dropping-particle":"","family":"Cancho-Gil","given":"Maria José","non-dropping-particle":"","parse-names":false,"suffix":""},{"dropping-particle":"","family":"Cañizo López","given":"Juan Francisco","non-dropping-particle":"Del","parse-names":false,"suffix":""},{"dropping-particle":"","family":"Fanjul-Gómez","given":"María","non-dropping-particle":"","parse-names":false,"suffix":""},{"dropping-particle":"","family":"García-Leal","given":"Roberto","non-dropping-particle":"","parse-names":false,"suffix":""},{"dropping-particle":"","family":"González-Casaurrán","given":"Guillermo","non-dropping-particle":"","parse-names":false,"suffix":""},{"dropping-particle":"","family":"González-Leyte","given":"Manuel","non-dropping-particle":"","parse-names":false,"suffix":""},{"dropping-particle":"","family":"León-Luis","given":"Juan Antonio","non-dropping-particle":"","parse-names":false,"suffix":""},{"dropping-particle":"","family":"Mediavilla-Santos","given":"Lydia","non-dropping-particle":"","parse-names":false,"suffix":""},{"dropping-particle":"","family":"Ochandiano-Caicoya","given":"Santiago","non-dropping-particle":"","parse-names":false,"suffix":""},{"dropping-particle":"","family":"Pérez-Caballero","given":"Ramón","non-dropping-particle":"","parse-names":false,"suffix":""},{"dropping-particle":"","family":"Ribed-Sánchez","given":"Almudena","non-dropping-particle":"","parse-names":false,"suffix":""},{"dropping-particle":"","family":"Río-Gómez","given":"Javier","non-dropping-particle":"","parse-names":false,"suffix":""},{"dropping-particle":"","family":"Sánchez-Pérez","given":"Eduardo","non-dropping-particle":"","parse-names":false,"suffix":""},{"dropping-particle":"","family":"Serrano-Andreu","given":"Javier","non-dropping-particle":"","parse-names":false,"suffix":""},{"dropping-particle":"","family":"Tousidonis-Rial","given":"Manuel","non-dropping-particle":"","parse-names":false,"suffix":""},{"dropping-particle":"","family":"Vaquero-Martín","given":"Javier","non-dropping-particle":"","parse-names":false,"suffix":""},{"dropping-particle":"","family":"García San José","given":"Sonia","non-dropping-particle":"","parse-names":false,"suffix":""},{"dropping-particle":"","family":"Perez-Mañanes","given":"Rubén","non-dropping-particle":"","parse-names":false,"suffix":""}],"container-title":"3D Printing in Medicine","id":"ITEM-1","issue":"1","issued":{"date-parts":[["2021"]]},"page":"1-14","publisher":"3D Printing in Medicine","title":"Point-of-care manufacturing: a single university hospital’s initial experience","type":"article-journal","volume":"7"},"uris":["http://www.mendeley.com/documents/?uuid=d1b36cb7-2b15-41a5-bb5b-61efbdfd336b"]}],"mendeley":{"formattedCitation":"(Calvo-Haro et al. 2021)","manualFormatting":"(Calvo-Haro et al. 2021)","plainTextFormattedCitation":"(Calvo-Haro et al. 2021)","previouslyFormattedCitation":"(Calvo-Haro et al. 2021)"},"properties":{"noteIndex":0},"schema":"https://github.com/citation-style-language/schema/raw/master/csl-citation.json"}</w:instrText>
      </w:r>
      <w:r w:rsidR="00443336" w:rsidRPr="005F62F4">
        <w:fldChar w:fldCharType="separate"/>
      </w:r>
      <w:r w:rsidR="00443336" w:rsidRPr="005F62F4">
        <w:rPr>
          <w:noProof/>
        </w:rPr>
        <w:t>(Calvo-Haro et al. 2021)</w:t>
      </w:r>
      <w:r w:rsidR="00443336" w:rsidRPr="005F62F4">
        <w:fldChar w:fldCharType="end"/>
      </w:r>
      <w:r w:rsidR="004A523E" w:rsidRPr="005F62F4">
        <w:t>.</w:t>
      </w:r>
    </w:p>
    <w:p w14:paraId="79A0769F" w14:textId="5C7F61B2" w:rsidR="00D22BD2" w:rsidRPr="005F62F4" w:rsidRDefault="00844DC2" w:rsidP="006A76DB">
      <w:pPr>
        <w:pStyle w:val="Para"/>
      </w:pPr>
      <w:r w:rsidRPr="005F62F4">
        <w:t>One study note</w:t>
      </w:r>
      <w:r w:rsidR="0096524E">
        <w:t>d</w:t>
      </w:r>
      <w:r w:rsidRPr="005F62F4">
        <w:t xml:space="preserve"> that hospital 3D printing hubs, with centralised digital access and applications across surgical fields, will likely improve the cost-benefit ratio</w:t>
      </w:r>
      <w:r w:rsidR="00D811AD" w:rsidRPr="005F62F4">
        <w:t xml:space="preserve"> of </w:t>
      </w:r>
      <w:r w:rsidR="00A43E28" w:rsidRPr="005F62F4">
        <w:t xml:space="preserve">surgical guides and </w:t>
      </w:r>
      <w:proofErr w:type="spellStart"/>
      <w:r w:rsidR="00A43E28" w:rsidRPr="005F62F4">
        <w:t>biomodels</w:t>
      </w:r>
      <w:proofErr w:type="spellEnd"/>
      <w:r w:rsidRPr="005F62F4">
        <w:t>. However, evidence that quantifies point-of-care manufacturing costs and benefits is not available</w:t>
      </w:r>
      <w:r w:rsidR="00144E24" w:rsidRPr="005F62F4">
        <w:t xml:space="preserve"> </w:t>
      </w:r>
      <w:r w:rsidR="00144E24" w:rsidRPr="005F62F4">
        <w:fldChar w:fldCharType="begin" w:fldLock="1"/>
      </w:r>
      <w:r w:rsidR="00E02C15" w:rsidRPr="005F62F4">
        <w:instrText>ADDIN CSL_CITATION {"citationItems":[{"id":"ITEM-1","itemData":{"DOI":"10.15761/bem.1000164","author":[{"dropping-particle":"","family":"Ansari","given":"Umair Hussain","non-dropping-particle":"","parse-names":false,"suffix":""},{"dropping-particle":"","family":"Thompson","given":"Robert","non-dropping-particle":"","parse-names":false,"suffix":""},{"dropping-particle":"","family":"Hoffman","given":"Gary Russell","non-dropping-particle":"","parse-names":false,"suffix":""}],"container-title":"Biology, Engineering and Medicine","id":"ITEM-1","issue":"1","issued":{"date-parts":[["2019"]]},"page":"1-5","title":"Computerized tomographic assisted biomodel fabrication utilizing 3D printing is a useful adjunct to facilitate the surgical resection and/or reconstruction of the maxillofacial skeleton: a 16-year institutional review","type":"article-journal","volume":"4"},"uris":["http://www.mendeley.com/documents/?uuid=187ea175-9ae8-424e-8ca9-15a4169ee383"]}],"mendeley":{"formattedCitation":"(Ansari et al. 2019)","plainTextFormattedCitation":"(Ansari et al. 2019)","previouslyFormattedCitation":"(Ansari et al. 2019)"},"properties":{"noteIndex":0},"schema":"https://github.com/citation-style-language/schema/raw/master/csl-citation.json"}</w:instrText>
      </w:r>
      <w:r w:rsidR="00144E24" w:rsidRPr="005F62F4">
        <w:fldChar w:fldCharType="separate"/>
      </w:r>
      <w:r w:rsidR="00144E24" w:rsidRPr="005F62F4">
        <w:rPr>
          <w:noProof/>
        </w:rPr>
        <w:t>(Ansari et al. 2019)</w:t>
      </w:r>
      <w:r w:rsidR="00144E24" w:rsidRPr="005F62F4">
        <w:fldChar w:fldCharType="end"/>
      </w:r>
      <w:r w:rsidRPr="005F62F4">
        <w:t>.</w:t>
      </w:r>
    </w:p>
    <w:p w14:paraId="0B6874CD" w14:textId="61715E09" w:rsidR="008924EA" w:rsidRPr="005F62F4" w:rsidRDefault="00AB2466" w:rsidP="006A76DB">
      <w:pPr>
        <w:pStyle w:val="Para"/>
      </w:pPr>
      <w:r w:rsidRPr="005F62F4">
        <w:t>S</w:t>
      </w:r>
      <w:r w:rsidR="00844DC2" w:rsidRPr="005F62F4">
        <w:t>upporters of this approach</w:t>
      </w:r>
      <w:r w:rsidRPr="005F62F4">
        <w:t xml:space="preserve"> argued that investment is needed to sustain and improve access to technology and develop point-of-care manufacturing hubs in Australia. Th</w:t>
      </w:r>
      <w:r w:rsidR="00844DC2" w:rsidRPr="005F62F4">
        <w:t>ey argue</w:t>
      </w:r>
      <w:r w:rsidR="00613BCC" w:rsidRPr="005F62F4">
        <w:t>d</w:t>
      </w:r>
      <w:r w:rsidR="00844DC2" w:rsidRPr="005F62F4">
        <w:t xml:space="preserve"> that</w:t>
      </w:r>
      <w:r w:rsidRPr="005F62F4">
        <w:t xml:space="preserve"> investment in software, 3D printing equipment, and engineers</w:t>
      </w:r>
      <w:r w:rsidR="00844DC2" w:rsidRPr="005F62F4">
        <w:t xml:space="preserve"> will lead to improved efficiencies and cost</w:t>
      </w:r>
      <w:r w:rsidR="00A90B6E">
        <w:t xml:space="preserve"> </w:t>
      </w:r>
      <w:r w:rsidR="00844DC2" w:rsidRPr="005F62F4">
        <w:t xml:space="preserve">savings, which will ultimately impact on the cost of products listed on the PL. </w:t>
      </w:r>
      <w:r w:rsidR="00BB0A7C" w:rsidRPr="005F62F4">
        <w:t>W</w:t>
      </w:r>
      <w:r w:rsidR="004A523E" w:rsidRPr="005F62F4">
        <w:t xml:space="preserve">ithout </w:t>
      </w:r>
      <w:r w:rsidR="00810CF8" w:rsidRPr="005F62F4">
        <w:t xml:space="preserve">investment </w:t>
      </w:r>
      <w:r w:rsidR="00997208" w:rsidRPr="005F62F4">
        <w:t>in local manufacturing</w:t>
      </w:r>
      <w:r w:rsidR="00810CF8" w:rsidRPr="005F62F4">
        <w:t xml:space="preserve"> </w:t>
      </w:r>
      <w:r w:rsidR="004A523E" w:rsidRPr="005F62F4">
        <w:t>infrastructure</w:t>
      </w:r>
      <w:r w:rsidR="00997208" w:rsidRPr="005F62F4">
        <w:t>,</w:t>
      </w:r>
      <w:r w:rsidR="004A523E" w:rsidRPr="005F62F4">
        <w:t xml:space="preserve"> the cost of </w:t>
      </w:r>
      <w:r w:rsidR="00997208" w:rsidRPr="005F62F4">
        <w:t xml:space="preserve">surgical guides and </w:t>
      </w:r>
      <w:proofErr w:type="spellStart"/>
      <w:r w:rsidR="00997208" w:rsidRPr="005F62F4">
        <w:t>biomodels</w:t>
      </w:r>
      <w:proofErr w:type="spellEnd"/>
      <w:r w:rsidR="009A4D87" w:rsidRPr="005F62F4">
        <w:t xml:space="preserve"> (and other custom</w:t>
      </w:r>
      <w:r w:rsidR="00997208" w:rsidRPr="005F62F4">
        <w:t xml:space="preserve"> </w:t>
      </w:r>
      <w:r w:rsidR="004A523E" w:rsidRPr="005F62F4">
        <w:t>products</w:t>
      </w:r>
      <w:r w:rsidR="009A4D87" w:rsidRPr="005F62F4">
        <w:t>)</w:t>
      </w:r>
      <w:r w:rsidR="004A523E" w:rsidRPr="005F62F4">
        <w:t xml:space="preserve"> will continue to grow.</w:t>
      </w:r>
      <w:r w:rsidR="00844DC2" w:rsidRPr="005F62F4">
        <w:t xml:space="preserve"> Stakeholders suggest</w:t>
      </w:r>
      <w:r w:rsidR="0009254C" w:rsidRPr="005F62F4">
        <w:t>ed</w:t>
      </w:r>
      <w:r w:rsidR="00844DC2" w:rsidRPr="005F62F4">
        <w:t xml:space="preserve"> that further </w:t>
      </w:r>
      <w:r w:rsidR="008F268F" w:rsidRPr="005F62F4">
        <w:t>investment</w:t>
      </w:r>
      <w:r w:rsidR="00844DC2" w:rsidRPr="005F62F4">
        <w:t xml:space="preserve"> in point-of-care manufacturing warrants government consideration (see </w:t>
      </w:r>
      <w:r w:rsidR="00613BCC" w:rsidRPr="005F62F4">
        <w:t>S</w:t>
      </w:r>
      <w:r w:rsidR="00844DC2" w:rsidRPr="005F62F4">
        <w:t xml:space="preserve">ection </w:t>
      </w:r>
      <w:r w:rsidR="00844DC2" w:rsidRPr="005F62F4">
        <w:fldChar w:fldCharType="begin"/>
      </w:r>
      <w:r w:rsidR="00844DC2" w:rsidRPr="005F62F4">
        <w:instrText xml:space="preserve"> REF _Ref128477076 \r \h </w:instrText>
      </w:r>
      <w:r w:rsidR="005F62F4">
        <w:instrText xml:space="preserve"> \* MERGEFORMAT </w:instrText>
      </w:r>
      <w:r w:rsidR="00844DC2" w:rsidRPr="005F62F4">
        <w:fldChar w:fldCharType="separate"/>
      </w:r>
      <w:r w:rsidR="005606BF">
        <w:t>4.3</w:t>
      </w:r>
      <w:r w:rsidR="00844DC2" w:rsidRPr="005F62F4">
        <w:fldChar w:fldCharType="end"/>
      </w:r>
      <w:r w:rsidR="00844DC2" w:rsidRPr="005F62F4">
        <w:t>).</w:t>
      </w:r>
    </w:p>
    <w:p w14:paraId="4B15C448" w14:textId="04628504" w:rsidR="00740474" w:rsidRPr="005F62F4" w:rsidRDefault="00844DC2" w:rsidP="00AA31DB">
      <w:pPr>
        <w:sectPr w:rsidR="00740474" w:rsidRPr="005F62F4" w:rsidSect="00EA6E4D">
          <w:headerReference w:type="default" r:id="rId21"/>
          <w:pgSz w:w="11906" w:h="16838"/>
          <w:pgMar w:top="1134" w:right="1134" w:bottom="1134" w:left="1440" w:header="709" w:footer="709" w:gutter="0"/>
          <w:cols w:space="708"/>
          <w:titlePg/>
          <w:docGrid w:linePitch="360"/>
        </w:sectPr>
      </w:pPr>
      <w:r w:rsidRPr="005F62F4">
        <w:t xml:space="preserve"> </w:t>
      </w:r>
    </w:p>
    <w:p w14:paraId="1AB6D942" w14:textId="12FD3C1E" w:rsidR="000A1734" w:rsidRPr="005F62F4" w:rsidRDefault="00343A91" w:rsidP="004F2931">
      <w:pPr>
        <w:pStyle w:val="Heading1"/>
      </w:pPr>
      <w:bookmarkStart w:id="102" w:name="_Ref119487926"/>
      <w:bookmarkStart w:id="103" w:name="_Ref119581734"/>
      <w:bookmarkStart w:id="104" w:name="_Ref119673287"/>
      <w:bookmarkStart w:id="105" w:name="_Ref119675324"/>
      <w:bookmarkStart w:id="106" w:name="_Ref119683748"/>
      <w:bookmarkStart w:id="107" w:name="_Toc120178311"/>
      <w:bookmarkStart w:id="108" w:name="_Toc129954602"/>
      <w:bookmarkEnd w:id="101"/>
      <w:r w:rsidRPr="005F62F4">
        <w:lastRenderedPageBreak/>
        <w:t xml:space="preserve">: </w:t>
      </w:r>
      <w:proofErr w:type="spellStart"/>
      <w:r w:rsidR="00451F0E" w:rsidRPr="005F62F4">
        <w:t>ToR</w:t>
      </w:r>
      <w:proofErr w:type="spellEnd"/>
      <w:r w:rsidR="00451F0E" w:rsidRPr="005F62F4">
        <w:t xml:space="preserve"> 2</w:t>
      </w:r>
      <w:r w:rsidR="00873286" w:rsidRPr="005F62F4">
        <w:t xml:space="preserve"> – </w:t>
      </w:r>
      <w:bookmarkEnd w:id="79"/>
      <w:r w:rsidR="00C12C48" w:rsidRPr="005F62F4">
        <w:t>Evidence base</w:t>
      </w:r>
      <w:bookmarkEnd w:id="102"/>
      <w:bookmarkEnd w:id="103"/>
      <w:bookmarkEnd w:id="104"/>
      <w:bookmarkEnd w:id="105"/>
      <w:bookmarkEnd w:id="106"/>
      <w:bookmarkEnd w:id="107"/>
      <w:bookmarkEnd w:id="108"/>
    </w:p>
    <w:p w14:paraId="73B96CE6" w14:textId="63493FBD" w:rsidR="00F73F7C" w:rsidRPr="005F62F4" w:rsidRDefault="00F73F7C" w:rsidP="008E1775">
      <w:pPr>
        <w:pStyle w:val="Boxed"/>
      </w:pPr>
      <w:bookmarkStart w:id="109" w:name="_Toc388453121"/>
      <w:r w:rsidRPr="005F62F4">
        <w:t>2</w:t>
      </w:r>
      <w:r w:rsidR="00835A12" w:rsidRPr="005F62F4">
        <w:t xml:space="preserve">. </w:t>
      </w:r>
      <w:r w:rsidR="00C12C48" w:rsidRPr="005F62F4">
        <w:t xml:space="preserve">Review the evidence base for the use of surgical guides and </w:t>
      </w:r>
      <w:proofErr w:type="spellStart"/>
      <w:r w:rsidR="00C12C48" w:rsidRPr="005F62F4">
        <w:t>biomodels</w:t>
      </w:r>
      <w:proofErr w:type="spellEnd"/>
      <w:r w:rsidR="00C12C48" w:rsidRPr="005F62F4">
        <w:t xml:space="preserve"> currently listed on the PL, with a focus on comparative clinical effectiveness and their clinical benefits</w:t>
      </w:r>
      <w:r w:rsidR="00A22EA3" w:rsidRPr="005F62F4">
        <w:t>.</w:t>
      </w:r>
    </w:p>
    <w:p w14:paraId="2B93AF0A" w14:textId="067E6F2F" w:rsidR="00963B62" w:rsidRPr="005F62F4" w:rsidRDefault="00963B62" w:rsidP="004F2931">
      <w:pPr>
        <w:pStyle w:val="Heading2"/>
      </w:pPr>
      <w:bookmarkStart w:id="110" w:name="_Toc120178312"/>
      <w:bookmarkStart w:id="111" w:name="_Toc129954603"/>
      <w:r w:rsidRPr="005F62F4">
        <w:t xml:space="preserve">Key findings for </w:t>
      </w:r>
      <w:proofErr w:type="spellStart"/>
      <w:r w:rsidRPr="005F62F4">
        <w:t>ToR</w:t>
      </w:r>
      <w:proofErr w:type="spellEnd"/>
      <w:r w:rsidRPr="005F62F4">
        <w:t xml:space="preserve"> </w:t>
      </w:r>
      <w:r w:rsidR="002B2C1A" w:rsidRPr="005F62F4">
        <w:t>2</w:t>
      </w:r>
      <w:bookmarkEnd w:id="109"/>
      <w:bookmarkEnd w:id="110"/>
      <w:bookmarkEnd w:id="111"/>
    </w:p>
    <w:p w14:paraId="3323E1E7" w14:textId="0E8CDCFD" w:rsidR="00AB1079" w:rsidRPr="005F62F4" w:rsidRDefault="00AB1079" w:rsidP="007C4445">
      <w:pPr>
        <w:pStyle w:val="Bullet1"/>
      </w:pPr>
      <w:r w:rsidRPr="005F62F4">
        <w:t xml:space="preserve">All studies identified in the </w:t>
      </w:r>
      <w:r w:rsidRPr="005F62F4">
        <w:rPr>
          <w:rStyle w:val="Strong"/>
        </w:rPr>
        <w:t>systematic review</w:t>
      </w:r>
      <w:r w:rsidRPr="005F62F4">
        <w:t xml:space="preserve"> related to only one of the </w:t>
      </w:r>
      <w:r w:rsidR="0071773B" w:rsidRPr="005F62F4">
        <w:t>in-scope</w:t>
      </w:r>
      <w:r w:rsidRPr="005F62F4">
        <w:t xml:space="preserve"> products </w:t>
      </w:r>
      <w:r w:rsidR="00BB4A89" w:rsidRPr="005F62F4">
        <w:t>(</w:t>
      </w:r>
      <w:proofErr w:type="spellStart"/>
      <w:r w:rsidRPr="005F62F4">
        <w:t>ProPlan</w:t>
      </w:r>
      <w:proofErr w:type="spellEnd"/>
      <w:r w:rsidR="00BB4A89" w:rsidRPr="005F62F4">
        <w:t>)</w:t>
      </w:r>
      <w:r w:rsidR="008C53CF" w:rsidRPr="005F62F4">
        <w:t>.</w:t>
      </w:r>
      <w:r w:rsidRPr="005F62F4">
        <w:t xml:space="preserve"> </w:t>
      </w:r>
      <w:proofErr w:type="gramStart"/>
      <w:r w:rsidRPr="005F62F4">
        <w:t>The majority of</w:t>
      </w:r>
      <w:proofErr w:type="gramEnd"/>
      <w:r w:rsidRPr="005F62F4">
        <w:t xml:space="preserve"> studies related to surgery in the oral and maxillofacial region. Various outcome measures were assessed in these studies. These include, but are not limited to, operative time, </w:t>
      </w:r>
      <w:proofErr w:type="spellStart"/>
      <w:r w:rsidRPr="005F62F4">
        <w:t>isch</w:t>
      </w:r>
      <w:r w:rsidR="00933EEA" w:rsidRPr="005F62F4">
        <w:t>a</w:t>
      </w:r>
      <w:r w:rsidRPr="005F62F4">
        <w:t>emia</w:t>
      </w:r>
      <w:proofErr w:type="spellEnd"/>
      <w:r w:rsidRPr="005F62F4">
        <w:t xml:space="preserve"> time, complications and accuracy. Generally, the findings indicate improved or comparable outcomes for virtual </w:t>
      </w:r>
      <w:r w:rsidR="00C36B81" w:rsidRPr="005F62F4">
        <w:t xml:space="preserve">surgical </w:t>
      </w:r>
      <w:r w:rsidRPr="005F62F4">
        <w:t xml:space="preserve">planning groups where surgical guides and/or </w:t>
      </w:r>
      <w:proofErr w:type="spellStart"/>
      <w:r w:rsidRPr="005F62F4">
        <w:t>biomodels</w:t>
      </w:r>
      <w:proofErr w:type="spellEnd"/>
      <w:r w:rsidRPr="005F62F4">
        <w:t xml:space="preserve"> had been used, when compared to the comparator group </w:t>
      </w:r>
      <w:r w:rsidR="002A1068" w:rsidRPr="005F62F4">
        <w:t>(</w:t>
      </w:r>
      <w:proofErr w:type="gramStart"/>
      <w:r w:rsidRPr="005F62F4">
        <w:t>e.g.</w:t>
      </w:r>
      <w:proofErr w:type="gramEnd"/>
      <w:r w:rsidRPr="005F62F4">
        <w:t xml:space="preserve"> surgery conducted with a freehand surgical technique</w:t>
      </w:r>
      <w:r w:rsidR="002A1068" w:rsidRPr="005F62F4">
        <w:t>)</w:t>
      </w:r>
      <w:r w:rsidRPr="005F62F4">
        <w:t>.</w:t>
      </w:r>
    </w:p>
    <w:p w14:paraId="6647BA8E" w14:textId="1032ED66" w:rsidR="00B565EA" w:rsidRPr="005F62F4" w:rsidRDefault="00AB1079" w:rsidP="007C4445">
      <w:pPr>
        <w:pStyle w:val="Bullet1"/>
      </w:pPr>
      <w:r w:rsidRPr="005F62F4">
        <w:t xml:space="preserve">There are </w:t>
      </w:r>
      <w:r w:rsidRPr="005F62F4">
        <w:rPr>
          <w:rStyle w:val="Strong"/>
        </w:rPr>
        <w:t>limitations</w:t>
      </w:r>
      <w:r w:rsidRPr="005F62F4">
        <w:t xml:space="preserve"> in the included studies in the systematic review, for example, the sample sizes were generally small, there were </w:t>
      </w:r>
      <w:r w:rsidR="00FE64AF" w:rsidRPr="005F62F4">
        <w:t>no</w:t>
      </w:r>
      <w:r w:rsidRPr="005F62F4">
        <w:t xml:space="preserve"> randomi</w:t>
      </w:r>
      <w:r w:rsidR="007B4139" w:rsidRPr="005F62F4">
        <w:t>s</w:t>
      </w:r>
      <w:r w:rsidRPr="005F62F4">
        <w:t xml:space="preserve">ed controlled trials and </w:t>
      </w:r>
      <w:r w:rsidR="00A35F9A" w:rsidRPr="005F62F4">
        <w:t xml:space="preserve">9 </w:t>
      </w:r>
      <w:r w:rsidRPr="005F62F4">
        <w:t xml:space="preserve">of the </w:t>
      </w:r>
      <w:r w:rsidR="00FF44E4" w:rsidRPr="005F62F4">
        <w:t>13</w:t>
      </w:r>
      <w:r w:rsidRPr="005F62F4">
        <w:t xml:space="preserve"> studies were retrospective in design. </w:t>
      </w:r>
      <w:r w:rsidR="004302D0" w:rsidRPr="005F62F4">
        <w:t xml:space="preserve">Studies were also often confounded by interventions that included a ‘bundling’ of virtual surgical planning and various 3D-printed products, including </w:t>
      </w:r>
      <w:r w:rsidR="00286835" w:rsidRPr="005F62F4">
        <w:t xml:space="preserve">surgical guides and </w:t>
      </w:r>
      <w:proofErr w:type="spellStart"/>
      <w:r w:rsidR="00286835" w:rsidRPr="005F62F4">
        <w:t>biomodels</w:t>
      </w:r>
      <w:proofErr w:type="spellEnd"/>
      <w:r w:rsidR="00286835" w:rsidRPr="005F62F4">
        <w:t xml:space="preserve"> </w:t>
      </w:r>
      <w:r w:rsidR="004302D0" w:rsidRPr="005F62F4">
        <w:t>but sometimes also patient-specific implants.</w:t>
      </w:r>
    </w:p>
    <w:p w14:paraId="059D919E" w14:textId="1094B856" w:rsidR="00361602" w:rsidRPr="005F62F4" w:rsidRDefault="00B565EA" w:rsidP="007C4445">
      <w:pPr>
        <w:pStyle w:val="Bullet1"/>
      </w:pPr>
      <w:r w:rsidRPr="005F62F4">
        <w:t xml:space="preserve">The literature identified through the </w:t>
      </w:r>
      <w:r w:rsidRPr="005F62F4">
        <w:rPr>
          <w:rStyle w:val="Strong"/>
        </w:rPr>
        <w:t xml:space="preserve">desktop review </w:t>
      </w:r>
      <w:r w:rsidRPr="005F62F4">
        <w:t xml:space="preserve">generally supports the use of surgical guides and </w:t>
      </w:r>
      <w:proofErr w:type="spellStart"/>
      <w:r w:rsidRPr="005F62F4">
        <w:t>biomodels</w:t>
      </w:r>
      <w:proofErr w:type="spellEnd"/>
      <w:r w:rsidRPr="005F62F4">
        <w:t xml:space="preserve"> across a range of contexts including oral and </w:t>
      </w:r>
      <w:r w:rsidR="003F05C9" w:rsidRPr="005F62F4">
        <w:t>CMF</w:t>
      </w:r>
      <w:r w:rsidR="00922AFF" w:rsidRPr="005F62F4">
        <w:t xml:space="preserve"> </w:t>
      </w:r>
      <w:r w:rsidRPr="005F62F4">
        <w:t xml:space="preserve">applications (primarily dental implants), orthopaedics, cardiovascular surgery and ENT surgery, but almost invariably notes the </w:t>
      </w:r>
      <w:r w:rsidR="00A32A0D" w:rsidRPr="005F62F4">
        <w:t xml:space="preserve">paucity </w:t>
      </w:r>
      <w:r w:rsidRPr="005F62F4">
        <w:t xml:space="preserve">of </w:t>
      </w:r>
      <w:r w:rsidR="00F64E97" w:rsidRPr="005F62F4">
        <w:t xml:space="preserve">randomised controlled trials </w:t>
      </w:r>
      <w:r w:rsidRPr="005F62F4">
        <w:t xml:space="preserve">and </w:t>
      </w:r>
      <w:r w:rsidR="00FC1452" w:rsidRPr="005F62F4">
        <w:t xml:space="preserve">other </w:t>
      </w:r>
      <w:r w:rsidRPr="005F62F4">
        <w:t xml:space="preserve">comparative studies and other data quality limitations. The literature frequently suggests that the use of 3D technologies, including </w:t>
      </w:r>
      <w:r w:rsidR="00286835" w:rsidRPr="005F62F4">
        <w:t xml:space="preserve">surgical guides and </w:t>
      </w:r>
      <w:proofErr w:type="spellStart"/>
      <w:r w:rsidR="00286835" w:rsidRPr="005F62F4">
        <w:t>biomodels</w:t>
      </w:r>
      <w:proofErr w:type="spellEnd"/>
      <w:r w:rsidRPr="005F62F4">
        <w:t xml:space="preserve">, produces results that are not inferior to ‘conventional’ techniques, and may facilitate potential improvements in accuracy of implant placement, decreased operative and/or ischaemic time, reduced </w:t>
      </w:r>
      <w:r w:rsidR="00D856A8" w:rsidRPr="005F62F4">
        <w:t>intraoperative</w:t>
      </w:r>
      <w:r w:rsidRPr="005F62F4">
        <w:t xml:space="preserve"> fluoroscopy and </w:t>
      </w:r>
      <w:r w:rsidR="00B52C32" w:rsidRPr="005F62F4">
        <w:t xml:space="preserve">reduced </w:t>
      </w:r>
      <w:r w:rsidRPr="005F62F4">
        <w:t>complication rates.</w:t>
      </w:r>
    </w:p>
    <w:p w14:paraId="2DCD2C57" w14:textId="77777777" w:rsidR="00DE20E6" w:rsidRPr="005F62F4" w:rsidRDefault="00DE20E6" w:rsidP="00DE20E6">
      <w:bookmarkStart w:id="112" w:name="_Ref119252540"/>
      <w:r w:rsidRPr="005F62F4">
        <w:br w:type="page"/>
      </w:r>
    </w:p>
    <w:p w14:paraId="5155A1F5" w14:textId="31ED0BB4" w:rsidR="00416B64" w:rsidRPr="005F62F4" w:rsidRDefault="004624AF" w:rsidP="004F2931">
      <w:pPr>
        <w:pStyle w:val="Heading2"/>
      </w:pPr>
      <w:bookmarkStart w:id="113" w:name="_Toc129954604"/>
      <w:bookmarkStart w:id="114" w:name="_Toc120178313"/>
      <w:bookmarkStart w:id="115" w:name="_Ref120563374"/>
      <w:bookmarkStart w:id="116" w:name="_Ref120694984"/>
      <w:bookmarkStart w:id="117" w:name="_Ref127186658"/>
      <w:bookmarkStart w:id="118" w:name="_Ref127188037"/>
      <w:bookmarkStart w:id="119" w:name="_Ref127263514"/>
      <w:bookmarkStart w:id="120" w:name="_Ref127534062"/>
      <w:bookmarkStart w:id="121" w:name="_Ref127717178"/>
      <w:r w:rsidRPr="005F62F4">
        <w:lastRenderedPageBreak/>
        <w:t>Introduction</w:t>
      </w:r>
      <w:bookmarkEnd w:id="113"/>
    </w:p>
    <w:p w14:paraId="101CC4B6" w14:textId="59F59A9B" w:rsidR="007C72DB" w:rsidRPr="005F62F4" w:rsidDel="008514FE" w:rsidRDefault="00831589" w:rsidP="00950706">
      <w:pPr>
        <w:pStyle w:val="ParaKeep"/>
      </w:pPr>
      <w:r w:rsidRPr="005F62F4" w:rsidDel="008514FE">
        <w:t xml:space="preserve">To address </w:t>
      </w:r>
      <w:proofErr w:type="spellStart"/>
      <w:r w:rsidRPr="005F62F4" w:rsidDel="008514FE">
        <w:t>ToR</w:t>
      </w:r>
      <w:proofErr w:type="spellEnd"/>
      <w:r w:rsidRPr="005F62F4" w:rsidDel="008514FE">
        <w:t xml:space="preserve"> 2, we </w:t>
      </w:r>
      <w:r w:rsidR="00CD2596" w:rsidRPr="005F62F4" w:rsidDel="008514FE">
        <w:t xml:space="preserve">took a </w:t>
      </w:r>
      <w:r w:rsidR="00EF6FED" w:rsidRPr="005F62F4" w:rsidDel="008514FE">
        <w:t>2</w:t>
      </w:r>
      <w:r w:rsidR="00CD2596" w:rsidRPr="005F62F4" w:rsidDel="008514FE">
        <w:t xml:space="preserve">-pronged approach to </w:t>
      </w:r>
      <w:r w:rsidR="00753E47" w:rsidRPr="005F62F4" w:rsidDel="008514FE">
        <w:t>identifying relevant evidence</w:t>
      </w:r>
      <w:r w:rsidR="007C72DB" w:rsidRPr="005F62F4" w:rsidDel="008514FE">
        <w:t>:</w:t>
      </w:r>
    </w:p>
    <w:p w14:paraId="41B0888C" w14:textId="3BA053C7" w:rsidR="007C72DB" w:rsidRPr="005F62F4" w:rsidRDefault="00831589" w:rsidP="007C72DB">
      <w:pPr>
        <w:pStyle w:val="Bullet1"/>
      </w:pPr>
      <w:r w:rsidRPr="005F62F4">
        <w:t xml:space="preserve">a </w:t>
      </w:r>
      <w:r w:rsidRPr="005F62F4" w:rsidDel="000C2611">
        <w:t xml:space="preserve">rapid and targeted </w:t>
      </w:r>
      <w:r w:rsidRPr="005F62F4">
        <w:rPr>
          <w:rStyle w:val="Strong"/>
        </w:rPr>
        <w:t>systematic review</w:t>
      </w:r>
      <w:r w:rsidRPr="005F62F4">
        <w:t xml:space="preserve"> of published literature </w:t>
      </w:r>
      <w:r w:rsidR="00730066" w:rsidRPr="005F62F4">
        <w:t xml:space="preserve">on the </w:t>
      </w:r>
      <w:r w:rsidRPr="005F62F4">
        <w:t xml:space="preserve">surgical guides and </w:t>
      </w:r>
      <w:proofErr w:type="spellStart"/>
      <w:r w:rsidRPr="005F62F4">
        <w:t>biomodels</w:t>
      </w:r>
      <w:proofErr w:type="spellEnd"/>
      <w:r w:rsidRPr="005F62F4">
        <w:t xml:space="preserve"> currently listed on the PL</w:t>
      </w:r>
    </w:p>
    <w:p w14:paraId="2DD9DDC1" w14:textId="56960971" w:rsidR="00831589" w:rsidRPr="005F62F4" w:rsidRDefault="007C72DB" w:rsidP="007C72DB">
      <w:pPr>
        <w:pStyle w:val="Bullet1"/>
      </w:pPr>
      <w:r w:rsidRPr="005F62F4">
        <w:t xml:space="preserve">a </w:t>
      </w:r>
      <w:r w:rsidR="005932BA" w:rsidRPr="005F62F4">
        <w:rPr>
          <w:rStyle w:val="Strong"/>
        </w:rPr>
        <w:t xml:space="preserve">desktop </w:t>
      </w:r>
      <w:r w:rsidRPr="005F62F4">
        <w:rPr>
          <w:rStyle w:val="Strong"/>
        </w:rPr>
        <w:t>review</w:t>
      </w:r>
      <w:r w:rsidRPr="005F62F4">
        <w:t xml:space="preserve"> of the broader </w:t>
      </w:r>
      <w:r w:rsidR="00D85CE9" w:rsidRPr="005F62F4">
        <w:t>evidence for</w:t>
      </w:r>
      <w:r w:rsidRPr="005F62F4">
        <w:t xml:space="preserve"> surgical guides and </w:t>
      </w:r>
      <w:proofErr w:type="spellStart"/>
      <w:r w:rsidRPr="005F62F4">
        <w:t>biomodels</w:t>
      </w:r>
      <w:proofErr w:type="spellEnd"/>
      <w:r w:rsidRPr="005F62F4">
        <w:t>.</w:t>
      </w:r>
    </w:p>
    <w:p w14:paraId="1B5E5B88" w14:textId="34707370" w:rsidR="00B147B4" w:rsidRPr="005F62F4" w:rsidRDefault="001F514E" w:rsidP="001F514E">
      <w:pPr>
        <w:pStyle w:val="Para"/>
      </w:pPr>
      <w:r w:rsidRPr="005F62F4">
        <w:t>As th</w:t>
      </w:r>
      <w:r w:rsidR="00291A25" w:rsidRPr="005F62F4">
        <w:t>e</w:t>
      </w:r>
      <w:r w:rsidR="009E6C18" w:rsidRPr="005F62F4">
        <w:t xml:space="preserve"> systematic </w:t>
      </w:r>
      <w:r w:rsidRPr="005F62F4">
        <w:t xml:space="preserve">review aimed to examine the clinical evidence for </w:t>
      </w:r>
      <w:r w:rsidR="006452BC" w:rsidRPr="005F62F4">
        <w:t xml:space="preserve">the </w:t>
      </w:r>
      <w:r w:rsidR="00D01442" w:rsidRPr="005F62F4">
        <w:t xml:space="preserve">surgical guides and </w:t>
      </w:r>
      <w:proofErr w:type="spellStart"/>
      <w:r w:rsidR="00D01442" w:rsidRPr="005F62F4">
        <w:t>biomodels</w:t>
      </w:r>
      <w:proofErr w:type="spellEnd"/>
      <w:r w:rsidR="009E6C18" w:rsidRPr="005F62F4">
        <w:t xml:space="preserve"> currently</w:t>
      </w:r>
      <w:r w:rsidRPr="005F62F4">
        <w:t xml:space="preserve"> listed on the PL, the eligibility criteria and search terms used were specific to these products. </w:t>
      </w:r>
      <w:r w:rsidR="003A404E" w:rsidRPr="005F62F4">
        <w:t>This yielded a total of 13 studies</w:t>
      </w:r>
      <w:r w:rsidR="002A42A5" w:rsidRPr="005F62F4">
        <w:t>.</w:t>
      </w:r>
    </w:p>
    <w:p w14:paraId="5FF25B99" w14:textId="26C5E923" w:rsidR="001F514E" w:rsidRPr="005F62F4" w:rsidRDefault="00F97BAD" w:rsidP="001F514E">
      <w:pPr>
        <w:pStyle w:val="Para"/>
      </w:pPr>
      <w:r w:rsidRPr="005F62F4">
        <w:t xml:space="preserve">To address this </w:t>
      </w:r>
      <w:r w:rsidR="0016541E" w:rsidRPr="005F62F4">
        <w:t>paucity of evidence</w:t>
      </w:r>
      <w:r w:rsidRPr="005F62F4">
        <w:t xml:space="preserve">, </w:t>
      </w:r>
      <w:r w:rsidR="004F2E4A" w:rsidRPr="005F62F4">
        <w:t xml:space="preserve">we conducted a </w:t>
      </w:r>
      <w:r w:rsidR="00BF27FC" w:rsidRPr="005F62F4">
        <w:t xml:space="preserve">desktop </w:t>
      </w:r>
      <w:r w:rsidR="004F2E4A" w:rsidRPr="005F62F4">
        <w:t xml:space="preserve">review of recent, synthesised, high-quality and peer-reviewed evidence relevant to the broader category of surgical guides and </w:t>
      </w:r>
      <w:proofErr w:type="spellStart"/>
      <w:r w:rsidR="004F2E4A" w:rsidRPr="005F62F4">
        <w:t>biomodels</w:t>
      </w:r>
      <w:proofErr w:type="spellEnd"/>
      <w:r w:rsidR="004F2E4A" w:rsidRPr="005F62F4">
        <w:t xml:space="preserve"> in the context of prosthesis implantation (</w:t>
      </w:r>
      <w:proofErr w:type="gramStart"/>
      <w:r w:rsidR="004F2E4A" w:rsidRPr="005F62F4">
        <w:t>i.e.</w:t>
      </w:r>
      <w:proofErr w:type="gramEnd"/>
      <w:r w:rsidR="004F2E4A" w:rsidRPr="005F62F4">
        <w:t xml:space="preserve"> not limited to specific products on the PL).</w:t>
      </w:r>
      <w:r w:rsidR="00F87CA8" w:rsidRPr="005F62F4">
        <w:t xml:space="preserve"> This yielded a total of 23 articles</w:t>
      </w:r>
      <w:r w:rsidR="00FC64FD" w:rsidRPr="005F62F4">
        <w:t>.</w:t>
      </w:r>
    </w:p>
    <w:p w14:paraId="7572E73A" w14:textId="2E0FFE46" w:rsidR="00FC64FD" w:rsidRPr="005F62F4" w:rsidRDefault="003E59D3" w:rsidP="008E6BCC">
      <w:pPr>
        <w:pStyle w:val="Para"/>
      </w:pPr>
      <w:r w:rsidRPr="005F62F4">
        <w:t>Despite this dual approach, w</w:t>
      </w:r>
      <w:r w:rsidR="00D23B9D" w:rsidRPr="005F62F4">
        <w:t xml:space="preserve">e </w:t>
      </w:r>
      <w:r w:rsidR="00F7224F" w:rsidRPr="005F62F4">
        <w:t xml:space="preserve">found that the </w:t>
      </w:r>
      <w:r w:rsidRPr="005F62F4">
        <w:t>current evidence base</w:t>
      </w:r>
      <w:r w:rsidR="000D6495" w:rsidRPr="005F62F4">
        <w:t xml:space="preserve"> </w:t>
      </w:r>
      <w:r w:rsidR="005B0E54" w:rsidRPr="005F62F4">
        <w:t xml:space="preserve">has </w:t>
      </w:r>
      <w:proofErr w:type="gramStart"/>
      <w:r w:rsidR="005B0E54" w:rsidRPr="005F62F4">
        <w:t>a number of</w:t>
      </w:r>
      <w:proofErr w:type="gramEnd"/>
      <w:r w:rsidR="005B0E54" w:rsidRPr="005F62F4">
        <w:t xml:space="preserve"> limitations, particularly in </w:t>
      </w:r>
      <w:r w:rsidR="006B54CD" w:rsidRPr="005F62F4">
        <w:t xml:space="preserve">relation to the </w:t>
      </w:r>
      <w:r w:rsidR="00182BA7" w:rsidRPr="005F62F4">
        <w:t xml:space="preserve">comparative clinical effectiveness of </w:t>
      </w:r>
      <w:r w:rsidR="006B54CD" w:rsidRPr="005F62F4">
        <w:t xml:space="preserve">specific </w:t>
      </w:r>
      <w:r w:rsidR="00182BA7" w:rsidRPr="005F62F4">
        <w:t>products.</w:t>
      </w:r>
      <w:r w:rsidR="00CA69CF" w:rsidRPr="005F62F4">
        <w:t xml:space="preserve"> </w:t>
      </w:r>
      <w:r w:rsidR="00B51A0C" w:rsidRPr="005F62F4">
        <w:t>T</w:t>
      </w:r>
      <w:r w:rsidR="00534FF0" w:rsidRPr="005F62F4">
        <w:t>he findings and limitations</w:t>
      </w:r>
      <w:r w:rsidR="009D242F" w:rsidRPr="005F62F4">
        <w:t xml:space="preserve"> of each approach</w:t>
      </w:r>
      <w:r w:rsidR="00534FF0" w:rsidRPr="005F62F4">
        <w:t xml:space="preserve"> </w:t>
      </w:r>
      <w:r w:rsidR="00B51A0C" w:rsidRPr="005F62F4">
        <w:t xml:space="preserve">are </w:t>
      </w:r>
      <w:r w:rsidR="009D242F" w:rsidRPr="005F62F4">
        <w:t>discussed</w:t>
      </w:r>
      <w:r w:rsidR="00B51A0C" w:rsidRPr="005F62F4">
        <w:t xml:space="preserve"> </w:t>
      </w:r>
      <w:r w:rsidR="009D242F" w:rsidRPr="005F62F4">
        <w:t>in more detail in the following sections</w:t>
      </w:r>
      <w:r w:rsidR="00753FB5" w:rsidRPr="005F62F4">
        <w:t>.</w:t>
      </w:r>
      <w:bookmarkStart w:id="122" w:name="_Ref128394105"/>
      <w:bookmarkEnd w:id="112"/>
      <w:bookmarkEnd w:id="114"/>
      <w:bookmarkEnd w:id="115"/>
      <w:bookmarkEnd w:id="116"/>
      <w:bookmarkEnd w:id="117"/>
      <w:bookmarkEnd w:id="118"/>
      <w:bookmarkEnd w:id="119"/>
      <w:bookmarkEnd w:id="120"/>
      <w:bookmarkEnd w:id="121"/>
    </w:p>
    <w:p w14:paraId="08E81DD6" w14:textId="604544FE" w:rsidR="002B2C1A" w:rsidRPr="005F62F4" w:rsidRDefault="008A4182" w:rsidP="004F2931">
      <w:pPr>
        <w:pStyle w:val="Heading2"/>
      </w:pPr>
      <w:bookmarkStart w:id="123" w:name="_Ref129954064"/>
      <w:bookmarkStart w:id="124" w:name="_Ref129954117"/>
      <w:bookmarkStart w:id="125" w:name="_Toc129954605"/>
      <w:r w:rsidRPr="005F62F4">
        <w:t>Systematic review of products listed on the PL</w:t>
      </w:r>
      <w:bookmarkEnd w:id="122"/>
      <w:bookmarkEnd w:id="123"/>
      <w:bookmarkEnd w:id="124"/>
      <w:bookmarkEnd w:id="125"/>
    </w:p>
    <w:p w14:paraId="52D3E482" w14:textId="4BB26A11" w:rsidR="00C22BEC" w:rsidRPr="005F62F4" w:rsidRDefault="00E31CFD" w:rsidP="00760CEB">
      <w:pPr>
        <w:pStyle w:val="ParaKeep"/>
      </w:pPr>
      <w:bookmarkStart w:id="126" w:name="_Toc388453125"/>
      <w:r w:rsidRPr="005F62F4">
        <w:t xml:space="preserve">To address </w:t>
      </w:r>
      <w:proofErr w:type="spellStart"/>
      <w:r w:rsidRPr="005F62F4">
        <w:t>T</w:t>
      </w:r>
      <w:r w:rsidR="007E012C" w:rsidRPr="005F62F4">
        <w:t>o</w:t>
      </w:r>
      <w:r w:rsidRPr="005F62F4">
        <w:t>R</w:t>
      </w:r>
      <w:proofErr w:type="spellEnd"/>
      <w:r w:rsidR="00C86AF9" w:rsidRPr="005F62F4">
        <w:t xml:space="preserve"> </w:t>
      </w:r>
      <w:r w:rsidRPr="005F62F4">
        <w:t xml:space="preserve">2, </w:t>
      </w:r>
      <w:r w:rsidR="00DD7267" w:rsidRPr="005F62F4">
        <w:t>w</w:t>
      </w:r>
      <w:r w:rsidR="00C709CD" w:rsidRPr="005F62F4">
        <w:t xml:space="preserve">e undertook </w:t>
      </w:r>
      <w:r w:rsidRPr="005F62F4">
        <w:t>a</w:t>
      </w:r>
      <w:r w:rsidR="00826D82" w:rsidRPr="005F62F4">
        <w:t xml:space="preserve"> rapid and targeted systematic review of published literature</w:t>
      </w:r>
      <w:r w:rsidR="003F14CE" w:rsidRPr="005F62F4">
        <w:t xml:space="preserve"> </w:t>
      </w:r>
      <w:r w:rsidR="00826D82" w:rsidRPr="005F62F4">
        <w:t xml:space="preserve">to capture the evidence for </w:t>
      </w:r>
      <w:r w:rsidRPr="005F62F4">
        <w:t xml:space="preserve">the </w:t>
      </w:r>
      <w:r w:rsidR="00286835" w:rsidRPr="005F62F4">
        <w:t xml:space="preserve">surgical guides and </w:t>
      </w:r>
      <w:proofErr w:type="spellStart"/>
      <w:r w:rsidR="00286835" w:rsidRPr="005F62F4">
        <w:t>biomodels</w:t>
      </w:r>
      <w:proofErr w:type="spellEnd"/>
      <w:r w:rsidR="00286835" w:rsidRPr="005F62F4">
        <w:t xml:space="preserve"> </w:t>
      </w:r>
      <w:r w:rsidR="00826D82" w:rsidRPr="005F62F4">
        <w:t xml:space="preserve">currently listed on the PL. </w:t>
      </w:r>
      <w:r w:rsidR="002B798F" w:rsidRPr="005F62F4">
        <w:t>T</w:t>
      </w:r>
      <w:r w:rsidRPr="005F62F4">
        <w:t>h</w:t>
      </w:r>
      <w:r w:rsidR="00137C41" w:rsidRPr="005F62F4">
        <w:t>is systematic</w:t>
      </w:r>
      <w:r w:rsidRPr="005F62F4">
        <w:t xml:space="preserve"> review </w:t>
      </w:r>
      <w:r w:rsidR="002B798F" w:rsidRPr="005F62F4">
        <w:t xml:space="preserve">aimed </w:t>
      </w:r>
      <w:r w:rsidRPr="005F62F4">
        <w:t xml:space="preserve">to </w:t>
      </w:r>
      <w:r w:rsidR="00FD6E6A" w:rsidRPr="005F62F4">
        <w:t xml:space="preserve">identify </w:t>
      </w:r>
      <w:r w:rsidR="009C0F06" w:rsidRPr="005F62F4">
        <w:t xml:space="preserve">and analyse </w:t>
      </w:r>
      <w:r w:rsidR="006E3A98" w:rsidRPr="005F62F4">
        <w:t xml:space="preserve">evidence regarding the clinical effectiveness of </w:t>
      </w:r>
      <w:r w:rsidR="000D73D7" w:rsidRPr="005F62F4">
        <w:rPr>
          <w:lang w:val="en-GB"/>
        </w:rPr>
        <w:t>currently</w:t>
      </w:r>
      <w:r w:rsidR="00B432EF" w:rsidRPr="005F62F4">
        <w:rPr>
          <w:lang w:val="en-GB"/>
        </w:rPr>
        <w:t xml:space="preserve"> listed </w:t>
      </w:r>
      <w:r w:rsidR="000D73D7" w:rsidRPr="005F62F4">
        <w:rPr>
          <w:lang w:val="en-GB"/>
        </w:rPr>
        <w:t xml:space="preserve">products </w:t>
      </w:r>
      <w:r w:rsidR="000D73D7" w:rsidRPr="005F62F4">
        <w:t>against</w:t>
      </w:r>
      <w:r w:rsidR="006E3A98" w:rsidRPr="005F62F4">
        <w:t xml:space="preserve"> an appropriate comparator</w:t>
      </w:r>
      <w:r w:rsidR="00DF0294" w:rsidRPr="005F62F4">
        <w:t>,</w:t>
      </w:r>
      <w:r w:rsidR="00D81A72" w:rsidRPr="005F62F4">
        <w:t xml:space="preserve"> </w:t>
      </w:r>
      <w:r w:rsidR="009B2489" w:rsidRPr="005F62F4">
        <w:t>and</w:t>
      </w:r>
      <w:r w:rsidR="00710B18" w:rsidRPr="005F62F4">
        <w:t xml:space="preserve"> to</w:t>
      </w:r>
      <w:r w:rsidR="009B2489" w:rsidRPr="005F62F4">
        <w:t xml:space="preserve"> identify the circumstances in which </w:t>
      </w:r>
      <w:r w:rsidR="00212AFD" w:rsidRPr="005F62F4">
        <w:t>they</w:t>
      </w:r>
      <w:r w:rsidR="009B2489" w:rsidRPr="005F62F4">
        <w:t xml:space="preserve"> provide clinical benefit.</w:t>
      </w:r>
      <w:r w:rsidR="00A22F5E" w:rsidRPr="005F62F4">
        <w:t xml:space="preserve"> We used sponsor and product names to search MEDLINE for relevant studies.</w:t>
      </w:r>
    </w:p>
    <w:p w14:paraId="08DB5710" w14:textId="593E8963" w:rsidR="00760CEB" w:rsidRPr="005F62F4" w:rsidRDefault="00316B8C" w:rsidP="000556F8">
      <w:pPr>
        <w:pStyle w:val="Para"/>
      </w:pPr>
      <w:r w:rsidRPr="005F62F4">
        <w:t>We identified a</w:t>
      </w:r>
      <w:r w:rsidR="00162EE9" w:rsidRPr="005F62F4">
        <w:t xml:space="preserve"> total of 13 articles </w:t>
      </w:r>
      <w:r w:rsidR="00760CEB" w:rsidRPr="005F62F4">
        <w:t xml:space="preserve">for </w:t>
      </w:r>
      <w:r w:rsidR="008D6CDE" w:rsidRPr="005F62F4">
        <w:t>inclu</w:t>
      </w:r>
      <w:r w:rsidR="00760CEB" w:rsidRPr="005F62F4">
        <w:t>sion</w:t>
      </w:r>
      <w:r w:rsidR="008D6CDE" w:rsidRPr="005F62F4">
        <w:t xml:space="preserve"> in</w:t>
      </w:r>
      <w:r w:rsidR="008D2666" w:rsidRPr="005F62F4">
        <w:t xml:space="preserve"> the systematic review </w:t>
      </w:r>
      <w:r w:rsidR="0054196F" w:rsidRPr="005F62F4">
        <w:t xml:space="preserve">(see </w:t>
      </w:r>
      <w:r w:rsidR="00760CEB" w:rsidRPr="005F62F4">
        <w:fldChar w:fldCharType="begin"/>
      </w:r>
      <w:r w:rsidR="00760CEB" w:rsidRPr="005F62F4">
        <w:instrText xml:space="preserve"> REF _Ref119662524 \r \h </w:instrText>
      </w:r>
      <w:r w:rsidR="005F62F4">
        <w:instrText xml:space="preserve"> \* MERGEFORMAT </w:instrText>
      </w:r>
      <w:r w:rsidR="00760CEB" w:rsidRPr="005F62F4">
        <w:fldChar w:fldCharType="separate"/>
      </w:r>
      <w:r w:rsidR="005606BF">
        <w:t>Appendix C</w:t>
      </w:r>
      <w:r w:rsidR="00760CEB" w:rsidRPr="005F62F4">
        <w:fldChar w:fldCharType="end"/>
      </w:r>
      <w:r w:rsidR="0054196F" w:rsidRPr="005F62F4">
        <w:t xml:space="preserve"> for </w:t>
      </w:r>
      <w:r w:rsidR="00760CEB" w:rsidRPr="005F62F4" w:rsidDel="009A65CA">
        <w:t>detail on the search strategy</w:t>
      </w:r>
      <w:r w:rsidR="002501AA" w:rsidRPr="005F62F4">
        <w:t>,</w:t>
      </w:r>
      <w:r w:rsidR="00760CEB" w:rsidRPr="005F62F4" w:rsidDel="009A65CA">
        <w:t xml:space="preserve"> inclusion and exclusion criteria, search syntax and article selection and data extraction methods</w:t>
      </w:r>
      <w:r w:rsidR="00A3480D" w:rsidRPr="005F62F4">
        <w:t>)</w:t>
      </w:r>
      <w:r w:rsidR="00760CEB" w:rsidRPr="005F62F4" w:rsidDel="009A65CA">
        <w:t>.</w:t>
      </w:r>
      <w:r w:rsidR="00012D46" w:rsidRPr="005F62F4">
        <w:t xml:space="preserve"> </w:t>
      </w:r>
      <w:proofErr w:type="gramStart"/>
      <w:r w:rsidR="00012D46" w:rsidRPr="005F62F4">
        <w:t>All of</w:t>
      </w:r>
      <w:proofErr w:type="gramEnd"/>
      <w:r w:rsidR="00012D46" w:rsidRPr="005F62F4">
        <w:t xml:space="preserve"> the included studies related to just one of the 32 in-scope products (</w:t>
      </w:r>
      <w:proofErr w:type="spellStart"/>
      <w:r w:rsidR="00012D46" w:rsidRPr="005F62F4">
        <w:t>ProPlan</w:t>
      </w:r>
      <w:proofErr w:type="spellEnd"/>
      <w:r w:rsidR="001E0F57" w:rsidRPr="005F62F4">
        <w:t>/</w:t>
      </w:r>
      <w:proofErr w:type="spellStart"/>
      <w:r w:rsidR="001E0F57" w:rsidRPr="005F62F4">
        <w:t>TruMatch</w:t>
      </w:r>
      <w:proofErr w:type="spellEnd"/>
      <w:r w:rsidR="00012D46" w:rsidRPr="005F62F4">
        <w:t>).</w:t>
      </w:r>
    </w:p>
    <w:p w14:paraId="4715965F" w14:textId="00F219F7" w:rsidR="001A7DA7" w:rsidRPr="005F62F4" w:rsidRDefault="001A7DA7" w:rsidP="001A7DA7">
      <w:pPr>
        <w:pStyle w:val="Para"/>
      </w:pPr>
      <w:r w:rsidRPr="005F62F4">
        <w:t xml:space="preserve">Most studies assessed guided implant surgery (see </w:t>
      </w:r>
      <w:r w:rsidRPr="005F62F4">
        <w:fldChar w:fldCharType="begin"/>
      </w:r>
      <w:r w:rsidRPr="005F62F4">
        <w:instrText xml:space="preserve"> REF _Ref119907886 \h </w:instrText>
      </w:r>
      <w:r w:rsidR="005F62F4">
        <w:instrText xml:space="preserve"> \* MERGEFORMAT </w:instrText>
      </w:r>
      <w:r w:rsidRPr="005F62F4">
        <w:fldChar w:fldCharType="separate"/>
      </w:r>
      <w:r w:rsidR="005606BF" w:rsidRPr="005F62F4">
        <w:t>Figure </w:t>
      </w:r>
      <w:r w:rsidR="005606BF">
        <w:t>1</w:t>
      </w:r>
      <w:r w:rsidRPr="005F62F4">
        <w:fldChar w:fldCharType="end"/>
      </w:r>
      <w:r w:rsidRPr="005F62F4">
        <w:t xml:space="preserve">) that included the use of virtual surgical planning, surgical guides and/or </w:t>
      </w:r>
      <w:proofErr w:type="spellStart"/>
      <w:r w:rsidRPr="005F62F4">
        <w:t>biomodels</w:t>
      </w:r>
      <w:proofErr w:type="spellEnd"/>
      <w:r w:rsidRPr="005F62F4">
        <w:t xml:space="preserve"> (as well as, in some cases, patient-specific implants and other confounding variables).</w:t>
      </w:r>
      <w:r w:rsidRPr="005F62F4">
        <w:rPr>
          <w:rStyle w:val="FootnoteReference"/>
        </w:rPr>
        <w:footnoteReference w:id="14"/>
      </w:r>
      <w:r w:rsidRPr="005F62F4">
        <w:t xml:space="preserve"> As such, outcomes cannot be solely attributed to </w:t>
      </w:r>
      <w:r w:rsidR="00D3635B" w:rsidRPr="005F62F4">
        <w:t>the listed product</w:t>
      </w:r>
      <w:r w:rsidRPr="005F62F4">
        <w:t>, limiting our ability to draw conclusions about their comparative benefits and effectiveness.</w:t>
      </w:r>
    </w:p>
    <w:p w14:paraId="6F3FF10C" w14:textId="67FF4DFA" w:rsidR="00FF7E32" w:rsidRPr="005F62F4" w:rsidRDefault="001A7DA7" w:rsidP="000556F8">
      <w:pPr>
        <w:pStyle w:val="Para"/>
      </w:pPr>
      <w:r w:rsidRPr="005F62F4">
        <w:lastRenderedPageBreak/>
        <w:t xml:space="preserve">This was further complicated by the inherent role of virtual surgical planning in the production of surgical guides and </w:t>
      </w:r>
      <w:proofErr w:type="spellStart"/>
      <w:r w:rsidRPr="005F62F4">
        <w:t>biomodels</w:t>
      </w:r>
      <w:proofErr w:type="spellEnd"/>
      <w:r w:rsidRPr="005F62F4">
        <w:t xml:space="preserve">, and the various protocols and software products used. For example, in the </w:t>
      </w:r>
      <w:r w:rsidR="0077104B" w:rsidRPr="005F62F4">
        <w:t xml:space="preserve">included </w:t>
      </w:r>
      <w:r w:rsidRPr="005F62F4">
        <w:t>studies, ‘</w:t>
      </w:r>
      <w:proofErr w:type="spellStart"/>
      <w:r w:rsidRPr="005F62F4">
        <w:t>ProPlan</w:t>
      </w:r>
      <w:proofErr w:type="spellEnd"/>
      <w:r w:rsidRPr="005F62F4">
        <w:t xml:space="preserve">’ refers to the </w:t>
      </w:r>
      <w:r w:rsidRPr="005F62F4">
        <w:rPr>
          <w:rStyle w:val="Emphasis"/>
        </w:rPr>
        <w:t>software</w:t>
      </w:r>
      <w:r w:rsidRPr="005F62F4">
        <w:t xml:space="preserve"> used to conduct virtual surgical planning and design surgical guides, </w:t>
      </w:r>
      <w:proofErr w:type="spellStart"/>
      <w:r w:rsidRPr="005F62F4">
        <w:t>biomodels</w:t>
      </w:r>
      <w:proofErr w:type="spellEnd"/>
      <w:r w:rsidRPr="005F62F4">
        <w:t>, and implants</w:t>
      </w:r>
      <w:r w:rsidR="00962A7E" w:rsidRPr="005F62F4">
        <w:t>,</w:t>
      </w:r>
      <w:r w:rsidR="00FD7780" w:rsidRPr="005F62F4">
        <w:t xml:space="preserve"> </w:t>
      </w:r>
      <w:r w:rsidR="007B3DC6" w:rsidRPr="005F62F4">
        <w:t>while</w:t>
      </w:r>
      <w:r w:rsidRPr="005F62F4">
        <w:t xml:space="preserve"> in the context of the PL, ‘</w:t>
      </w:r>
      <w:proofErr w:type="spellStart"/>
      <w:r w:rsidRPr="005F62F4">
        <w:t>ProPlan</w:t>
      </w:r>
      <w:proofErr w:type="spellEnd"/>
      <w:r w:rsidRPr="005F62F4">
        <w:t xml:space="preserve">’ refers to the </w:t>
      </w:r>
      <w:r w:rsidRPr="005F62F4">
        <w:rPr>
          <w:rStyle w:val="Emphasis"/>
        </w:rPr>
        <w:t>physical items</w:t>
      </w:r>
      <w:r w:rsidRPr="005F62F4">
        <w:t xml:space="preserve"> </w:t>
      </w:r>
      <w:r w:rsidR="00993176" w:rsidRPr="005F62F4">
        <w:t>(a kit including screws, custom</w:t>
      </w:r>
      <w:r w:rsidR="00684C07">
        <w:t>-</w:t>
      </w:r>
      <w:r w:rsidR="00993176" w:rsidRPr="005F62F4">
        <w:t xml:space="preserve">made surgical guides, anatomical models and/or implants) </w:t>
      </w:r>
      <w:r w:rsidRPr="005F62F4">
        <w:t xml:space="preserve">produced </w:t>
      </w:r>
      <w:r w:rsidR="00993176" w:rsidRPr="005F62F4">
        <w:t>using this software</w:t>
      </w:r>
      <w:r w:rsidRPr="005F62F4">
        <w:t>.</w:t>
      </w:r>
    </w:p>
    <w:p w14:paraId="38CBF9E2" w14:textId="485F69E1" w:rsidR="000D59EB" w:rsidRPr="005F62F4" w:rsidRDefault="00E40E25" w:rsidP="000556F8">
      <w:pPr>
        <w:pStyle w:val="Para"/>
      </w:pPr>
      <w:r w:rsidRPr="005F62F4">
        <w:t>Data was extracted from these articles using</w:t>
      </w:r>
      <w:r w:rsidR="00F965DE" w:rsidRPr="005F62F4">
        <w:t xml:space="preserve"> a PICO (</w:t>
      </w:r>
      <w:r w:rsidR="00B87A0A" w:rsidRPr="005F62F4">
        <w:t>population</w:t>
      </w:r>
      <w:r w:rsidR="00F965DE" w:rsidRPr="005F62F4">
        <w:t>, intervention, comparator, outcomes) framework</w:t>
      </w:r>
      <w:r w:rsidRPr="005F62F4">
        <w:t>. A</w:t>
      </w:r>
      <w:r w:rsidR="00894E31" w:rsidRPr="005F62F4">
        <w:t>n overview of synthesised findings is provided below</w:t>
      </w:r>
      <w:r w:rsidR="008C6ABD" w:rsidRPr="005F62F4">
        <w:t>. A</w:t>
      </w:r>
      <w:r w:rsidR="00151712" w:rsidRPr="005F62F4">
        <w:t xml:space="preserve"> </w:t>
      </w:r>
      <w:r w:rsidR="00F965DE" w:rsidRPr="005F62F4">
        <w:t xml:space="preserve">summary of each </w:t>
      </w:r>
      <w:r w:rsidRPr="005F62F4">
        <w:t>study</w:t>
      </w:r>
      <w:r w:rsidR="00F965DE" w:rsidRPr="005F62F4">
        <w:t xml:space="preserve"> is </w:t>
      </w:r>
      <w:r w:rsidR="00A5357E" w:rsidRPr="005F62F4">
        <w:t xml:space="preserve">provided in </w:t>
      </w:r>
      <w:r w:rsidR="009537EA" w:rsidRPr="005F62F4">
        <w:fldChar w:fldCharType="begin"/>
      </w:r>
      <w:r w:rsidR="009537EA" w:rsidRPr="005F62F4">
        <w:instrText xml:space="preserve"> REF _Ref119871094 \h </w:instrText>
      </w:r>
      <w:r w:rsidR="005F62F4">
        <w:instrText xml:space="preserve"> \* MERGEFORMAT </w:instrText>
      </w:r>
      <w:r w:rsidR="009537EA" w:rsidRPr="005F62F4">
        <w:fldChar w:fldCharType="separate"/>
      </w:r>
      <w:r w:rsidR="005606BF" w:rsidRPr="005F62F4">
        <w:t>Table </w:t>
      </w:r>
      <w:r w:rsidR="005606BF">
        <w:t>3</w:t>
      </w:r>
      <w:r w:rsidR="009537EA" w:rsidRPr="005F62F4">
        <w:fldChar w:fldCharType="end"/>
      </w:r>
      <w:r w:rsidR="0028606D" w:rsidRPr="005F62F4">
        <w:t xml:space="preserve">, </w:t>
      </w:r>
      <w:r w:rsidR="00593E27" w:rsidRPr="005F62F4">
        <w:t xml:space="preserve">followed by and </w:t>
      </w:r>
      <w:r w:rsidR="0002302E" w:rsidRPr="005F62F4">
        <w:t xml:space="preserve">discussion of the quality and limitations of the available evidence. </w:t>
      </w:r>
      <w:r w:rsidR="00AF65E1" w:rsidRPr="005F62F4">
        <w:t>M</w:t>
      </w:r>
      <w:r w:rsidR="00A5357E" w:rsidRPr="005F62F4">
        <w:t xml:space="preserve">ore </w:t>
      </w:r>
      <w:r w:rsidR="007D3E25" w:rsidRPr="005F62F4">
        <w:t>detailed</w:t>
      </w:r>
      <w:r w:rsidR="00A5357E" w:rsidRPr="005F62F4">
        <w:t xml:space="preserve"> </w:t>
      </w:r>
      <w:r w:rsidR="0028606D" w:rsidRPr="005F62F4">
        <w:t xml:space="preserve">information </w:t>
      </w:r>
      <w:r w:rsidR="007D3E25" w:rsidRPr="005F62F4">
        <w:t>on each stu</w:t>
      </w:r>
      <w:r w:rsidR="00C53AAD" w:rsidRPr="005F62F4">
        <w:t xml:space="preserve">dy </w:t>
      </w:r>
      <w:r w:rsidR="00AF65E1" w:rsidRPr="005F62F4">
        <w:t>is</w:t>
      </w:r>
      <w:r w:rsidR="0028606D" w:rsidRPr="005F62F4">
        <w:t xml:space="preserve"> available in </w:t>
      </w:r>
      <w:r w:rsidR="004B17DE" w:rsidRPr="005F62F4">
        <w:fldChar w:fldCharType="begin"/>
      </w:r>
      <w:r w:rsidR="004B17DE" w:rsidRPr="005F62F4">
        <w:instrText xml:space="preserve"> REF _Ref119662524 \r \h </w:instrText>
      </w:r>
      <w:r w:rsidR="005F62F4">
        <w:instrText xml:space="preserve"> \* MERGEFORMAT </w:instrText>
      </w:r>
      <w:r w:rsidR="004B17DE" w:rsidRPr="005F62F4">
        <w:fldChar w:fldCharType="separate"/>
      </w:r>
      <w:r w:rsidR="005606BF">
        <w:t>Appendix C</w:t>
      </w:r>
      <w:r w:rsidR="004B17DE" w:rsidRPr="005F62F4">
        <w:fldChar w:fldCharType="end"/>
      </w:r>
      <w:r w:rsidR="0028606D" w:rsidRPr="005F62F4">
        <w:t>.</w:t>
      </w:r>
    </w:p>
    <w:p w14:paraId="2766E9A6" w14:textId="77777777" w:rsidR="00A96267" w:rsidRPr="005F62F4" w:rsidRDefault="00A96267" w:rsidP="004F2931">
      <w:pPr>
        <w:pStyle w:val="Heading3"/>
      </w:pPr>
      <w:r w:rsidRPr="005F62F4" w:rsidDel="0072209B">
        <w:t>Systematic review findings</w:t>
      </w:r>
    </w:p>
    <w:p w14:paraId="116AF642" w14:textId="10020E70" w:rsidR="00E16415" w:rsidRPr="005F62F4" w:rsidRDefault="00E16415" w:rsidP="004F2931">
      <w:pPr>
        <w:pStyle w:val="Heading4"/>
      </w:pPr>
      <w:r w:rsidRPr="005F62F4">
        <w:t>Population</w:t>
      </w:r>
    </w:p>
    <w:p w14:paraId="21389C59" w14:textId="7FB33EA2" w:rsidR="00F73CFA" w:rsidRPr="005F62F4" w:rsidRDefault="004B17DE" w:rsidP="00E70C98">
      <w:pPr>
        <w:pStyle w:val="Para"/>
        <w:spacing w:before="120"/>
      </w:pPr>
      <w:r w:rsidRPr="005F62F4">
        <w:t xml:space="preserve">In </w:t>
      </w:r>
      <w:proofErr w:type="gramStart"/>
      <w:r w:rsidRPr="005F62F4">
        <w:t>t</w:t>
      </w:r>
      <w:r w:rsidR="00957501" w:rsidRPr="005F62F4">
        <w:t>he majority of</w:t>
      </w:r>
      <w:proofErr w:type="gramEnd"/>
      <w:r w:rsidR="00957501" w:rsidRPr="005F62F4">
        <w:t xml:space="preserve"> studies</w:t>
      </w:r>
      <w:r w:rsidRPr="005F62F4">
        <w:t xml:space="preserve">, the population was </w:t>
      </w:r>
      <w:r w:rsidR="00BE015E" w:rsidRPr="005F62F4">
        <w:t xml:space="preserve">patients undergoing </w:t>
      </w:r>
      <w:r w:rsidR="003F05C9" w:rsidRPr="005F62F4">
        <w:t>CMF</w:t>
      </w:r>
      <w:r w:rsidRPr="005F62F4">
        <w:t xml:space="preserve"> </w:t>
      </w:r>
      <w:r w:rsidR="00BE015E" w:rsidRPr="005F62F4">
        <w:t>surgery</w:t>
      </w:r>
      <w:r w:rsidRPr="005F62F4">
        <w:t xml:space="preserve"> </w:t>
      </w:r>
      <w:r w:rsidR="0003359E" w:rsidRPr="005F62F4">
        <w:t xml:space="preserve">– </w:t>
      </w:r>
      <w:r w:rsidRPr="005F62F4">
        <w:t xml:space="preserve">specifically </w:t>
      </w:r>
      <w:r w:rsidR="00957501" w:rsidRPr="005F62F4">
        <w:t xml:space="preserve">maxillary or mandibular </w:t>
      </w:r>
      <w:r w:rsidR="00F70748" w:rsidRPr="005F62F4">
        <w:t>reconstruction</w:t>
      </w:r>
      <w:r w:rsidR="006963BF" w:rsidRPr="005F62F4">
        <w:t xml:space="preserve"> surgery</w:t>
      </w:r>
      <w:r w:rsidR="00BE015E" w:rsidRPr="005F62F4">
        <w:t>.</w:t>
      </w:r>
      <w:r w:rsidR="002274A1" w:rsidRPr="005F62F4">
        <w:t xml:space="preserve"> </w:t>
      </w:r>
      <w:r w:rsidR="00D811D5" w:rsidRPr="005F62F4">
        <w:t>O</w:t>
      </w:r>
      <w:r w:rsidR="003E452E" w:rsidRPr="005F62F4">
        <w:t xml:space="preserve">nly one study </w:t>
      </w:r>
      <w:r w:rsidR="00024A35" w:rsidRPr="005F62F4">
        <w:t xml:space="preserve">outside of the </w:t>
      </w:r>
      <w:r w:rsidR="003F05C9" w:rsidRPr="005F62F4">
        <w:t>CMF</w:t>
      </w:r>
      <w:r w:rsidR="00024A35" w:rsidRPr="005F62F4">
        <w:t xml:space="preserve"> context was identified</w:t>
      </w:r>
      <w:r w:rsidR="00962981" w:rsidRPr="005F62F4">
        <w:t xml:space="preserve">, with </w:t>
      </w:r>
      <w:r w:rsidR="00962981" w:rsidRPr="005F62F4">
        <w:fldChar w:fldCharType="begin" w:fldLock="1"/>
      </w:r>
      <w:r w:rsidR="00F7188B" w:rsidRPr="005F62F4">
        <w:instrText>ADDIN CSL_CITATION {"citationItems":[{"id":"ITEM-1","itemData":{"DOI":"10.1016/j.jor.2019.11.040","ISSN":"0972978X","abstract":"Objective: Patient-specific templates promises to be able to increase alignment while decreasing operative time, increasing patient throughput, decreasing instrumentation, reducing risk of fat embolism and intraoperative bleeding, decreasing tissue loss, shortening recovery, reducing post-operative pain and decreasing incidence of infection. However, multiple studies have shown conflicting results regarding these potential benefits. This study serves to critically evaluate the potential advantages and disadvantages of using a patient-specific templating technique through a single-surgeon study. Methods: All patients who underwent primary total knee arthroplasty (TKA) for osteoarthritis of the knee using TruMatch® Personal Solutions total knee replacement by a single surgeon were identified. An age-, gender-, side-, diagnosis- and surgeon-matched cohort who underwent conventional primary TKAs was randomly identified for comparison. Results: The average distal medial femur (p &lt; 0.001), distal lateral femur (p &lt; 0.001), posteromedial femur (p &lt; 0.001), posterolateral femur (p &lt; 0.001), medial tibial (p &lt; 0.001) and lateral tibial (p = 0.12) predicted cuts showed significant difference from the actual corresponding cuts. Three knees also required the need to freehand. There was no significant difference in mechanical (p = 0.96) and anatomical alignments (p = 0.26), as well as the changes in mechanical (p = 0.06) and anatomical (p = 0.39) alignments between the two groups. Duration of surgery (p = 0.26), length of inpatient stay (p = 0.06) and incidence of wound infection (p = 1.00) were similar. Additionally, patients in the TruMatch® Personal Solutions group had a greater decrease drop in hemoglobin levels (p = 0.02), with five transfusions needed while only one patient in the conventional group required transfusion (p = 0.09). Conclusion: Our early experience and results with the CT-based TruMatch® Personal Solutions templates for TKA has not been promising. Despite promised, there were no demonstrable benefits with the technology. Moreover, the disadvantage of having increased blood loss was identified. Further studies are required to recommend the use of this technology.","author":[{"dropping-particle":"","family":"Silva","given":"Amila N.","non-dropping-particle":"","parse-names":false,"suffix":""},{"dropping-particle":"","family":"Tay","given":"You Wei Adriel","non-dropping-particle":"","parse-names":false,"suffix":""},{"dropping-particle":"","family":"Si Heng","given":"Sharon Tan","non-dropping-particle":"","parse-names":false,"suffix":""},{"dropping-particle":"","family":"Foo","given":"Siang Shen Leon","non-dropping-particle":"","parse-names":false,"suffix":""},{"dropping-particle":"","family":"Pang","given":"Hee Nee","non-dropping-particle":"","parse-names":false,"suffix":""},{"dropping-particle":"","family":"Keng Jin","given":"Darren Tay","non-dropping-particle":"","parse-names":false,"suffix":""},{"dropping-particle":"","family":"Lo","given":"Ngai Nung","non-dropping-particle":"","parse-names":false,"suffix":""},{"dropping-particle":"","family":"Yeo","given":"Seng Jin","non-dropping-particle":"","parse-names":false,"suffix":""}],"container-title":"Journal of Orthopaedics","id":"ITEM-1","issue":"November 2019","issued":{"date-parts":[["2020"]]},"page":"17-20","publisher":"Elsevier","title":"CT-based TruMatch® Personal Solutions for knee replacement surgery…Does it really match?","type":"article-journal","volume":"19"},"uris":["http://www.mendeley.com/documents/?uuid=ba9bd76c-cccf-4d86-81f0-0f8aaa8826ff"]}],"mendeley":{"formattedCitation":"(Silva et al. 2020)","manualFormatting":"Silva et al. (2020)","plainTextFormattedCitation":"(Silva et al. 2020)","previouslyFormattedCitation":"(Silva et al. 2020)"},"properties":{"noteIndex":0},"schema":"https://github.com/citation-style-language/schema/raw/master/csl-citation.json"}</w:instrText>
      </w:r>
      <w:r w:rsidR="00962981" w:rsidRPr="005F62F4">
        <w:fldChar w:fldCharType="separate"/>
      </w:r>
      <w:r w:rsidR="00962981" w:rsidRPr="005F62F4">
        <w:rPr>
          <w:noProof/>
        </w:rPr>
        <w:t>Silva et al. (2020)</w:t>
      </w:r>
      <w:r w:rsidR="00962981" w:rsidRPr="005F62F4">
        <w:fldChar w:fldCharType="end"/>
      </w:r>
      <w:r w:rsidR="00962981" w:rsidRPr="005F62F4">
        <w:t xml:space="preserve"> instead focusing on </w:t>
      </w:r>
      <w:r w:rsidRPr="005F62F4">
        <w:t xml:space="preserve">reconstructive </w:t>
      </w:r>
      <w:r w:rsidR="0006338A" w:rsidRPr="005F62F4">
        <w:t xml:space="preserve">knee </w:t>
      </w:r>
      <w:r w:rsidRPr="005F62F4">
        <w:t>surgery (total knee arthroplasty)</w:t>
      </w:r>
      <w:r w:rsidR="00962981" w:rsidRPr="005F62F4">
        <w:t>.</w:t>
      </w:r>
    </w:p>
    <w:p w14:paraId="74F58603" w14:textId="3378BB88" w:rsidR="00E16415" w:rsidRPr="005F62F4" w:rsidRDefault="00E16415" w:rsidP="004F2931">
      <w:pPr>
        <w:pStyle w:val="Heading4"/>
      </w:pPr>
      <w:r w:rsidRPr="005F62F4">
        <w:t>Intervention</w:t>
      </w:r>
    </w:p>
    <w:p w14:paraId="444D88B1" w14:textId="36CB4391" w:rsidR="00981F0C" w:rsidRPr="005F62F4" w:rsidRDefault="000907CF" w:rsidP="00E70C98">
      <w:pPr>
        <w:pStyle w:val="Para"/>
        <w:spacing w:before="120"/>
      </w:pPr>
      <w:r w:rsidRPr="005F62F4">
        <w:t xml:space="preserve">All </w:t>
      </w:r>
      <w:r w:rsidR="000D73D7" w:rsidRPr="005F62F4">
        <w:t>identified</w:t>
      </w:r>
      <w:r w:rsidRPr="005F62F4">
        <w:t xml:space="preserve"> studies were case-control studies (9</w:t>
      </w:r>
      <w:r w:rsidR="007A6810" w:rsidRPr="005F62F4">
        <w:t> </w:t>
      </w:r>
      <w:r w:rsidRPr="005F62F4">
        <w:t>were retrospective in design, 2</w:t>
      </w:r>
      <w:r w:rsidR="007A6810" w:rsidRPr="005F62F4">
        <w:t> </w:t>
      </w:r>
      <w:r w:rsidRPr="005F62F4">
        <w:t xml:space="preserve">were prospective and </w:t>
      </w:r>
      <w:r w:rsidR="00E30772" w:rsidRPr="005F62F4">
        <w:t>one</w:t>
      </w:r>
      <w:r w:rsidRPr="005F62F4">
        <w:t xml:space="preserve"> was unclear)</w:t>
      </w:r>
      <w:r w:rsidR="007A6810" w:rsidRPr="005F62F4">
        <w:t>.</w:t>
      </w:r>
      <w:r w:rsidRPr="005F62F4">
        <w:t xml:space="preserve"> </w:t>
      </w:r>
      <w:r w:rsidR="007A6810" w:rsidRPr="005F62F4">
        <w:t>T</w:t>
      </w:r>
      <w:r w:rsidRPr="005F62F4">
        <w:t xml:space="preserve">he ‘case’ </w:t>
      </w:r>
      <w:r w:rsidR="0000724A" w:rsidRPr="005F62F4">
        <w:t xml:space="preserve">(or intervention) </w:t>
      </w:r>
      <w:r w:rsidRPr="005F62F4">
        <w:t xml:space="preserve">group typically </w:t>
      </w:r>
      <w:r w:rsidR="00EF6485" w:rsidRPr="005F62F4">
        <w:t>involv</w:t>
      </w:r>
      <w:r w:rsidR="007A6810" w:rsidRPr="005F62F4">
        <w:t>ed</w:t>
      </w:r>
      <w:r w:rsidRPr="005F62F4">
        <w:t xml:space="preserve"> surgery assisted by virtual surgical planning/computer-assisted planning (where surgical guides and/or </w:t>
      </w:r>
      <w:proofErr w:type="spellStart"/>
      <w:r w:rsidRPr="005F62F4">
        <w:t>biomodels</w:t>
      </w:r>
      <w:proofErr w:type="spellEnd"/>
      <w:r w:rsidRPr="005F62F4">
        <w:t xml:space="preserve"> had been used)</w:t>
      </w:r>
      <w:r w:rsidR="00DD5DFA" w:rsidRPr="005F62F4">
        <w:t xml:space="preserve"> – </w:t>
      </w:r>
      <w:r w:rsidR="00A82E2D">
        <w:t>that is</w:t>
      </w:r>
      <w:r w:rsidR="00DD5DFA" w:rsidRPr="005F62F4">
        <w:t xml:space="preserve"> guided implant surgery</w:t>
      </w:r>
      <w:r w:rsidR="0095185A" w:rsidRPr="005F62F4">
        <w:t>.</w:t>
      </w:r>
    </w:p>
    <w:p w14:paraId="6961AD64" w14:textId="0F6DB276" w:rsidR="00B42346" w:rsidRPr="005F62F4" w:rsidRDefault="00006802" w:rsidP="00E70C98">
      <w:pPr>
        <w:pStyle w:val="Para"/>
        <w:spacing w:before="120"/>
      </w:pPr>
      <w:r w:rsidRPr="005F62F4">
        <w:t>While some degree of preoperative v</w:t>
      </w:r>
      <w:r w:rsidR="00B42346" w:rsidRPr="005F62F4">
        <w:t xml:space="preserve">irtual surgical planning </w:t>
      </w:r>
      <w:r w:rsidRPr="005F62F4">
        <w:t xml:space="preserve">is inherent in the production of surgical guides and, in some cases, </w:t>
      </w:r>
      <w:proofErr w:type="spellStart"/>
      <w:r w:rsidRPr="005F62F4">
        <w:t>biomodels</w:t>
      </w:r>
      <w:proofErr w:type="spellEnd"/>
      <w:r w:rsidR="0032103C" w:rsidRPr="005F62F4">
        <w:t xml:space="preserve"> (</w:t>
      </w:r>
      <w:proofErr w:type="gramStart"/>
      <w:r w:rsidR="0032103C" w:rsidRPr="005F62F4">
        <w:t>i.e.</w:t>
      </w:r>
      <w:proofErr w:type="gramEnd"/>
      <w:r w:rsidR="0032103C" w:rsidRPr="005F62F4">
        <w:t xml:space="preserve"> where they represent planned, reconstructed anatomy)</w:t>
      </w:r>
      <w:r w:rsidRPr="005F62F4">
        <w:t>, the identified studies often</w:t>
      </w:r>
      <w:r w:rsidR="00B42346" w:rsidRPr="005F62F4">
        <w:t xml:space="preserve"> included </w:t>
      </w:r>
      <w:r w:rsidRPr="005F62F4">
        <w:t xml:space="preserve">additional </w:t>
      </w:r>
      <w:r w:rsidR="0032103C" w:rsidRPr="005F62F4">
        <w:t xml:space="preserve">and confounding </w:t>
      </w:r>
      <w:r w:rsidR="00B42346" w:rsidRPr="005F62F4">
        <w:t xml:space="preserve">components </w:t>
      </w:r>
      <w:r w:rsidR="0032103C" w:rsidRPr="005F62F4">
        <w:t>associated with the technology</w:t>
      </w:r>
      <w:r w:rsidR="00B42346" w:rsidRPr="005F62F4">
        <w:t>. For example, there were 3</w:t>
      </w:r>
      <w:r w:rsidR="000D659C" w:rsidRPr="005F62F4">
        <w:t> </w:t>
      </w:r>
      <w:r w:rsidR="00B42346" w:rsidRPr="005F62F4">
        <w:t>studies</w:t>
      </w:r>
      <w:r w:rsidR="00700CD1" w:rsidRPr="005F62F4">
        <w:t xml:space="preserve"> </w:t>
      </w:r>
      <w:r w:rsidR="005B634C" w:rsidRPr="005F62F4">
        <w:t>(</w:t>
      </w:r>
      <w:r w:rsidR="002605B3" w:rsidRPr="005F62F4">
        <w:fldChar w:fldCharType="begin" w:fldLock="1"/>
      </w:r>
      <w:r w:rsidR="006D6E3B" w:rsidRPr="005F62F4">
        <w:instrText>ADDIN CSL_CITATION {"citationItems":[{"id":"ITEM-1","itemData":{"DOI":"10.1007/s00405-016-4246-4","ISSN":"14344726","PMID":"27501991","abstract":"The purpose of the study was to compare the accuracy of computer-assisted surgery (CAS) and the traditional freehand technique for fibular free flap mandibular reconstruction as well as to evaluate the accuracy of the CAS planning. The medical records of 18 patients who underwent mandibular reconstruction with fibular free flap were reviewed. The CAS group (n = 7) benefited from virtual surgical planning and custom patient-specific plates and surgical cutting guides. The Control group (n = 11) was treated by conventional surgery. Morphometric comparison was done by calculating the differences in specific linear and angular parameters on pre- and postoperative CT-scans for both groups by using ProPlan CMF® software. Symmetry was also assessed by calculating the ratio of the affected versus the nonaffected side. In the CAS group, planned and postoperative CT-scans were compared to evaluate accuracy. The morphometric comparison showed no statistically significant differences between the groups except for the axial angle on the nonaffected side (mean difference 1.0° in the CAS group versus 2.9° in the Control group; p = 0.03). Ratios of the affected side over the nonaffected side showed no differences between the two groups. In the CAS group, the accuracy assessment showed a mean distance deviation of 2.3 mm for mandibular osteotomies and 1.9 mm for fibular osteotomies. Our results indicated that CAS and the conventional freehand techniques were comparable in their ability to provide a satisfactory morphological fibular free flap mandibular reconstruction. Moreover, the accuracy of the CAS technique was within the range reported in the literature.","author":[{"dropping-particle":"","family":"Maesschalck","given":"Thibault","non-dropping-particle":"De","parse-names":false,"suffix":""},{"dropping-particle":"","family":"Courvoisier","given":"Delphine S.","non-dropping-particle":"","parse-names":false,"suffix":""},{"dropping-particle":"","family":"Scolozzi","given":"Paolo","non-dropping-particle":"","parse-names":false,"suffix":""}],"container-title":"European Archives of Oto-Rhino-Laryngology","id":"ITEM-1","issue":"1","issued":{"date-parts":[["2017"]]},"page":"517-526","publisher":"Springer Berlin Heidelberg","title":"Computer-assisted versus traditional freehand technique in fibular free flap mandibular reconstruction: a morphological comparative study","type":"article-journal","volume":"274"},"uris":["http://www.mendeley.com/documents/?uuid=64051382-fd8e-4a81-b12e-d47b7dfb4632"]}],"mendeley":{"formattedCitation":"(De Maesschalck et al. 2017)","manualFormatting":"De Maesschalck et al. 2017","plainTextFormattedCitation":"(De Maesschalck et al. 2017)","previouslyFormattedCitation":"(De Maesschalck et al. 2017)"},"properties":{"noteIndex":0},"schema":"https://github.com/citation-style-language/schema/raw/master/csl-citation.json"}</w:instrText>
      </w:r>
      <w:r w:rsidR="002605B3" w:rsidRPr="005F62F4">
        <w:fldChar w:fldCharType="separate"/>
      </w:r>
      <w:r w:rsidR="002605B3" w:rsidRPr="005F62F4">
        <w:rPr>
          <w:noProof/>
        </w:rPr>
        <w:t>De Maesschalck et al. 2017</w:t>
      </w:r>
      <w:r w:rsidR="002605B3" w:rsidRPr="005F62F4">
        <w:fldChar w:fldCharType="end"/>
      </w:r>
      <w:r w:rsidR="002605B3" w:rsidRPr="005F62F4">
        <w:t xml:space="preserve">; </w:t>
      </w:r>
      <w:r w:rsidR="002605B3" w:rsidRPr="005F62F4">
        <w:fldChar w:fldCharType="begin" w:fldLock="1"/>
      </w:r>
      <w:r w:rsidR="006D6E3B" w:rsidRPr="005F62F4">
        <w:instrText>ADDIN CSL_CITATION {"citationItems":[{"id":"ITEM-1","itemData":{"author":[{"dropping-particle":"","family":"Johal","given":"M","non-dropping-particle":"","parse-names":false,"suffix":""},{"dropping-particle":"","family":"Ma","given":"JNB","non-dropping-particle":"","parse-names":false,"suffix":""},{"dropping-particle":"","family":"Parthasarathi","given":"K","non-dropping-particle":"","parse-names":false,"suffix":""},{"dropping-particle":"","family":"Dunn","given":"M","non-dropping-particle":"","parse-names":false,"suffix":""},{"dropping-particle":"","family":"Howes","given":"D","non-dropping-particle":"","parse-names":false,"suffix":""},{"dropping-particle":"","family":"Wallace","given":"C","non-dropping-particle":"","parse-names":false,"suffix":""},{"dropping-particle":"","family":"Palme","given":"CE","non-dropping-particle":"","parse-names":false,"suffix":""},{"dropping-particle":"","family":"Leinkram","given":"D","non-dropping-particle":"","parse-names":false,"suffix":""},{"dropping-particle":"","family":"Cheng","given":"K","non-dropping-particle":"","parse-names":false,"suffix":""},{"dropping-particle":"","family":"Clark","given":"JR","non-dropping-particle":"","parse-names":false,"suffix":""}],"container-title":"Journal of Plastic, Reconstructive &amp; Aesthetic Surgery","id":"ITEM-1","issued":{"date-parts":[["2022"]]},"page":"1399-1407","title":"Institutional-based and commercial virtual surgical planning in maxillomandibular reconstruction - comparing the digital and postoperative scan","type":"article-journal","volume":"75"},"uris":["http://www.mendeley.com/documents/?uuid=21b05b5f-345c-42d3-89f8-9b8a4194471a"]}],"mendeley":{"formattedCitation":"(Johal et al. 2022)","manualFormatting":"Johal et al. 2022","plainTextFormattedCitation":"(Johal et al. 2022)","previouslyFormattedCitation":"(Johal et al. 2022)"},"properties":{"noteIndex":0},"schema":"https://github.com/citation-style-language/schema/raw/master/csl-citation.json"}</w:instrText>
      </w:r>
      <w:r w:rsidR="002605B3" w:rsidRPr="005F62F4">
        <w:fldChar w:fldCharType="separate"/>
      </w:r>
      <w:r w:rsidR="002605B3" w:rsidRPr="005F62F4">
        <w:rPr>
          <w:noProof/>
        </w:rPr>
        <w:t>Johal et al. 2022</w:t>
      </w:r>
      <w:r w:rsidR="002605B3" w:rsidRPr="005F62F4">
        <w:fldChar w:fldCharType="end"/>
      </w:r>
      <w:r w:rsidR="002605B3" w:rsidRPr="005F62F4">
        <w:t xml:space="preserve">; </w:t>
      </w:r>
      <w:r w:rsidR="00574136" w:rsidRPr="005F62F4">
        <w:fldChar w:fldCharType="begin" w:fldLock="1"/>
      </w:r>
      <w:r w:rsidR="00FE3001" w:rsidRPr="005F62F4">
        <w:instrText>ADDIN CSL_CITATION {"citationItems":[{"id":"ITEM-1","itemData":{"author":[{"dropping-particle":"","family":"Mazzola","given":"F","non-dropping-particle":"","parse-names":false,"suffix":""},{"dropping-particle":"","family":"Smithers","given":"F","non-dropping-particle":"","parse-names":false,"suffix":""},{"dropping-particle":"","family":"Cheng","given":"K","non-dropping-particle":"","parse-names":false,"suffix":""},{"dropping-particle":"","family":"Mukherjee","given":"P","non-dropping-particle":"","parse-names":false,"suffix":""},{"dropping-particle":"","family":"Low","given":"T","non-dropping-particle":"","parse-names":false,"suffix":""},{"dropping-particle":"","family":"Sydney","given":"C","non-dropping-particle":"","parse-names":false,"suffix":""},{"dropping-particle":"","family":"Palme","given":"CE","non-dropping-particle":"","parse-names":false,"suffix":""},{"dropping-particle":"","family":"Clark","given":"JR","non-dropping-particle":"","parse-names":false,"suffix":""}],"container-title":"Oral Oncology","id":"ITEM-1","issue":"2020","issued":{"date-parts":[["2019"]]},"title":"Time and cost-analysis of virtual surgical planning for head and neck reconstruction: a matched pair analysis","type":"article-journal","volume":"100"},"uris":["http://www.mendeley.com/documents/?uuid=23f43af9-f0d0-43ba-be8a-aac39dc3117c"]}],"mendeley":{"formattedCitation":"(Mazzola et al. 2019)","manualFormatting":"Mazzola et al. 20","plainTextFormattedCitation":"(Mazzola et al. 2019)","previouslyFormattedCitation":"(Mazzola et al. 2019)"},"properties":{"noteIndex":0},"schema":"https://github.com/citation-style-language/schema/raw/master/csl-citation.json"}</w:instrText>
      </w:r>
      <w:r w:rsidR="00574136" w:rsidRPr="005F62F4">
        <w:fldChar w:fldCharType="separate"/>
      </w:r>
      <w:r w:rsidR="00574136" w:rsidRPr="005F62F4">
        <w:rPr>
          <w:noProof/>
        </w:rPr>
        <w:t>Mazzola et al. 20</w:t>
      </w:r>
      <w:r w:rsidR="00574136" w:rsidRPr="005F62F4">
        <w:fldChar w:fldCharType="end"/>
      </w:r>
      <w:r w:rsidR="00FE3001" w:rsidRPr="005F62F4">
        <w:t>20</w:t>
      </w:r>
      <w:r w:rsidR="002605B3" w:rsidRPr="005F62F4">
        <w:t xml:space="preserve">) </w:t>
      </w:r>
      <w:r w:rsidR="00700CD1" w:rsidRPr="005F62F4">
        <w:t>where</w:t>
      </w:r>
      <w:r w:rsidR="00B42346" w:rsidRPr="005F62F4">
        <w:t xml:space="preserve"> patient</w:t>
      </w:r>
      <w:r w:rsidR="00D123D8" w:rsidRPr="005F62F4">
        <w:t>-</w:t>
      </w:r>
      <w:r w:rsidR="00B42346" w:rsidRPr="005F62F4">
        <w:t>specific implants</w:t>
      </w:r>
      <w:r w:rsidR="001302FE" w:rsidRPr="005F62F4">
        <w:t xml:space="preserve"> were used </w:t>
      </w:r>
      <w:r w:rsidR="00C1346B" w:rsidRPr="005F62F4">
        <w:t>for</w:t>
      </w:r>
      <w:r w:rsidR="001302FE" w:rsidRPr="005F62F4">
        <w:t xml:space="preserve"> the intervention group</w:t>
      </w:r>
      <w:r w:rsidR="00B42346" w:rsidRPr="005F62F4">
        <w:t xml:space="preserve"> and 2</w:t>
      </w:r>
      <w:r w:rsidR="000D659C" w:rsidRPr="005F62F4">
        <w:t> </w:t>
      </w:r>
      <w:r w:rsidR="00B42346" w:rsidRPr="005F62F4">
        <w:t xml:space="preserve">studies </w:t>
      </w:r>
      <w:r w:rsidR="001302FE" w:rsidRPr="005F62F4">
        <w:t xml:space="preserve">where </w:t>
      </w:r>
      <w:r w:rsidR="00D123D8" w:rsidRPr="005F62F4">
        <w:t xml:space="preserve">intraoperative </w:t>
      </w:r>
      <w:r w:rsidR="001302FE" w:rsidRPr="005F62F4">
        <w:t>surgical navigation w</w:t>
      </w:r>
      <w:r w:rsidR="00700CD1" w:rsidRPr="005F62F4">
        <w:t>as</w:t>
      </w:r>
      <w:r w:rsidR="001302FE" w:rsidRPr="005F62F4">
        <w:t xml:space="preserve"> used</w:t>
      </w:r>
      <w:r w:rsidR="00C1346B" w:rsidRPr="005F62F4" w:rsidDel="00D123D8">
        <w:t xml:space="preserve"> </w:t>
      </w:r>
      <w:r w:rsidR="006A7E2A" w:rsidRPr="005F62F4">
        <w:t>(</w:t>
      </w:r>
      <w:r w:rsidR="006A7E2A" w:rsidRPr="005F62F4">
        <w:fldChar w:fldCharType="begin" w:fldLock="1"/>
      </w:r>
      <w:r w:rsidR="006D6E3B" w:rsidRPr="005F62F4">
        <w:instrText>ADDIN CSL_CITATION {"citationItems":[{"id":"ITEM-1","itemData":{"author":[{"dropping-particle":"","family":"Zhang","given":"WB","non-dropping-particle":"","parse-names":false,"suffix":""},{"dropping-particle":"","family":"Wang","given":"Y","non-dropping-particle":"","parse-names":false,"suffix":""},{"dropping-particle":"","family":"Liu","given":"XJ","non-dropping-particle":"","parse-names":false,"suffix":""},{"dropping-particle":"","family":"C","given":"Mao","non-dropping-particle":"","parse-names":false,"suffix":""},{"dropping-particle":"","family":"GY","given":"Guo","non-dropping-particle":"","parse-names":false,"suffix":""},{"dropping-particle":"","family":"Peng","given":"YX","non-dropping-particle":"","parse-names":false,"suffix":""}],"container-title":"Journal of Cranio-Maxillo-Facial Surgery","id":"ITEM-1","issue":"2015","issued":{"date-parts":[["2015"]]},"page":"630-636","title":"Reconstruction of maxillary defects with free fibula flap assisted by computer techniques","type":"article-journal","volume":"43"},"uris":["http://www.mendeley.com/documents/?uuid=f2b7a9ed-b9a0-4bcd-beb9-bd1cebac59ba"]}],"mendeley":{"formattedCitation":"(Zhang et al. 2015)","manualFormatting":"Zhang et al. 2015; Zhang et al. 2016)","plainTextFormattedCitation":"(Zhang et al. 2015)","previouslyFormattedCitation":"(Zhang et al. 2015)"},"properties":{"noteIndex":0},"schema":"https://github.com/citation-style-language/schema/raw/master/csl-citation.json"}</w:instrText>
      </w:r>
      <w:r w:rsidR="006A7E2A" w:rsidRPr="005F62F4">
        <w:fldChar w:fldCharType="separate"/>
      </w:r>
      <w:r w:rsidR="006A7E2A" w:rsidRPr="005F62F4">
        <w:rPr>
          <w:noProof/>
        </w:rPr>
        <w:t xml:space="preserve">Zhang et al. 2015; </w:t>
      </w:r>
      <w:r w:rsidR="00202473" w:rsidRPr="005F62F4">
        <w:rPr>
          <w:noProof/>
        </w:rPr>
        <w:fldChar w:fldCharType="begin" w:fldLock="1"/>
      </w:r>
      <w:r w:rsidR="006D6E3B" w:rsidRPr="005F62F4">
        <w:rPr>
          <w:noProof/>
        </w:rPr>
        <w:instrText>ADDIN CSL_CITATION {"citationItems":[{"id":"ITEM-1","itemData":{"DOI":"10.1016/j.jcms.2016.08.014","ISSN":"18784119","PMID":"27713054","abstract":"While vascularized iliac crest flap is widely used for mandibular reconstruction, it is often challenging to predict the clinical outcome in a conventional operation based solely on the surgeon's experience. Herein, we aimed to improve this procedure by using computer-assisted techniques. We retrospectively reviewed records of 45 patients with mandibular tumor who underwent mandibulectomy and reconstruction with vascularized iliac crest flap from January 2008 to June 2015. Computer-assisted techniques including virtual plan, stereomodel, pre-bending individual reconstruction plate, and surgical navigation were used in 15 patients. The other 30 patients underwent conventional surgery based on the surgeon's experience. Condyle position and reconstructed mandible contour were evaluated based on post-operative computed tomography. Complications were also evaluated during the follow-up. Flap success rate of the patients was 95.6% (43/45). Those in the computer-assisted group presented with better outcomes of the mandibular contour (p = 0.001) and condyle position (p = 0.026). Further, they also experienced beneficial dental restoration (p = 0.011) and postoperative appearance (p = 0.028). The difference between postoperative effect and virtual plan was within the acceptable error margin. There is no significant difference in the incidence of post-operative complications. Thus, computer-assisted techniques can improve the clinical outcomes of mandibular reconstruction with vascularized iliac crest flap.","author":[{"dropping-particle":"","family":"Zhang","given":"Wen Bo","non-dropping-particle":"","parse-names":false,"suffix":""},{"dropping-particle":"","family":"Yu","given":"Yao","non-dropping-particle":"","parse-names":false,"suffix":""},{"dropping-particle":"","family":"Wang","given":"Yang","non-dropping-particle":"","parse-names":false,"suffix":""},{"dropping-particle":"","family":"Mao","given":"Chi","non-dropping-particle":"","parse-names":false,"suffix":""},{"dropping-particle":"","family":"Liu","given":"Xiao Jing","non-dropping-particle":"","parse-names":false,"suffix":""},{"dropping-particle":"Bin","family":"Guo","given":"Chuan","non-dropping-particle":"","parse-names":false,"suffix":""},{"dropping-particle":"","family":"Yu","given":"Guang Yan","non-dropping-particle":"","parse-names":false,"suffix":""},{"dropping-particle":"","family":"Peng","given":"Xin","non-dropping-particle":"","parse-names":false,"suffix":""}],"container-title":"Journal of Cranio-Maxillofacial Surgery","id":"ITEM-1","issue":"11","issued":{"date-parts":[["2016"]]},"page":"1819-1827","publisher":"Elsevier Ltd","title":"Improving the accuracy of mandibular reconstruction with vascularized iliac crest flap: role of computer-assisted techniques","type":"article-journal","volume":"44"},"uris":["http://www.mendeley.com/documents/?uuid=b6c1247a-92eb-4842-a3cd-812e1d7fe7e0"]}],"mendeley":{"formattedCitation":"(Zhang et al. 2016)","manualFormatting":"Zhang et al. 2016","plainTextFormattedCitation":"(Zhang et al. 2016)","previouslyFormattedCitation":"(Zhang et al. 2016)"},"properties":{"noteIndex":0},"schema":"https://github.com/citation-style-language/schema/raw/master/csl-citation.json"}</w:instrText>
      </w:r>
      <w:r w:rsidR="00202473" w:rsidRPr="005F62F4">
        <w:rPr>
          <w:noProof/>
        </w:rPr>
        <w:fldChar w:fldCharType="separate"/>
      </w:r>
      <w:r w:rsidR="00202473" w:rsidRPr="005F62F4">
        <w:rPr>
          <w:noProof/>
        </w:rPr>
        <w:t>Zhang et al. 2016</w:t>
      </w:r>
      <w:r w:rsidR="00202473" w:rsidRPr="005F62F4">
        <w:rPr>
          <w:noProof/>
        </w:rPr>
        <w:fldChar w:fldCharType="end"/>
      </w:r>
      <w:r w:rsidR="006A7E2A" w:rsidRPr="005F62F4">
        <w:rPr>
          <w:noProof/>
        </w:rPr>
        <w:t>)</w:t>
      </w:r>
      <w:r w:rsidR="006A7E2A" w:rsidRPr="005F62F4">
        <w:fldChar w:fldCharType="end"/>
      </w:r>
      <w:r w:rsidR="00B42346" w:rsidRPr="005F62F4">
        <w:t>.</w:t>
      </w:r>
      <w:r w:rsidR="00204752" w:rsidRPr="005F62F4">
        <w:t xml:space="preserve"> Furthermore, </w:t>
      </w:r>
      <w:r w:rsidR="00A01A8C" w:rsidRPr="005F62F4">
        <w:t>6</w:t>
      </w:r>
      <w:r w:rsidR="00595EE8" w:rsidRPr="005F62F4">
        <w:t> </w:t>
      </w:r>
      <w:r w:rsidR="00204752" w:rsidRPr="005F62F4">
        <w:t xml:space="preserve">studies </w:t>
      </w:r>
      <w:r w:rsidR="001A3298" w:rsidRPr="005F62F4">
        <w:t>(</w:t>
      </w:r>
      <w:r w:rsidR="001A6D25" w:rsidRPr="005F62F4">
        <w:fldChar w:fldCharType="begin" w:fldLock="1"/>
      </w:r>
      <w:r w:rsidR="006D6E3B" w:rsidRPr="005F62F4">
        <w:instrText>ADDIN CSL_CITATION {"citationItems":[{"id":"ITEM-1","itemData":{"DOI":"10.1097/PRS.0b013e3182a3c0b1","ISSN":"00321052","PMID":"23924648","abstract":"BACKGROUND:: There has been rising interest in computer-aided design/computer-aided manufacturing for preoperative planning and execution of osseous free flap reconstruction. The purpose of this study was to compare outcomes between computer-assisted and conventional fibula free flap techniques for craniofacial reconstruction. METHODS:: A two-center, retrospective review was carried out on patients who underwent fibula free flap surgery for craniofacial reconstruction from 2003 to 2012. Patients were categorized by the type of reconstructive technique: conventional (between 2003 and 2009) or computer-aided design/computer-aided manufacturing (from 2010 to 2012). Demographics, surgical factors, and perioperative and long-term outcomes were compared. RESULTS:: A total of 68 patients underwent microsurgical craniofacial reconstruction: 58 conventional and 10 computer-aided design and manufacturing fibula free flaps. By demographics, patients undergoing the computer-aided design/computer-aided manufacturing method were significantly older and had a higher rate of radiotherapy exposure compared with conventional patients. Intraoperatively, the median number of osteotomies was significantly higher (2.0 versus 1.0, p = 0.002) and the median ischemia time was significantly shorter (120 minutes versus 170 minutes, p = 0.004) for the computer-aided design/computer-aided manufacturing technique compared with conventional techniques; operative times were shorter for patients undergoing the computer-aided design/computer-aided manufacturing technique, although this did not reach statistical significance. Perioperative and long-term outcomes were equivalent for the two groups, notably, hospital length of stay, recipient-site infection, partial and total flap loss, and rate of soft-tissue and bony tissue revisions. CONCLUSION:: Microsurgical craniofacial reconstruction using a computer-assisted fibula flap technique yielded significantly shorter ischemia times amidst a higher number of osteotomies compared with conventional techniques.","author":[{"dropping-particle":"","family":"Seruya","given":"Mitchel","non-dropping-particle":"","parse-names":false,"suffix":""},{"dropping-particle":"","family":"Fisher","given":"Mark","non-dropping-particle":"","parse-names":false,"suffix":""},{"dropping-particle":"","family":"Rodriguez","given":"Eduardo D.","non-dropping-particle":"","parse-names":false,"suffix":""}],"container-title":"Plastic and Reconstructive Surgery","id":"ITEM-1","issue":"5","issued":{"date-parts":[["2013"]]},"page":"1219-1228","title":"Computer-assisted versus conventional free fibula flap technique for craniofacial reconstruction: An outcomes comparison","type":"article-journal","volume":"132"},"uris":["http://www.mendeley.com/documents/?uuid=b3ef83ec-730e-4a08-b0c3-74c6caa360d9"]}],"mendeley":{"formattedCitation":"(Seruya et al. 2013)","manualFormatting":"Seruya et al. 2013; Zhang et al. 2016; Zweifel et al. 2015; Zhang et al. 2015; Wang, Zhang, et al. 2016; Wang, Fan, et al. 2016)","plainTextFormattedCitation":"(Seruya et al. 2013)","previouslyFormattedCitation":"(Seruya et al. 2013)"},"properties":{"noteIndex":0},"schema":"https://github.com/citation-style-language/schema/raw/master/csl-citation.json"}</w:instrText>
      </w:r>
      <w:r w:rsidR="001A6D25" w:rsidRPr="005F62F4">
        <w:fldChar w:fldCharType="separate"/>
      </w:r>
      <w:r w:rsidR="001A6D25" w:rsidRPr="005F62F4">
        <w:rPr>
          <w:noProof/>
        </w:rPr>
        <w:t>Seruya et al. 2013</w:t>
      </w:r>
      <w:r w:rsidR="001A3298" w:rsidRPr="005F62F4">
        <w:rPr>
          <w:noProof/>
        </w:rPr>
        <w:t xml:space="preserve">; </w:t>
      </w:r>
      <w:r w:rsidR="001A3298" w:rsidRPr="005F62F4">
        <w:rPr>
          <w:noProof/>
        </w:rPr>
        <w:fldChar w:fldCharType="begin" w:fldLock="1"/>
      </w:r>
      <w:r w:rsidR="006D6E3B" w:rsidRPr="005F62F4">
        <w:rPr>
          <w:noProof/>
        </w:rPr>
        <w:instrText>ADDIN CSL_CITATION {"citationItems":[{"id":"ITEM-1","itemData":{"DOI":"10.1016/j.jcms.2016.08.014","ISSN":"18784119","PMID":"27713054","abstract":"While vascularized iliac crest flap is widely used for mandibular reconstruction, it is often challenging to predict the clinical outcome in a conventional operation based solely on the surgeon's experience. Herein, we aimed to improve this procedure by using computer-assisted techniques. We retrospectively reviewed records of 45 patients with mandibular tumor who underwent mandibulectomy and reconstruction with vascularized iliac crest flap from January 2008 to June 2015. Computer-assisted techniques including virtual plan, stereomodel, pre-bending individual reconstruction plate, and surgical navigation were used in 15 patients. The other 30 patients underwent conventional surgery based on the surgeon's experience. Condyle position and reconstructed mandible contour were evaluated based on post-operative computed tomography. Complications were also evaluated during the follow-up. Flap success rate of the patients was 95.6% (43/45). Those in the computer-assisted group presented with better outcomes of the mandibular contour (p = 0.001) and condyle position (p = 0.026). Further, they also experienced beneficial dental restoration (p = 0.011) and postoperative appearance (p = 0.028). The difference between postoperative effect and virtual plan was within the acceptable error margin. There is no significant difference in the incidence of post-operative complications. Thus, computer-assisted techniques can improve the clinical outcomes of mandibular reconstruction with vascularized iliac crest flap.","author":[{"dropping-particle":"","family":"Zhang","given":"Wen Bo","non-dropping-particle":"","parse-names":false,"suffix":""},{"dropping-particle":"","family":"Yu","given":"Yao","non-dropping-particle":"","parse-names":false,"suffix":""},{"dropping-particle":"","family":"Wang","given":"Yang","non-dropping-particle":"","parse-names":false,"suffix":""},{"dropping-particle":"","family":"Mao","given":"Chi","non-dropping-particle":"","parse-names":false,"suffix":""},{"dropping-particle":"","family":"Liu","given":"Xiao Jing","non-dropping-particle":"","parse-names":false,"suffix":""},{"dropping-particle":"Bin","family":"Guo","given":"Chuan","non-dropping-particle":"","parse-names":false,"suffix":""},{"dropping-particle":"","family":"Yu","given":"Guang Yan","non-dropping-particle":"","parse-names":false,"suffix":""},{"dropping-particle":"","family":"Peng","given":"Xin","non-dropping-particle":"","parse-names":false,"suffix":""}],"container-title":"Journal of Cranio-Maxillofacial Surgery","id":"ITEM-1","issue":"11","issued":{"date-parts":[["2016"]]},"page":"1819-1827","publisher":"Elsevier Ltd","title":"Improving the accuracy of mandibular reconstruction with vascularized iliac crest flap: role of computer-assisted techniques","type":"article-journal","volume":"44"},"uris":["http://www.mendeley.com/documents/?uuid=b6c1247a-92eb-4842-a3cd-812e1d7fe7e0"]}],"mendeley":{"formattedCitation":"(Zhang et al. 2016)","manualFormatting":"Zhang et al. 2016","plainTextFormattedCitation":"(Zhang et al. 2016)","previouslyFormattedCitation":"(Zhang et al. 2016)"},"properties":{"noteIndex":0},"schema":"https://github.com/citation-style-language/schema/raw/master/csl-citation.json"}</w:instrText>
      </w:r>
      <w:r w:rsidR="001A3298" w:rsidRPr="005F62F4">
        <w:rPr>
          <w:noProof/>
        </w:rPr>
        <w:fldChar w:fldCharType="separate"/>
      </w:r>
      <w:r w:rsidR="001A3298" w:rsidRPr="005F62F4">
        <w:rPr>
          <w:noProof/>
        </w:rPr>
        <w:t>Zhang et al. 2016</w:t>
      </w:r>
      <w:r w:rsidR="001A3298" w:rsidRPr="005F62F4">
        <w:rPr>
          <w:noProof/>
        </w:rPr>
        <w:fldChar w:fldCharType="end"/>
      </w:r>
      <w:r w:rsidR="001A3298" w:rsidRPr="005F62F4">
        <w:rPr>
          <w:noProof/>
        </w:rPr>
        <w:t xml:space="preserve">; </w:t>
      </w:r>
      <w:r w:rsidR="00596C3A" w:rsidRPr="005F62F4">
        <w:rPr>
          <w:noProof/>
        </w:rPr>
        <w:fldChar w:fldCharType="begin" w:fldLock="1"/>
      </w:r>
      <w:r w:rsidR="006D6E3B" w:rsidRPr="005F62F4">
        <w:rPr>
          <w:noProof/>
        </w:rPr>
        <w:instrText>ADDIN CSL_CITATION {"citationItems":[{"id":"ITEM-1","itemData":{"DOI":"10.1016/j.joms.2014.07.038","ISSN":"15315053","PMID":"25443385","abstract":"Purpose Virtual planning and guided surgery with or without prebent or milled plates are becoming more and more common for mandibular reconstruction with fibular free flaps (FFFs). Although this excellent surgical option is being used more widely, the question of the additional cost of planning and cutting-guide production has to be discussed. In capped payment systems such additional costs have to be offset by other savings if there are no special provisions for extra funding. Our study was designed to determine whether using virtual planning and guided surgery resulted in time saved during surgery and whether this time gain resulted in self-funding of such planning through the time saved.\nMaterials and Methods All consecutive cases of FFF surgery were evaluated during a 2-year period. Institutional data were used to determine the price of 1 minute of operative time. The time for fibula molding, plate adaptation, and insetting was recorded.\nResults During the defined period, we performed 20 mandibular reconstructions using FFFs, 9 with virtual planning and guided surgery and 11 freehand cases. One minute of operative time was calculated to cost US $47.50. Multiplying this number by the time saved, we found that the additional cost of virtual planning was reduced from US $5,098 to US $1,231.50 with a prebent plate and from US $6,980 to US $3,113.50 for a milled plate.\nConclusions Even in capped health care systems, virtual planning and guided surgery including prebent or milled plates are financially viable.","author":[{"dropping-particle":"","family":"Zweifel","given":"Daniel Fritz","non-dropping-particle":"","parse-names":false,"suffix":""},{"dropping-particle":"","family":"Simon","given":"Christian","non-dropping-particle":"","parse-names":false,"suffix":""},{"dropping-particle":"","family":"Hoarau","given":"Remy","non-dropping-particle":"","parse-names":false,"suffix":""},{"dropping-particle":"","family":"Pasche","given":"Philippe","non-dropping-particle":"","parse-names":false,"suffix":""},{"dropping-particle":"","family":"Broome","given":"Martin","non-dropping-particle":"","parse-names":false,"suffix":""}],"container-title":"Journal of Oral and Maxillofacial Surgery","id":"ITEM-1","issue":"1","issued":{"date-parts":[["2015"]]},"page":"170-175","publisher":"American Association of Oral and Maxillofacial Surgeons","title":"Are virtual planning and guided surgery for head and neck reconstruction economically viable?","type":"article-journal","volume":"73"},"uris":["http://www.mendeley.com/documents/?uuid=a376aecd-4d58-4b4e-af00-785566907643"]}],"mendeley":{"formattedCitation":"(Zweifel et al. 2015)","manualFormatting":"Zweifel et al. 2015","plainTextFormattedCitation":"(Zweifel et al. 2015)","previouslyFormattedCitation":"(Zweifel et al. 2015)"},"properties":{"noteIndex":0},"schema":"https://github.com/citation-style-language/schema/raw/master/csl-citation.json"}</w:instrText>
      </w:r>
      <w:r w:rsidR="00596C3A" w:rsidRPr="005F62F4">
        <w:rPr>
          <w:noProof/>
        </w:rPr>
        <w:fldChar w:fldCharType="separate"/>
      </w:r>
      <w:r w:rsidR="00596C3A" w:rsidRPr="005F62F4">
        <w:rPr>
          <w:noProof/>
        </w:rPr>
        <w:t>Zweifel et al. 2015</w:t>
      </w:r>
      <w:r w:rsidR="00596C3A" w:rsidRPr="005F62F4">
        <w:rPr>
          <w:noProof/>
        </w:rPr>
        <w:fldChar w:fldCharType="end"/>
      </w:r>
      <w:r w:rsidR="00596C3A" w:rsidRPr="005F62F4">
        <w:rPr>
          <w:noProof/>
        </w:rPr>
        <w:t xml:space="preserve">; </w:t>
      </w:r>
      <w:r w:rsidR="00596C3A" w:rsidRPr="005F62F4">
        <w:rPr>
          <w:noProof/>
        </w:rPr>
        <w:fldChar w:fldCharType="begin" w:fldLock="1"/>
      </w:r>
      <w:r w:rsidR="006D6E3B" w:rsidRPr="005F62F4">
        <w:rPr>
          <w:noProof/>
        </w:rPr>
        <w:instrText>ADDIN CSL_CITATION {"citationItems":[{"id":"ITEM-1","itemData":{"author":[{"dropping-particle":"","family":"Zhang","given":"WB","non-dropping-particle":"","parse-names":false,"suffix":""},{"dropping-particle":"","family":"Wang","given":"Y","non-dropping-particle":"","parse-names":false,"suffix":""},{"dropping-particle":"","family":"Liu","given":"XJ","non-dropping-particle":"","parse-names":false,"suffix":""},{"dropping-particle":"","family":"C","given":"Mao","non-dropping-particle":"","parse-names":false,"suffix":""},{"dropping-particle":"","family":"GY","given":"Guo","non-dropping-particle":"","parse-names":false,"suffix":""},{"dropping-particle":"","family":"Peng","given":"YX","non-dropping-particle":"","parse-names":false,"suffix":""}],"container-title":"Journal of Cranio-Maxillo-Facial Surgery","id":"ITEM-1","issue":"2015","issued":{"date-parts":[["2015"]]},"page":"630-636","title":"Reconstruction of maxillary defects with free fibula flap assisted by computer techniques","type":"article-journal","volume":"43"},"uris":["http://www.mendeley.com/documents/?uuid=f2b7a9ed-b9a0-4bcd-beb9-bd1cebac59ba"]}],"mendeley":{"formattedCitation":"(Zhang et al. 2015)","manualFormatting":"Zhang et al. 2015","plainTextFormattedCitation":"(Zhang et al. 2015)","previouslyFormattedCitation":"(Zhang et al. 2015)"},"properties":{"noteIndex":0},"schema":"https://github.com/citation-style-language/schema/raw/master/csl-citation.json"}</w:instrText>
      </w:r>
      <w:r w:rsidR="00596C3A" w:rsidRPr="005F62F4">
        <w:rPr>
          <w:noProof/>
        </w:rPr>
        <w:fldChar w:fldCharType="separate"/>
      </w:r>
      <w:r w:rsidR="00596C3A" w:rsidRPr="005F62F4">
        <w:rPr>
          <w:noProof/>
        </w:rPr>
        <w:t>Zhang et al. 2015</w:t>
      </w:r>
      <w:r w:rsidR="00596C3A" w:rsidRPr="005F62F4">
        <w:rPr>
          <w:noProof/>
        </w:rPr>
        <w:fldChar w:fldCharType="end"/>
      </w:r>
      <w:r w:rsidR="00F5589F" w:rsidRPr="005F62F4">
        <w:rPr>
          <w:noProof/>
        </w:rPr>
        <w:t>; Wang, Zhang, et al. 2016; Wang, Fan, et al. 2016</w:t>
      </w:r>
      <w:r w:rsidR="001A6D25" w:rsidRPr="005F62F4">
        <w:rPr>
          <w:noProof/>
        </w:rPr>
        <w:t>)</w:t>
      </w:r>
      <w:r w:rsidR="001A6D25" w:rsidRPr="005F62F4">
        <w:fldChar w:fldCharType="end"/>
      </w:r>
      <w:r w:rsidR="001A3298" w:rsidRPr="005F62F4">
        <w:t xml:space="preserve"> </w:t>
      </w:r>
      <w:r w:rsidR="00D123D8" w:rsidRPr="005F62F4">
        <w:t>used</w:t>
      </w:r>
      <w:r w:rsidR="00204752" w:rsidRPr="005F62F4">
        <w:t xml:space="preserve"> pre-bent plates </w:t>
      </w:r>
      <w:r w:rsidR="00D123D8" w:rsidRPr="005F62F4">
        <w:t>in</w:t>
      </w:r>
      <w:r w:rsidR="00204752" w:rsidRPr="005F62F4">
        <w:t xml:space="preserve"> the virtual surgical planning </w:t>
      </w:r>
      <w:r w:rsidR="00F660DD" w:rsidRPr="005F62F4">
        <w:t xml:space="preserve">(i.e. intervention) </w:t>
      </w:r>
      <w:r w:rsidR="00204752" w:rsidRPr="005F62F4">
        <w:t xml:space="preserve">groups. </w:t>
      </w:r>
      <w:r w:rsidR="005635EC" w:rsidRPr="005F62F4">
        <w:t>However, g</w:t>
      </w:r>
      <w:r w:rsidR="00204752" w:rsidRPr="005F62F4">
        <w:t xml:space="preserve">iven that these were pre-bent on the </w:t>
      </w:r>
      <w:proofErr w:type="spellStart"/>
      <w:r w:rsidR="00204752" w:rsidRPr="005F62F4">
        <w:t>biomodel</w:t>
      </w:r>
      <w:proofErr w:type="spellEnd"/>
      <w:r w:rsidR="00204752" w:rsidRPr="005F62F4">
        <w:t xml:space="preserve">, we consider them to be a variable attributable to the </w:t>
      </w:r>
      <w:proofErr w:type="spellStart"/>
      <w:r w:rsidR="00204752" w:rsidRPr="005F62F4">
        <w:t>biomodel</w:t>
      </w:r>
      <w:proofErr w:type="spellEnd"/>
      <w:r w:rsidR="00204752" w:rsidRPr="005F62F4">
        <w:t>.</w:t>
      </w:r>
    </w:p>
    <w:p w14:paraId="7762FC13" w14:textId="7E64048C" w:rsidR="00B377AA" w:rsidRPr="005F62F4" w:rsidRDefault="009577E6" w:rsidP="009577E6">
      <w:pPr>
        <w:pStyle w:val="Para"/>
      </w:pPr>
      <w:r w:rsidRPr="005F62F4">
        <w:t>Five studies (</w:t>
      </w:r>
      <w:r w:rsidRPr="005F62F4">
        <w:fldChar w:fldCharType="begin" w:fldLock="1"/>
      </w:r>
      <w:r w:rsidRPr="005F62F4">
        <w:instrText>ADDIN CSL_CITATION {"citationItems":[{"id":"ITEM-1","itemData":{"DOI":"10.1016/j.bjoms.2016.01.029","ISSN":"15321940","PMID":"26898519","abstract":"Mandibular reconstruction with a fibular free flap has become standard in specialised centres for head and neck reconstruction, particularly for defects with more than one osteotomy that are challenging even for experienced surgeons. Virtual surgical planning is a potential tool to facilitate harvesting of the fibula and the osteostomy. The purpose of this study was to compare the two methods of mandibular reconstruction - conventionally planned (conventional group) and \"virtually\" planned (virtual group) - with regard to accuracy, bony consolidation, complications, and operating time. Fifty patients who required mandibular reconstruction after segmental mandibulectomy were evaluated retrospectively, 24 virtually planned and 26 conventionally planned. The overall survival of flaps was 92% (46/50). The bony consolidation rate in the virtual group was significantly better than that in the conventional group (p=0.002). The difference between the angle of the mandible before and after was highly significant with a median of 11.5° (range 2°-75°) in the conventional group and 4.5° (range 0-18°) in the virtual group (p=0.0001). Operations were mean (SD) of 34 (21.2) minutes shorter in virtually-planned cases (p=0.12). The overall morbidity did not differ significantly between the groups. The use of virtual surgical planning in mandibular reconstruction by fibular free flap is beneficial for optimising accuracy, consolidation of bony segments, and operating time, while increasing the predictability of results for the surgeon. However, additional costs have to be carefully weighed against the benefits.","author":[{"dropping-particle":"","family":"Weitz","given":"J.","non-dropping-particle":"","parse-names":false,"suffix":""},{"dropping-particle":"","family":"Bauer","given":"F. J.M.","non-dropping-particle":"","parse-names":false,"suffix":""},{"dropping-particle":"","family":"Hapfelmeier","given":"A.","non-dropping-particle":"","parse-names":false,"suffix":""},{"dropping-particle":"","family":"Rohleder","given":"N. H.","non-dropping-particle":"","parse-names":false,"suffix":""},{"dropping-particle":"","family":"Wolff","given":"K. D.","non-dropping-particle":"","parse-names":false,"suffix":""},{"dropping-particle":"","family":"Kesting","given":"M. R.","non-dropping-particle":"","parse-names":false,"suffix":""}],"container-title":"British Journal of Oral and Maxillofacial Surgery","id":"ITEM-1","issue":"5","issued":{"date-parts":[["2016"]]},"page":"506-510","publisher":"British Association of Oral and Maxillofacial Surgeons","title":"Accuracy of mandibular reconstruction by three-dimensional guided vascularised fibular free flap after segmental mandibulectomy","type":"article-journal","volume":"54"},"uris":["http://www.mendeley.com/documents/?uuid=792c5cc4-cb2b-4134-af74-11dfb970df01"]}],"mendeley":{"formattedCitation":"(Weitz et al. 2016)","manualFormatting":"Weitz et al. 2016","plainTextFormattedCitation":"(Weitz et al. 2016)","previouslyFormattedCitation":"(Weitz et al. 2016)"},"properties":{"noteIndex":0},"schema":"https://github.com/citation-style-language/schema/raw/master/csl-citation.json"}</w:instrText>
      </w:r>
      <w:r w:rsidRPr="005F62F4">
        <w:fldChar w:fldCharType="separate"/>
      </w:r>
      <w:r w:rsidRPr="005F62F4">
        <w:rPr>
          <w:noProof/>
        </w:rPr>
        <w:t>Weitz et al. 2016</w:t>
      </w:r>
      <w:r w:rsidRPr="005F62F4">
        <w:fldChar w:fldCharType="end"/>
      </w:r>
      <w:r w:rsidRPr="005F62F4">
        <w:t xml:space="preserve">; </w:t>
      </w:r>
      <w:r w:rsidRPr="005F62F4">
        <w:fldChar w:fldCharType="begin" w:fldLock="1"/>
      </w:r>
      <w:r w:rsidRPr="005F62F4">
        <w:instrText>ADDIN CSL_CITATION {"citationItems":[{"id":"ITEM-1","itemData":{"DOI":"10.1097/PRS.0b013e3182a3c0b1","ISSN":"00321052","PMID":"23924648","abstract":"BACKGROUND:: There has been rising interest in computer-aided design/computer-aided manufacturing for preoperative planning and execution of osseous free flap reconstruction. The purpose of this study was to compare outcomes between computer-assisted and conventional fibula free flap techniques for craniofacial reconstruction. METHODS:: A two-center, retrospective review was carried out on patients who underwent fibula free flap surgery for craniofacial reconstruction from 2003 to 2012. Patients were categorized by the type of reconstructive technique: conventional (between 2003 and 2009) or computer-aided design/computer-aided manufacturing (from 2010 to 2012). Demographics, surgical factors, and perioperative and long-term outcomes were compared. RESULTS:: A total of 68 patients underwent microsurgical craniofacial reconstruction: 58 conventional and 10 computer-aided design and manufacturing fibula free flaps. By demographics, patients undergoing the computer-aided design/computer-aided manufacturing method were significantly older and had a higher rate of radiotherapy exposure compared with conventional patients. Intraoperatively, the median number of osteotomies was significantly higher (2.0 versus 1.0, p = 0.002) and the median ischemia time was significantly shorter (120 minutes versus 170 minutes, p = 0.004) for the computer-aided design/computer-aided manufacturing technique compared with conventional techniques; operative times were shorter for patients undergoing the computer-aided design/computer-aided manufacturing technique, although this did not reach statistical significance. Perioperative and long-term outcomes were equivalent for the two groups, notably, hospital length of stay, recipient-site infection, partial and total flap loss, and rate of soft-tissue and bony tissue revisions. CONCLUSION:: Microsurgical craniofacial reconstruction using a computer-assisted fibula flap technique yielded significantly shorter ischemia times amidst a higher number of osteotomies compared with conventional techniques.","author":[{"dropping-particle":"","family":"Seruya","given":"Mitchel","non-dropping-particle":"","parse-names":false,"suffix":""},{"dropping-particle":"","family":"Fisher","given":"Mark","non-dropping-particle":"","parse-names":false,"suffix":""},{"dropping-particle":"","family":"Rodriguez","given":"Eduardo D.","non-dropping-particle":"","parse-names":false,"suffix":""}],"container-title":"Plastic and Reconstructive Surgery","id":"ITEM-1","issue":"5","issued":{"date-parts":[["2013"]]},"page":"1219-1228","title":"Computer-assisted versus conventional free fibula flap technique for craniofacial reconstruction: An outcomes comparison","type":"article-journal","volume":"132"},"uris":["http://www.mendeley.com/documents/?uuid=b3ef83ec-730e-4a08-b0c3-74c6caa360d9"]}],"mendeley":{"formattedCitation":"(Seruya et al. 2013)","manualFormatting":"Seruya et al. 2013","plainTextFormattedCitation":"(Seruya et al. 2013)","previouslyFormattedCitation":"(Seruya et al. 2013)"},"properties":{"noteIndex":0},"schema":"https://github.com/citation-style-language/schema/raw/master/csl-citation.json"}</w:instrText>
      </w:r>
      <w:r w:rsidRPr="005F62F4">
        <w:fldChar w:fldCharType="separate"/>
      </w:r>
      <w:r w:rsidRPr="005F62F4">
        <w:rPr>
          <w:noProof/>
        </w:rPr>
        <w:t>Seruya et al. 2013</w:t>
      </w:r>
      <w:r w:rsidRPr="005F62F4">
        <w:fldChar w:fldCharType="end"/>
      </w:r>
      <w:r w:rsidRPr="005F62F4">
        <w:t xml:space="preserve">; Wang, Zhang, et al. 2016; Wang, Fan, et al. 2016; </w:t>
      </w:r>
      <w:r w:rsidRPr="005F62F4">
        <w:fldChar w:fldCharType="begin" w:fldLock="1"/>
      </w:r>
      <w:r w:rsidR="006D6E3B" w:rsidRPr="005F62F4">
        <w:instrText>ADDIN CSL_CITATION {"citationItems":[{"id":"ITEM-1","itemData":{"DOI":"10.1016/j.jor.2019.11.040","ISSN":"0972978X","abstract":"Objective: Patient-specific templates promises to be able to increase alignment while decreasing operative time, increasing patient throughput, decreasing instrumentation, reducing risk of fat embolism and intraoperative bleeding, decreasing tissue loss, shortening recovery, reducing post-operative pain and decreasing incidence of infection. However, multiple studies have shown conflicting results regarding these potential benefits. This study serves to critically evaluate the potential advantages and disadvantages of using a patient-specific templating technique through a single-surgeon study. Methods: All patients who underwent primary total knee arthroplasty (TKA) for osteoarthritis of the knee using TruMatch® Personal Solutions total knee replacement by a single surgeon were identified. An age-, gender-, side-, diagnosis- and surgeon-matched cohort who underwent conventional primary TKAs was randomly identified for comparison. Results: The average distal medial femur (p &lt; 0.001), distal lateral femur (p &lt; 0.001), posteromedial femur (p &lt; 0.001), posterolateral femur (p &lt; 0.001), medial tibial (p &lt; 0.001) and lateral tibial (p = 0.12) predicted cuts showed significant difference from the actual corresponding cuts. Three knees also required the need to freehand. There was no significant difference in mechanical (p = 0.96) and anatomical alignments (p = 0.26), as well as the changes in mechanical (p = 0.06) and anatomical (p = 0.39) alignments between the two groups. Duration of surgery (p = 0.26), length of inpatient stay (p = 0.06) and incidence of wound infection (p = 1.00) were similar. Additionally, patients in the TruMatch® Personal Solutions group had a greater decrease drop in hemoglobin levels (p = 0.02), with five transfusions needed while only one patient in the conventional group required transfusion (p = 0.09). Conclusion: Our early experience and results with the CT-based TruMatch® Personal Solutions templates for TKA has not been promising. Despite promised, there were no demonstrable benefits with the technology. Moreover, the disadvantage of having increased blood loss was identified. Further studies are required to recommend the use of this technology.","author":[{"dropping-particle":"","family":"Silva","given":"Amila N.","non-dropping-particle":"","parse-names":false,"suffix":""},{"dropping-particle":"","family":"Tay","given":"You Wei Adriel","non-dropping-particle":"","parse-names":false,"suffix":""},{"dropping-particle":"","family":"Si Heng","given":"Sharon Tan","non-dropping-particle":"","parse-names":false,"suffix":""},{"dropping-particle":"","family":"Foo","given":"Siang Shen Leon","non-dropping-particle":"","parse-names":false,"suffix":""},{"dropping-particle":"","family":"Pang","given":"Hee Nee","non-dropping-particle":"","parse-names":false,"suffix":""},{"dropping-particle":"","family":"Keng Jin","given":"Darren Tay","non-dropping-particle":"","parse-names":false,"suffix":""},{"dropping-particle":"","family":"Lo","given":"Ngai Nung","non-dropping-particle":"","parse-names":false,"suffix":""},{"dropping-particle":"","family":"Yeo","given":"Seng Jin","non-dropping-particle":"","parse-names":false,"suffix":""}],"container-title":"Journal of Orthopaedics","id":"ITEM-1","issue":"November 2019","issued":{"date-parts":[["2020"]]},"page":"17-20","publisher":"Elsevier","title":"CT-based TruMatch® Personal Solutions for knee replacement surgery…Does it really match?","type":"article-journal","volume":"19"},"uris":["http://www.mendeley.com/documents/?uuid=ba9bd76c-cccf-4d86-81f0-0f8aaa8826ff"]}],"mendeley":{"formattedCitation":"(Silva et al. 2020)","manualFormatting":"Silva et al. 2020","plainTextFormattedCitation":"(Silva et al. 2020)","previouslyFormattedCitation":"(Silva et al. 2020)"},"properties":{"noteIndex":0},"schema":"https://github.com/citation-style-language/schema/raw/master/csl-citation.json"}</w:instrText>
      </w:r>
      <w:r w:rsidRPr="005F62F4">
        <w:fldChar w:fldCharType="separate"/>
      </w:r>
      <w:r w:rsidRPr="005F62F4">
        <w:rPr>
          <w:noProof/>
        </w:rPr>
        <w:t>Silva et al. 2020</w:t>
      </w:r>
      <w:r w:rsidRPr="005F62F4">
        <w:fldChar w:fldCharType="end"/>
      </w:r>
      <w:r w:rsidRPr="005F62F4">
        <w:t xml:space="preserve">) were somewhat clearer in comparing surgery with the use of surgical guides and </w:t>
      </w:r>
      <w:proofErr w:type="spellStart"/>
      <w:r w:rsidRPr="005F62F4">
        <w:t>biomodels</w:t>
      </w:r>
      <w:proofErr w:type="spellEnd"/>
      <w:r w:rsidRPr="005F62F4">
        <w:t xml:space="preserve"> to surgery without</w:t>
      </w:r>
      <w:r w:rsidR="003F1627" w:rsidRPr="005F62F4">
        <w:t>.</w:t>
      </w:r>
      <w:r w:rsidRPr="005F62F4">
        <w:t xml:space="preserve"> However, there were still </w:t>
      </w:r>
      <w:r w:rsidR="007314B8" w:rsidRPr="005F62F4">
        <w:t>confounding factors</w:t>
      </w:r>
      <w:r w:rsidRPr="005F62F4">
        <w:t xml:space="preserve"> </w:t>
      </w:r>
      <w:r w:rsidR="007314B8" w:rsidRPr="005F62F4">
        <w:t>in</w:t>
      </w:r>
      <w:r w:rsidRPr="005F62F4">
        <w:t xml:space="preserve"> these studies (</w:t>
      </w:r>
      <w:r w:rsidR="001C2292" w:rsidRPr="005F62F4">
        <w:t>see ‘</w:t>
      </w:r>
      <w:r w:rsidR="00D14A20" w:rsidRPr="005F62F4">
        <w:fldChar w:fldCharType="begin"/>
      </w:r>
      <w:r w:rsidR="00D14A20" w:rsidRPr="005F62F4">
        <w:instrText xml:space="preserve"> REF _Ref120189717 \h </w:instrText>
      </w:r>
      <w:r w:rsidR="005F62F4">
        <w:instrText xml:space="preserve"> \* MERGEFORMAT </w:instrText>
      </w:r>
      <w:r w:rsidR="00D14A20" w:rsidRPr="005F62F4">
        <w:fldChar w:fldCharType="separate"/>
      </w:r>
      <w:r w:rsidR="005606BF" w:rsidRPr="005F62F4">
        <w:t>Limitations</w:t>
      </w:r>
      <w:r w:rsidR="00D14A20" w:rsidRPr="005F62F4">
        <w:fldChar w:fldCharType="end"/>
      </w:r>
      <w:r w:rsidR="00D14A20" w:rsidRPr="005F62F4">
        <w:t>’,</w:t>
      </w:r>
      <w:r w:rsidR="008A11E6" w:rsidRPr="005F62F4">
        <w:t xml:space="preserve"> </w:t>
      </w:r>
      <w:r w:rsidR="00D14A20" w:rsidRPr="005F62F4">
        <w:t>p. </w:t>
      </w:r>
      <w:r w:rsidR="008A11E6" w:rsidRPr="005F62F4">
        <w:fldChar w:fldCharType="begin"/>
      </w:r>
      <w:r w:rsidR="008A11E6" w:rsidRPr="005F62F4">
        <w:instrText xml:space="preserve"> PAGEREF Limitations \h </w:instrText>
      </w:r>
      <w:r w:rsidR="008A11E6" w:rsidRPr="005F62F4">
        <w:fldChar w:fldCharType="separate"/>
      </w:r>
      <w:r w:rsidR="005606BF">
        <w:rPr>
          <w:noProof/>
        </w:rPr>
        <w:t>50</w:t>
      </w:r>
      <w:r w:rsidR="008A11E6" w:rsidRPr="005F62F4">
        <w:fldChar w:fldCharType="end"/>
      </w:r>
      <w:r w:rsidRPr="005F62F4">
        <w:t>).</w:t>
      </w:r>
    </w:p>
    <w:p w14:paraId="583F226D" w14:textId="434C8FD3" w:rsidR="00D45A02" w:rsidRPr="005F62F4" w:rsidRDefault="00D45A02" w:rsidP="004F2931">
      <w:pPr>
        <w:pStyle w:val="Heading4"/>
      </w:pPr>
      <w:r w:rsidRPr="005F62F4">
        <w:lastRenderedPageBreak/>
        <w:t>Comparators</w:t>
      </w:r>
    </w:p>
    <w:p w14:paraId="7A3E81CF" w14:textId="3D1E69A6" w:rsidR="005A45D3" w:rsidRPr="005F62F4" w:rsidRDefault="00BC092B" w:rsidP="00E70C98">
      <w:pPr>
        <w:pStyle w:val="Para"/>
        <w:spacing w:before="120"/>
      </w:pPr>
      <w:r w:rsidRPr="005F62F4">
        <w:t>In all but 2</w:t>
      </w:r>
      <w:r w:rsidR="00556113" w:rsidRPr="005F62F4">
        <w:t> </w:t>
      </w:r>
      <w:r w:rsidRPr="005F62F4">
        <w:t xml:space="preserve">studies, </w:t>
      </w:r>
      <w:r w:rsidR="005A45D3" w:rsidRPr="005F62F4">
        <w:t xml:space="preserve">the comparator </w:t>
      </w:r>
      <w:r w:rsidRPr="005F62F4">
        <w:t xml:space="preserve">was </w:t>
      </w:r>
      <w:r w:rsidR="005A45D3" w:rsidRPr="005F62F4">
        <w:t xml:space="preserve">conventional freehand surgery where no virtual surgical planning (and no surgical guide or </w:t>
      </w:r>
      <w:proofErr w:type="spellStart"/>
      <w:r w:rsidR="005A45D3" w:rsidRPr="005F62F4">
        <w:t>biomodel</w:t>
      </w:r>
      <w:proofErr w:type="spellEnd"/>
      <w:r w:rsidR="005A45D3" w:rsidRPr="005F62F4">
        <w:t>) was used.</w:t>
      </w:r>
      <w:r w:rsidR="00D45A02" w:rsidRPr="005F62F4">
        <w:t xml:space="preserve"> </w:t>
      </w:r>
      <w:r w:rsidRPr="005F62F4">
        <w:t>The exceptions</w:t>
      </w:r>
      <w:r w:rsidR="00D45A02" w:rsidRPr="005F62F4">
        <w:t xml:space="preserve"> w</w:t>
      </w:r>
      <w:r w:rsidR="00E7310F" w:rsidRPr="005F62F4">
        <w:t>ere</w:t>
      </w:r>
      <w:r w:rsidR="00D45A02" w:rsidRPr="005F62F4">
        <w:t xml:space="preserve"> </w:t>
      </w:r>
      <w:r w:rsidR="00AA65AD" w:rsidRPr="005F62F4">
        <w:t xml:space="preserve">one study where </w:t>
      </w:r>
      <w:r w:rsidR="00137DD0" w:rsidRPr="005F62F4">
        <w:t>the</w:t>
      </w:r>
      <w:r w:rsidR="005F27D3" w:rsidRPr="005F62F4">
        <w:t xml:space="preserve"> </w:t>
      </w:r>
      <w:r w:rsidR="00D45A02" w:rsidRPr="005F62F4">
        <w:t>comparator group</w:t>
      </w:r>
      <w:r w:rsidRPr="005F62F4">
        <w:t xml:space="preserve"> </w:t>
      </w:r>
      <w:r w:rsidR="00137DD0" w:rsidRPr="005F62F4">
        <w:t>used</w:t>
      </w:r>
      <w:r w:rsidR="00D45A02" w:rsidRPr="005F62F4">
        <w:t xml:space="preserve"> an alternative surgical planning method </w:t>
      </w:r>
      <w:bookmarkStart w:id="127" w:name="_Hlk128325375"/>
      <w:r w:rsidR="00A55EBD" w:rsidRPr="005F62F4">
        <w:t>(</w:t>
      </w:r>
      <w:r w:rsidR="00994DC3" w:rsidRPr="005F62F4">
        <w:t>in-house virtual surgical planning</w:t>
      </w:r>
      <w:r w:rsidR="00A55EBD" w:rsidRPr="005F62F4">
        <w:t>)</w:t>
      </w:r>
      <w:bookmarkEnd w:id="127"/>
      <w:r w:rsidRPr="005F62F4">
        <w:t xml:space="preserve"> </w:t>
      </w:r>
      <w:r w:rsidR="00854200" w:rsidRPr="005F62F4">
        <w:t>(Johal et al. 2022)</w:t>
      </w:r>
      <w:r w:rsidRPr="005F62F4">
        <w:t>, and</w:t>
      </w:r>
      <w:r w:rsidR="005F27D3" w:rsidRPr="005F62F4">
        <w:t xml:space="preserve"> </w:t>
      </w:r>
      <w:r w:rsidR="00137DD0" w:rsidRPr="005F62F4">
        <w:t>one </w:t>
      </w:r>
      <w:r w:rsidR="005F27D3" w:rsidRPr="005F62F4">
        <w:t>study</w:t>
      </w:r>
      <w:r w:rsidR="00E7310F" w:rsidRPr="005F62F4">
        <w:t xml:space="preserve"> </w:t>
      </w:r>
      <w:r w:rsidR="0091609A" w:rsidRPr="005F62F4">
        <w:t xml:space="preserve">in which </w:t>
      </w:r>
      <w:proofErr w:type="spellStart"/>
      <w:r w:rsidR="00CB2BC1" w:rsidRPr="005F62F4">
        <w:t>bio</w:t>
      </w:r>
      <w:r w:rsidR="00B25D5F" w:rsidRPr="005F62F4">
        <w:t>models</w:t>
      </w:r>
      <w:proofErr w:type="spellEnd"/>
      <w:r w:rsidR="00B25D5F" w:rsidRPr="005F62F4">
        <w:t xml:space="preserve"> were fabricated using an alternative 3D printing system</w:t>
      </w:r>
      <w:r w:rsidR="008D4DDA" w:rsidRPr="005F62F4">
        <w:t xml:space="preserve"> </w:t>
      </w:r>
      <w:r w:rsidR="00B25D5F" w:rsidRPr="005F62F4">
        <w:t xml:space="preserve">and cutting guides and drilling templates were subsequently </w:t>
      </w:r>
      <w:r w:rsidR="00DA7EC3" w:rsidRPr="005F62F4">
        <w:t>made</w:t>
      </w:r>
      <w:r w:rsidR="00706F62" w:rsidRPr="005F62F4">
        <w:t xml:space="preserve"> by hand</w:t>
      </w:r>
      <w:r w:rsidR="00B25D5F" w:rsidRPr="005F62F4">
        <w:t xml:space="preserve"> using synthetic composite </w:t>
      </w:r>
      <w:r w:rsidR="00B25D5F" w:rsidRPr="005F62F4">
        <w:fldChar w:fldCharType="begin" w:fldLock="1"/>
      </w:r>
      <w:r w:rsidR="00141D1F" w:rsidRPr="005F62F4">
        <w:instrText>ADDIN CSL_CITATION {"citationItems":[{"id":"ITEM-1","itemData":{"author":[{"dropping-particle":"","family":"Rommel","given":"Niklas","non-dropping-particle":"","parse-names":false,"suffix":""},{"dropping-particle":"","family":"Kesting","given":"Marco Rainer","non-dropping-particle":"","parse-names":false,"suffix":""},{"dropping-particle":"","family":"Rohleder","given":"Nils Hagen","non-dropping-particle":"","parse-names":false,"suffix":""},{"dropping-particle":"","family":"Bauer","given":"Florian Martin Josef","non-dropping-particle":"","parse-names":false,"suffix":""},{"dropping-particle":"","family":"Wolff","given":"Klaus-Dietrich","non-dropping-particle":"","parse-names":false,"suffix":""},{"dropping-particle":"","family":"Weitz","given":"Jochen","non-dropping-particle":"","parse-names":false,"suffix":""}],"container-title":"Journal of Cranio-Maxillo-Facial Surgery","id":"ITEM-1","issue":"2017","issued":{"date-parts":[["2017"]]},"page":"1246-1250","title":"Mandible reconstruction with free fibula flaps: outcome of a cost-effective individual planning concept compared with virtual surgical planning","type":"article-journal","volume":"25"},"uris":["http://www.mendeley.com/documents/?uuid=4df1ec55-694d-418f-a9fa-23360d39fe23","http://www.mendeley.com/documents/?uuid=ff5083b5-4392-4f29-a638-47ee0e1f5db4"]}],"mendeley":{"formattedCitation":"(Rommel et al. 2017)","plainTextFormattedCitation":"(Rommel et al. 2017)","previouslyFormattedCitation":"(Rommel et al. 2017)"},"properties":{"noteIndex":0},"schema":"https://github.com/citation-style-language/schema/raw/master/csl-citation.json"}</w:instrText>
      </w:r>
      <w:r w:rsidR="00B25D5F" w:rsidRPr="005F62F4">
        <w:fldChar w:fldCharType="separate"/>
      </w:r>
      <w:r w:rsidR="00894043" w:rsidRPr="005F62F4">
        <w:rPr>
          <w:noProof/>
        </w:rPr>
        <w:t>(Rommel et al. 2017)</w:t>
      </w:r>
      <w:r w:rsidR="00B25D5F" w:rsidRPr="005F62F4">
        <w:fldChar w:fldCharType="end"/>
      </w:r>
      <w:r w:rsidR="00B25D5F" w:rsidRPr="005F62F4">
        <w:t>.</w:t>
      </w:r>
    </w:p>
    <w:p w14:paraId="5F432790" w14:textId="52C7EB6E" w:rsidR="00D45A02" w:rsidRPr="005F62F4" w:rsidRDefault="00D45A02" w:rsidP="004F2931">
      <w:pPr>
        <w:pStyle w:val="Heading4"/>
      </w:pPr>
      <w:r w:rsidRPr="005F62F4">
        <w:t>Outcome</w:t>
      </w:r>
      <w:r w:rsidR="00AD7FA8" w:rsidRPr="005F62F4">
        <w:t>s</w:t>
      </w:r>
    </w:p>
    <w:p w14:paraId="137567FB" w14:textId="4EC9CD41" w:rsidR="009E5D19" w:rsidRPr="005F62F4" w:rsidRDefault="005F27D3" w:rsidP="00E70C98">
      <w:pPr>
        <w:pStyle w:val="Para"/>
        <w:spacing w:before="120"/>
      </w:pPr>
      <w:r w:rsidRPr="005F62F4">
        <w:t xml:space="preserve">A range of outcome measures were assessed across the identified studies. </w:t>
      </w:r>
      <w:r w:rsidR="00471EC4" w:rsidRPr="005F62F4">
        <w:t>Synthesised findings for</w:t>
      </w:r>
      <w:r w:rsidR="00C2526E" w:rsidRPr="005F62F4">
        <w:t xml:space="preserve"> the most common</w:t>
      </w:r>
      <w:r w:rsidR="00471EC4" w:rsidRPr="005F62F4">
        <w:t xml:space="preserve"> measures </w:t>
      </w:r>
      <w:r w:rsidR="007B5FE9" w:rsidRPr="005F62F4">
        <w:t xml:space="preserve">reported </w:t>
      </w:r>
      <w:r w:rsidR="00471EC4" w:rsidRPr="005F62F4">
        <w:t xml:space="preserve">are summarised below; </w:t>
      </w:r>
      <w:r w:rsidR="00783C7A" w:rsidRPr="005F62F4">
        <w:t>less</w:t>
      </w:r>
      <w:r w:rsidR="009D535B">
        <w:t>-</w:t>
      </w:r>
      <w:r w:rsidR="00783C7A" w:rsidRPr="005F62F4">
        <w:t xml:space="preserve">common measures are </w:t>
      </w:r>
      <w:r w:rsidR="00BD5142" w:rsidRPr="005F62F4">
        <w:t>included</w:t>
      </w:r>
      <w:r w:rsidR="00783C7A" w:rsidRPr="005F62F4">
        <w:t xml:space="preserve"> in</w:t>
      </w:r>
      <w:r w:rsidR="00471EC4" w:rsidRPr="005F62F4">
        <w:t xml:space="preserve"> </w:t>
      </w:r>
      <w:r w:rsidR="00471EC4" w:rsidRPr="005F62F4">
        <w:fldChar w:fldCharType="begin"/>
      </w:r>
      <w:r w:rsidR="00471EC4" w:rsidRPr="005F62F4">
        <w:instrText xml:space="preserve"> REF _Ref119662524 \r \h  \* MERGEFORMAT </w:instrText>
      </w:r>
      <w:r w:rsidR="00471EC4" w:rsidRPr="005F62F4">
        <w:fldChar w:fldCharType="separate"/>
      </w:r>
      <w:r w:rsidR="005606BF">
        <w:t>Appendix C</w:t>
      </w:r>
      <w:r w:rsidR="00471EC4" w:rsidRPr="005F62F4">
        <w:fldChar w:fldCharType="end"/>
      </w:r>
      <w:r w:rsidRPr="005F62F4">
        <w:t>.</w:t>
      </w:r>
    </w:p>
    <w:p w14:paraId="36107F2F" w14:textId="694660A7" w:rsidR="006F54DD" w:rsidRPr="005F62F4" w:rsidRDefault="006F54DD" w:rsidP="00A91058">
      <w:pPr>
        <w:pStyle w:val="Heading5"/>
      </w:pPr>
      <w:r w:rsidRPr="005F62F4">
        <w:t>Operative time</w:t>
      </w:r>
    </w:p>
    <w:p w14:paraId="3B686D8F" w14:textId="7E6C8138" w:rsidR="00106100" w:rsidRPr="005F62F4" w:rsidRDefault="0074247F" w:rsidP="00957501">
      <w:pPr>
        <w:pStyle w:val="Para"/>
      </w:pPr>
      <w:r w:rsidRPr="005F62F4">
        <w:t>O</w:t>
      </w:r>
      <w:r w:rsidR="00B92761" w:rsidRPr="005F62F4">
        <w:t xml:space="preserve">perative time </w:t>
      </w:r>
      <w:r w:rsidRPr="005F62F4">
        <w:t xml:space="preserve">was </w:t>
      </w:r>
      <w:r w:rsidR="0072265E" w:rsidRPr="005F62F4">
        <w:t xml:space="preserve">most </w:t>
      </w:r>
      <w:r w:rsidR="00B92761" w:rsidRPr="005F62F4">
        <w:t xml:space="preserve">frequently </w:t>
      </w:r>
      <w:r w:rsidR="0062446B" w:rsidRPr="005F62F4">
        <w:t>investigated</w:t>
      </w:r>
      <w:r w:rsidR="00B92761" w:rsidRPr="005F62F4">
        <w:t xml:space="preserve">. </w:t>
      </w:r>
      <w:r w:rsidR="007E3C85" w:rsidRPr="005F62F4">
        <w:t xml:space="preserve">Generally, </w:t>
      </w:r>
      <w:r w:rsidR="00C60121" w:rsidRPr="005F62F4">
        <w:t xml:space="preserve">most of </w:t>
      </w:r>
      <w:r w:rsidR="00F363D0" w:rsidRPr="005F62F4">
        <w:t xml:space="preserve">the </w:t>
      </w:r>
      <w:r w:rsidR="004A43AE" w:rsidRPr="005F62F4">
        <w:t xml:space="preserve">CMF </w:t>
      </w:r>
      <w:r w:rsidR="00C60121" w:rsidRPr="005F62F4">
        <w:t xml:space="preserve">studies </w:t>
      </w:r>
      <w:r w:rsidR="00F363D0" w:rsidRPr="005F62F4">
        <w:t>that</w:t>
      </w:r>
      <w:r w:rsidR="00C60121" w:rsidRPr="005F62F4">
        <w:t xml:space="preserve"> reported on </w:t>
      </w:r>
      <w:r w:rsidR="005F27D3" w:rsidRPr="005F62F4">
        <w:t>this outcome</w:t>
      </w:r>
      <w:r w:rsidR="00C60121" w:rsidRPr="005F62F4">
        <w:t xml:space="preserve"> found </w:t>
      </w:r>
      <w:r w:rsidR="005F27D3" w:rsidRPr="005F62F4">
        <w:t>that</w:t>
      </w:r>
      <w:r w:rsidR="004168F4" w:rsidRPr="005F62F4">
        <w:t xml:space="preserve"> </w:t>
      </w:r>
      <w:r w:rsidR="001B0FEB" w:rsidRPr="005F62F4">
        <w:t xml:space="preserve">virtual surgical planning </w:t>
      </w:r>
      <w:r w:rsidR="00370472" w:rsidRPr="005F62F4">
        <w:t xml:space="preserve">using </w:t>
      </w:r>
      <w:proofErr w:type="spellStart"/>
      <w:r w:rsidR="00370472" w:rsidRPr="005F62F4">
        <w:t>ProPlan</w:t>
      </w:r>
      <w:proofErr w:type="spellEnd"/>
      <w:r w:rsidR="001B0FEB" w:rsidRPr="005F62F4">
        <w:t xml:space="preserve"> </w:t>
      </w:r>
      <w:r w:rsidR="004168F4" w:rsidRPr="005F62F4">
        <w:t xml:space="preserve">(including the use of surgical guides and/or </w:t>
      </w:r>
      <w:proofErr w:type="spellStart"/>
      <w:r w:rsidR="004168F4" w:rsidRPr="005F62F4">
        <w:t>biomodels</w:t>
      </w:r>
      <w:proofErr w:type="spellEnd"/>
      <w:r w:rsidR="004168F4" w:rsidRPr="005F62F4">
        <w:t>)</w:t>
      </w:r>
      <w:r w:rsidR="005F27D3" w:rsidRPr="005F62F4">
        <w:t xml:space="preserve"> was associated with shorter operative time than</w:t>
      </w:r>
      <w:r w:rsidR="001B0FEB" w:rsidRPr="005F62F4">
        <w:t xml:space="preserve"> conventional </w:t>
      </w:r>
      <w:r w:rsidR="00DC755B" w:rsidRPr="005F62F4">
        <w:t xml:space="preserve">freehand </w:t>
      </w:r>
      <w:r w:rsidR="001B0FEB" w:rsidRPr="005F62F4">
        <w:t>surgery</w:t>
      </w:r>
      <w:r w:rsidR="00C902F8" w:rsidRPr="005F62F4">
        <w:t>.</w:t>
      </w:r>
      <w:r w:rsidR="00BA75B3" w:rsidRPr="005F62F4">
        <w:t xml:space="preserve"> </w:t>
      </w:r>
      <w:r w:rsidR="00610D09" w:rsidRPr="005F62F4">
        <w:t xml:space="preserve">For example, </w:t>
      </w:r>
      <w:r w:rsidR="00B00AFA" w:rsidRPr="005F62F4">
        <w:fldChar w:fldCharType="begin" w:fldLock="1"/>
      </w:r>
      <w:r w:rsidR="00B00AFA" w:rsidRPr="005F62F4">
        <w:instrText>ADDIN CSL_CITATION {"citationItems":[{"id":"ITEM-1","itemData":{"DOI":"10.1016/j.joms.2016.01.010","ISSN":"15315053","PMID":"26851316","abstract":"Purpose Reconstruction of maxillary and midfacial defects due to tumor ablation is challenging to conventional operation. The purposes of this study are to evaluate the precise 3-dimensional position of the fibular flap in reconstruction of maxillary defects assisted by virtual surgical planning and to assess the postoperative outcomes compared with conventional surgery. Materials and Methods We retrospectively reviewed 18 consecutive patients who underwent maxillary reconstruction with a vascularized fibular flap assisted by virtual surgical planning after maxillary or midfacial tumor ablation. Conventional surgery was performed in another 15 patients. Proplan CMF surgical planning (Materialise, Leuven, Belgium) was performed preoperatively in the virtual planning group. Fibular flaps were harvested and underwent osteotomy assisted by prefabricated cutting guides, and the maxilla and midface were resected and reconstructed assisted by the prefabricated cutting guides and templates in the virtual planning group. The operative time and fibular flap positions were evaluated in the 2 groups. Postoperative fibular positions of the maxillary reconstruction were compared with virtual plans in the virtual planning group. The postoperative facial appearance and occlusal function were assessed. Results The operations were performed successfully without complications. The ischemia time and total operative time were shorter in the virtual planning group than those in the conventional surgery group (P &lt;.05). High precision of the cutting guides and templates was found on both the fibula and maxilla in the virtual planning group. The positions of the fibular flaps, including the vertical and horizontal positions, were more accurate in the virtual planning group than those in the conventional surgery group (P &lt;.05). Bone-to-bone contact between the maxilla and fibular segments was more precise in the virtual planning group (P &lt;.05). Postoperative computed tomography scans showed excellent contour of the fibular flap segments in accordance with the virtual plans in the virtual planning group. All patients were alive with no evidence of disease. Functional mandibular range of motion, good occlusion, and an ideal facial appearance were observed in the virtual planning group. Conclusions Virtual surgical planning appears to achieve precise maxillary reconstruction with a vascularized fibular flap after tumor ablation, as well as an ideal facial appearance and function af…","author":[{"dropping-particle":"","family":"Wang","given":"YY","non-dropping-particle":"","parse-names":false,"suffix":""},{"dropping-particle":"","family":"Fan","given":"S","non-dropping-particle":"","parse-names":false,"suffix":""},{"dropping-particle":"","family":"Zhang","given":"HQ","non-dropping-particle":"","parse-names":false,"suffix":""},{"dropping-particle":"","family":"Lin","given":"ZY","non-dropping-particle":"","parse-names":false,"suffix":""},{"dropping-particle":"","family":"Ye","given":"JT","non-dropping-particle":"","parse-names":false,"suffix":""},{"dropping-particle":"","family":"Li","given":"JS","non-dropping-particle":"","parse-names":false,"suffix":""}],"container-title":"Journal of Oral and Maxillofacial Surgery","id":"ITEM-1","issue":"6","issued":{"date-parts":[["2016"]]},"page":"1255-1264","publisher":"American Association of Oral and Maxillofacial Surgeons","title":"Virtual surgical planning in precise maxillary reconstruction with vascularized fibular graft after tumor ablation","type":"article-journal","volume":"74"},"uris":["http://www.mendeley.com/documents/?uuid=f72461bc-1aa8-4be5-9c68-77131752f0f2"]}],"mendeley":{"formattedCitation":"(Wang, Fan, et al. 2016)","manualFormatting":"Wang, Fan, et al. (2016)","plainTextFormattedCitation":"(Wang, Fan, et al. 2016)","previouslyFormattedCitation":"(Wang, Fan, et al. 2016)"},"properties":{"noteIndex":0},"schema":"https://github.com/citation-style-language/schema/raw/master/csl-citation.json"}</w:instrText>
      </w:r>
      <w:r w:rsidR="00B00AFA" w:rsidRPr="005F62F4">
        <w:fldChar w:fldCharType="separate"/>
      </w:r>
      <w:r w:rsidR="00B00AFA" w:rsidRPr="005F62F4">
        <w:rPr>
          <w:noProof/>
        </w:rPr>
        <w:t>Wang, Fan, et al. (2016)</w:t>
      </w:r>
      <w:r w:rsidR="00B00AFA" w:rsidRPr="005F62F4">
        <w:fldChar w:fldCharType="end"/>
      </w:r>
      <w:r w:rsidR="00610D09" w:rsidRPr="005F62F4">
        <w:t xml:space="preserve"> found that for maxillary reconstruction with </w:t>
      </w:r>
      <w:r w:rsidR="00B0382B" w:rsidRPr="005F62F4">
        <w:t>vascularised</w:t>
      </w:r>
      <w:r w:rsidR="00720E28" w:rsidRPr="005F62F4">
        <w:t xml:space="preserve"> graft after </w:t>
      </w:r>
      <w:r w:rsidR="000E7496" w:rsidRPr="005F62F4">
        <w:t xml:space="preserve">tumour </w:t>
      </w:r>
      <w:r w:rsidR="00720E28" w:rsidRPr="005F62F4">
        <w:t>ablation</w:t>
      </w:r>
      <w:r w:rsidR="00FF438A" w:rsidRPr="005F62F4">
        <w:t>,</w:t>
      </w:r>
      <w:r w:rsidR="00720E28" w:rsidRPr="005F62F4">
        <w:t xml:space="preserve"> the total</w:t>
      </w:r>
      <w:r w:rsidR="001A6DA8" w:rsidRPr="005F62F4">
        <w:t xml:space="preserve"> operative time </w:t>
      </w:r>
      <w:r w:rsidR="00720E28" w:rsidRPr="005F62F4">
        <w:t xml:space="preserve">was </w:t>
      </w:r>
      <w:r w:rsidR="005F27D3" w:rsidRPr="005F62F4">
        <w:t xml:space="preserve">5.8 hours (± 1.1 hours) </w:t>
      </w:r>
      <w:r w:rsidR="00264FC3" w:rsidRPr="005F62F4">
        <w:t>for the intervention group</w:t>
      </w:r>
      <w:r w:rsidR="000006E0" w:rsidRPr="005F62F4">
        <w:t xml:space="preserve"> </w:t>
      </w:r>
      <w:r w:rsidR="00106100" w:rsidRPr="005F62F4">
        <w:t>compared</w:t>
      </w:r>
      <w:r w:rsidR="00625CDB" w:rsidRPr="005F62F4">
        <w:t xml:space="preserve"> </w:t>
      </w:r>
      <w:r w:rsidR="00106100" w:rsidRPr="005F62F4">
        <w:t xml:space="preserve">to 7.1 hours </w:t>
      </w:r>
      <w:r w:rsidR="005F27D3" w:rsidRPr="005F62F4">
        <w:t>(</w:t>
      </w:r>
      <w:r w:rsidR="00106100" w:rsidRPr="005F62F4">
        <w:t xml:space="preserve">± 1.4 </w:t>
      </w:r>
      <w:r w:rsidR="005F27D3" w:rsidRPr="005F62F4">
        <w:t xml:space="preserve">hours; </w:t>
      </w:r>
      <w:r w:rsidR="00106100" w:rsidRPr="005F62F4">
        <w:t>p</w:t>
      </w:r>
      <w:r w:rsidR="005F6896" w:rsidRPr="005F62F4">
        <w:t> </w:t>
      </w:r>
      <w:r w:rsidR="00106100" w:rsidRPr="005F62F4">
        <w:t>=</w:t>
      </w:r>
      <w:r w:rsidR="005F6896" w:rsidRPr="005F62F4">
        <w:t> </w:t>
      </w:r>
      <w:r w:rsidR="00106100" w:rsidRPr="005F62F4">
        <w:t>0.007)</w:t>
      </w:r>
      <w:r w:rsidR="004E736C" w:rsidRPr="005F62F4">
        <w:t xml:space="preserve"> for </w:t>
      </w:r>
      <w:r w:rsidR="00264FC3" w:rsidRPr="005F62F4">
        <w:t>the comparator group</w:t>
      </w:r>
      <w:r w:rsidR="00106100" w:rsidRPr="005F62F4">
        <w:t xml:space="preserve">. </w:t>
      </w:r>
      <w:r w:rsidR="005E351A" w:rsidRPr="005F62F4">
        <w:t>Similarly</w:t>
      </w:r>
      <w:r w:rsidR="00016FAA" w:rsidRPr="005F62F4">
        <w:t xml:space="preserve">, </w:t>
      </w:r>
      <w:r w:rsidR="00016FAA" w:rsidRPr="005F62F4">
        <w:fldChar w:fldCharType="begin" w:fldLock="1"/>
      </w:r>
      <w:r w:rsidR="00CF4866" w:rsidRPr="005F62F4">
        <w:instrText>ADDIN CSL_CITATION {"citationItems":[{"id":"ITEM-1","itemData":{"DOI":"10.1016/j.joms.2014.07.038","ISSN":"15315053","PMID":"25443385","abstract":"Purpose Virtual planning and guided surgery with or without prebent or milled plates are becoming more and more common for mandibular reconstruction with fibular free flaps (FFFs). Although this excellent surgical option is being used more widely, the question of the additional cost of planning and cutting-guide production has to be discussed. In capped payment systems such additional costs have to be offset by other savings if there are no special provisions for extra funding. Our study was designed to determine whether using virtual planning and guided surgery resulted in time saved during surgery and whether this time gain resulted in self-funding of such planning through the time saved.\nMaterials and Methods All consecutive cases of FFF surgery were evaluated during a 2-year period. Institutional data were used to determine the price of 1 minute of operative time. The time for fibula molding, plate adaptation, and insetting was recorded.\nResults During the defined period, we performed 20 mandibular reconstructions using FFFs, 9 with virtual planning and guided surgery and 11 freehand cases. One minute of operative time was calculated to cost US $47.50. Multiplying this number by the time saved, we found that the additional cost of virtual planning was reduced from US $5,098 to US $1,231.50 with a prebent plate and from US $6,980 to US $3,113.50 for a milled plate.\nConclusions Even in capped health care systems, virtual planning and guided surgery including prebent or milled plates are financially viable.","author":[{"dropping-particle":"","family":"Zweifel","given":"Daniel Fritz","non-dropping-particle":"","parse-names":false,"suffix":""},{"dropping-particle":"","family":"Simon","given":"Christian","non-dropping-particle":"","parse-names":false,"suffix":""},{"dropping-particle":"","family":"Hoarau","given":"Remy","non-dropping-particle":"","parse-names":false,"suffix":""},{"dropping-particle":"","family":"Pasche","given":"Philippe","non-dropping-particle":"","parse-names":false,"suffix":""},{"dropping-particle":"","family":"Broome","given":"Martin","non-dropping-particle":"","parse-names":false,"suffix":""}],"container-title":"Journal of Oral and Maxillofacial Surgery","id":"ITEM-1","issue":"1","issued":{"date-parts":[["2015"]]},"page":"170-175","publisher":"American Association of Oral and Maxillofacial Surgeons","title":"Are virtual planning and guided surgery for head and neck reconstruction economically viable?","type":"article-journal","volume":"73"},"uris":["http://www.mendeley.com/documents/?uuid=a376aecd-4d58-4b4e-af00-785566907643"]}],"mendeley":{"formattedCitation":"(Zweifel et al. 2015)","manualFormatting":"Zweifel et al. (2015)","plainTextFormattedCitation":"(Zweifel et al. 2015)","previouslyFormattedCitation":"(Zweifel et al. 2015)"},"properties":{"noteIndex":0},"schema":"https://github.com/citation-style-language/schema/raw/master/csl-citation.json"}</w:instrText>
      </w:r>
      <w:r w:rsidR="00016FAA" w:rsidRPr="005F62F4">
        <w:fldChar w:fldCharType="separate"/>
      </w:r>
      <w:r w:rsidR="00016FAA" w:rsidRPr="005F62F4">
        <w:rPr>
          <w:noProof/>
        </w:rPr>
        <w:t xml:space="preserve">Zweifel et al. </w:t>
      </w:r>
      <w:r w:rsidR="00187419" w:rsidRPr="005F62F4">
        <w:rPr>
          <w:noProof/>
        </w:rPr>
        <w:t>(</w:t>
      </w:r>
      <w:r w:rsidR="00016FAA" w:rsidRPr="005F62F4">
        <w:rPr>
          <w:noProof/>
        </w:rPr>
        <w:t>2015)</w:t>
      </w:r>
      <w:r w:rsidR="00016FAA" w:rsidRPr="005F62F4">
        <w:fldChar w:fldCharType="end"/>
      </w:r>
      <w:r w:rsidR="000D2B9F" w:rsidRPr="005F62F4">
        <w:t xml:space="preserve"> found that for patients undergoing mandibular resections with fibular reconstructions, </w:t>
      </w:r>
      <w:r w:rsidR="00A03B2F" w:rsidRPr="005F62F4">
        <w:t>virtually</w:t>
      </w:r>
      <w:r w:rsidR="00BE1EC0">
        <w:t xml:space="preserve"> </w:t>
      </w:r>
      <w:r w:rsidR="00C83E60" w:rsidRPr="005F62F4">
        <w:t xml:space="preserve">planned and guided surgery </w:t>
      </w:r>
      <w:r w:rsidR="005E351A" w:rsidRPr="005F62F4">
        <w:t>was</w:t>
      </w:r>
      <w:r w:rsidR="009460F8" w:rsidRPr="005F62F4">
        <w:t xml:space="preserve"> a mean of</w:t>
      </w:r>
      <w:r w:rsidR="005E351A" w:rsidRPr="005F62F4">
        <w:t xml:space="preserve"> </w:t>
      </w:r>
      <w:r w:rsidR="00C83E60" w:rsidRPr="005F62F4">
        <w:t xml:space="preserve">67.4 minutes </w:t>
      </w:r>
      <w:r w:rsidR="005E351A" w:rsidRPr="005F62F4">
        <w:t>shorter than</w:t>
      </w:r>
      <w:r w:rsidR="00C83E60" w:rsidRPr="005F62F4">
        <w:t xml:space="preserve"> freehand surgery.</w:t>
      </w:r>
      <w:r w:rsidR="00AF5D77" w:rsidRPr="005F62F4">
        <w:t xml:space="preserve"> </w:t>
      </w:r>
      <w:r w:rsidR="001D3407" w:rsidRPr="005F62F4">
        <w:t>Mazzola et al. (</w:t>
      </w:r>
      <w:r w:rsidR="0090458F" w:rsidRPr="005F62F4">
        <w:t>20</w:t>
      </w:r>
      <w:r w:rsidR="00FE3001" w:rsidRPr="005F62F4">
        <w:t>20</w:t>
      </w:r>
      <w:r w:rsidR="0090458F" w:rsidRPr="005F62F4">
        <w:t xml:space="preserve">) found </w:t>
      </w:r>
      <w:r w:rsidR="00DF323F" w:rsidRPr="005F62F4">
        <w:t xml:space="preserve">a lower mean procedure time in their non-matched cohort, </w:t>
      </w:r>
      <w:r w:rsidR="000A7959" w:rsidRPr="005F62F4">
        <w:t>but no significant differen</w:t>
      </w:r>
      <w:r w:rsidR="00380BF8" w:rsidRPr="005F62F4">
        <w:t>ce</w:t>
      </w:r>
      <w:r w:rsidR="000A7959" w:rsidRPr="005F62F4">
        <w:t xml:space="preserve"> in their matched cohort. </w:t>
      </w:r>
      <w:r w:rsidR="00AF5D77" w:rsidRPr="005F62F4">
        <w:t xml:space="preserve">Two further studies </w:t>
      </w:r>
      <w:r w:rsidR="005A17A3" w:rsidRPr="005F62F4">
        <w:t xml:space="preserve">comparing </w:t>
      </w:r>
      <w:r w:rsidR="00EB5748" w:rsidRPr="005F62F4">
        <w:t xml:space="preserve">guided and freehand implant surgeries </w:t>
      </w:r>
      <w:r w:rsidR="00B335C4" w:rsidRPr="005F62F4">
        <w:t xml:space="preserve">reported </w:t>
      </w:r>
      <w:r w:rsidR="009241BB" w:rsidRPr="005F62F4">
        <w:t>red</w:t>
      </w:r>
      <w:r w:rsidR="00B335C4" w:rsidRPr="005F62F4">
        <w:t>uctions in operating times that did not reach statistical significance</w:t>
      </w:r>
      <w:r w:rsidR="00EB5748" w:rsidRPr="005F62F4">
        <w:t xml:space="preserve"> </w:t>
      </w:r>
      <w:r w:rsidR="00EB5748" w:rsidRPr="005F62F4">
        <w:fldChar w:fldCharType="begin" w:fldLock="1"/>
      </w:r>
      <w:r w:rsidR="00144E24" w:rsidRPr="005F62F4">
        <w:instrText>ADDIN CSL_CITATION {"citationItems":[{"id":"ITEM-1","itemData":{"DOI":"10.1097/PRS.0b013e3182a3c0b1","ISSN":"00321052","PMID":"23924648","abstract":"BACKGROUND:: There has been rising interest in computer-aided design/computer-aided manufacturing for preoperative planning and execution of osseous free flap reconstruction. The purpose of this study was to compare outcomes between computer-assisted and conventional fibula free flap techniques for craniofacial reconstruction. METHODS:: A two-center, retrospective review was carried out on patients who underwent fibula free flap surgery for craniofacial reconstruction from 2003 to 2012. Patients were categorized by the type of reconstructive technique: conventional (between 2003 and 2009) or computer-aided design/computer-aided manufacturing (from 2010 to 2012). Demographics, surgical factors, and perioperative and long-term outcomes were compared. RESULTS:: A total of 68 patients underwent microsurgical craniofacial reconstruction: 58 conventional and 10 computer-aided design and manufacturing fibula free flaps. By demographics, patients undergoing the computer-aided design/computer-aided manufacturing method were significantly older and had a higher rate of radiotherapy exposure compared with conventional patients. Intraoperatively, the median number of osteotomies was significantly higher (2.0 versus 1.0, p = 0.002) and the median ischemia time was significantly shorter (120 minutes versus 170 minutes, p = 0.004) for the computer-aided design/computer-aided manufacturing technique compared with conventional techniques; operative times were shorter for patients undergoing the computer-aided design/computer-aided manufacturing technique, although this did not reach statistical significance. Perioperative and long-term outcomes were equivalent for the two groups, notably, hospital length of stay, recipient-site infection, partial and total flap loss, and rate of soft-tissue and bony tissue revisions. CONCLUSION:: Microsurgical craniofacial reconstruction using a computer-assisted fibula flap technique yielded significantly shorter ischemia times amidst a higher number of osteotomies compared with conventional techniques.","author":[{"dropping-particle":"","family":"Seruya","given":"Mitchel","non-dropping-particle":"","parse-names":false,"suffix":""},{"dropping-particle":"","family":"Fisher","given":"Mark","non-dropping-particle":"","parse-names":false,"suffix":""},{"dropping-particle":"","family":"Rodriguez","given":"Eduardo D.","non-dropping-particle":"","parse-names":false,"suffix":""}],"container-title":"Plastic and Reconstructive Surgery","id":"ITEM-1","issue":"5","issued":{"date-parts":[["2013"]]},"page":"1219-1228","title":"Computer-assisted versus conventional free fibula flap technique for craniofacial reconstruction: An outcomes comparison","type":"article-journal","volume":"132"},"uris":["http://www.mendeley.com/documents/?uuid=b3ef83ec-730e-4a08-b0c3-74c6caa360d9"]},{"id":"ITEM-2","itemData":{"DOI":"10.1016/j.bjoms.2016.01.029","ISSN":"15321940","PMID":"26898519","abstract":"Mandibular reconstruction with a fibular free flap has become standard in specialised centres for head and neck reconstruction, particularly for defects with more than one osteotomy that are challenging even for experienced surgeons. Virtual surgical planning is a potential tool to facilitate harvesting of the fibula and the osteostomy. The purpose of this study was to compare the two methods of mandibular reconstruction - conventionally planned (conventional group) and \"virtually\" planned (virtual group) - with regard to accuracy, bony consolidation, complications, and operating time. Fifty patients who required mandibular reconstruction after segmental mandibulectomy were evaluated retrospectively, 24 virtually planned and 26 conventionally planned. The overall survival of flaps was 92% (46/50). The bony consolidation rate in the virtual group was significantly better than that in the conventional group (p=0.002). The difference between the angle of the mandible before and after was highly significant with a median of 11.5° (range 2°-75°) in the conventional group and 4.5° (range 0-18°) in the virtual group (p=0.0001). Operations were mean (SD) of 34 (21.2) minutes shorter in virtually-planned cases (p=0.12). The overall morbidity did not differ significantly between the groups. The use of virtual surgical planning in mandibular reconstruction by fibular free flap is beneficial for optimising accuracy, consolidation of bony segments, and operating time, while increasing the predictability of results for the surgeon. However, additional costs have to be carefully weighed against the benefits.","author":[{"dropping-particle":"","family":"Weitz","given":"J.","non-dropping-particle":"","parse-names":false,"suffix":""},{"dropping-particle":"","family":"Bauer","given":"F. J.M.","non-dropping-particle":"","parse-names":false,"suffix":""},{"dropping-particle":"","family":"Hapfelmeier","given":"A.","non-dropping-particle":"","parse-names":false,"suffix":""},{"dropping-particle":"","family":"Rohleder","given":"N. H.","non-dropping-particle":"","parse-names":false,"suffix":""},{"dropping-particle":"","family":"Wolff","given":"K. D.","non-dropping-particle":"","parse-names":false,"suffix":""},{"dropping-particle":"","family":"Kesting","given":"M. R.","non-dropping-particle":"","parse-names":false,"suffix":""}],"container-title":"British Journal of Oral and Maxillofacial Surgery","id":"ITEM-2","issue":"5","issued":{"date-parts":[["2016"]]},"page":"506-510","publisher":"British Association of Oral and Maxillofacial Surgeons","title":"Accuracy of mandibular reconstruction by three-dimensional guided vascularised fibular free flap after segmental mandibulectomy","type":"article-journal","volume":"54"},"uris":["http://www.mendeley.com/documents/?uuid=792c5cc4-cb2b-4134-af74-11dfb970df01"]}],"mendeley":{"formattedCitation":"(Seruya et al. 2013; Weitz et al. 2016)","plainTextFormattedCitation":"(Seruya et al. 2013; Weitz et al. 2016)","previouslyFormattedCitation":"(Seruya et al. 2013; Weitz et al. 2016)"},"properties":{"noteIndex":0},"schema":"https://github.com/citation-style-language/schema/raw/master/csl-citation.json"}</w:instrText>
      </w:r>
      <w:r w:rsidR="00EB5748" w:rsidRPr="005F62F4">
        <w:fldChar w:fldCharType="separate"/>
      </w:r>
      <w:r w:rsidR="00EB5748" w:rsidRPr="005F62F4">
        <w:rPr>
          <w:noProof/>
        </w:rPr>
        <w:t>(Seruya et al. 2013; Weitz et al. 2016)</w:t>
      </w:r>
      <w:r w:rsidR="00EB5748" w:rsidRPr="005F62F4">
        <w:fldChar w:fldCharType="end"/>
      </w:r>
      <w:r w:rsidR="00B335C4" w:rsidRPr="005F62F4">
        <w:t>.</w:t>
      </w:r>
    </w:p>
    <w:p w14:paraId="00201745" w14:textId="69182B1F" w:rsidR="00681244" w:rsidRPr="005F62F4" w:rsidRDefault="002A059E" w:rsidP="00957501">
      <w:pPr>
        <w:pStyle w:val="Para"/>
      </w:pPr>
      <w:r w:rsidRPr="005F62F4">
        <w:t>O</w:t>
      </w:r>
      <w:r w:rsidR="00957501" w:rsidRPr="005F62F4">
        <w:t xml:space="preserve">ne study </w:t>
      </w:r>
      <w:r w:rsidR="00D93DA9" w:rsidRPr="005F62F4">
        <w:fldChar w:fldCharType="begin" w:fldLock="1"/>
      </w:r>
      <w:r w:rsidR="00D93DA9" w:rsidRPr="005F62F4">
        <w:instrText>ADDIN CSL_CITATION {"citationItems":[{"id":"ITEM-1","itemData":{"DOI":"10.1016/j.jor.2019.11.040","ISSN":"0972978X","abstract":"Objective: Patient-specific templates promises to be able to increase alignment while decreasing operative time, increasing patient throughput, decreasing instrumentation, reducing risk of fat embolism and intraoperative bleeding, decreasing tissue loss, shortening recovery, reducing post-operative pain and decreasing incidence of infection. However, multiple studies have shown conflicting results regarding these potential benefits. This study serves to critically evaluate the potential advantages and disadvantages of using a patient-specific templating technique through a single-surgeon study. Methods: All patients who underwent primary total knee arthroplasty (TKA) for osteoarthritis of the knee using TruMatch® Personal Solutions total knee replacement by a single surgeon were identified. An age-, gender-, side-, diagnosis- and surgeon-matched cohort who underwent conventional primary TKAs was randomly identified for comparison. Results: The average distal medial femur (p &lt; 0.001), distal lateral femur (p &lt; 0.001), posteromedial femur (p &lt; 0.001), posterolateral femur (p &lt; 0.001), medial tibial (p &lt; 0.001) and lateral tibial (p = 0.12) predicted cuts showed significant difference from the actual corresponding cuts. Three knees also required the need to freehand. There was no significant difference in mechanical (p = 0.96) and anatomical alignments (p = 0.26), as well as the changes in mechanical (p = 0.06) and anatomical (p = 0.39) alignments between the two groups. Duration of surgery (p = 0.26), length of inpatient stay (p = 0.06) and incidence of wound infection (p = 1.00) were similar. Additionally, patients in the TruMatch® Personal Solutions group had a greater decrease drop in hemoglobin levels (p = 0.02), with five transfusions needed while only one patient in the conventional group required transfusion (p = 0.09). Conclusion: Our early experience and results with the CT-based TruMatch® Personal Solutions templates for TKA has not been promising. Despite promised, there were no demonstrable benefits with the technology. Moreover, the disadvantage of having increased blood loss was identified. Further studies are required to recommend the use of this technology.","author":[{"dropping-particle":"","family":"Silva","given":"Amila N.","non-dropping-particle":"","parse-names":false,"suffix":""},{"dropping-particle":"","family":"Tay","given":"You Wei Adriel","non-dropping-particle":"","parse-names":false,"suffix":""},{"dropping-particle":"","family":"Si Heng","given":"Sharon Tan","non-dropping-particle":"","parse-names":false,"suffix":""},{"dropping-particle":"","family":"Foo","given":"Siang Shen Leon","non-dropping-particle":"","parse-names":false,"suffix":""},{"dropping-particle":"","family":"Pang","given":"Hee Nee","non-dropping-particle":"","parse-names":false,"suffix":""},{"dropping-particle":"","family":"Keng Jin","given":"Darren Tay","non-dropping-particle":"","parse-names":false,"suffix":""},{"dropping-particle":"","family":"Lo","given":"Ngai Nung","non-dropping-particle":"","parse-names":false,"suffix":""},{"dropping-particle":"","family":"Yeo","given":"Seng Jin","non-dropping-particle":"","parse-names":false,"suffix":""}],"container-title":"Journal of Orthopaedics","id":"ITEM-1","issue":"November 2019","issued":{"date-parts":[["2020"]]},"page":"17-20","publisher":"Elsevier","title":"CT-based TruMatch® Personal Solutions for knee replacement surgery…Does it really match?","type":"article-journal","volume":"19"},"uris":["http://www.mendeley.com/documents/?uuid=ba9bd76c-cccf-4d86-81f0-0f8aaa8826ff"]}],"mendeley":{"formattedCitation":"(Silva et al. 2020)","plainTextFormattedCitation":"(Silva et al. 2020)","previouslyFormattedCitation":"(Silva et al. 2020)"},"properties":{"noteIndex":0},"schema":"https://github.com/citation-style-language/schema/raw/master/csl-citation.json"}</w:instrText>
      </w:r>
      <w:r w:rsidR="00D93DA9" w:rsidRPr="005F62F4">
        <w:fldChar w:fldCharType="separate"/>
      </w:r>
      <w:r w:rsidR="00D93DA9" w:rsidRPr="005F62F4">
        <w:rPr>
          <w:noProof/>
        </w:rPr>
        <w:t>(Silva et al. 2020)</w:t>
      </w:r>
      <w:r w:rsidR="00D93DA9" w:rsidRPr="005F62F4">
        <w:fldChar w:fldCharType="end"/>
      </w:r>
      <w:r w:rsidRPr="005F62F4">
        <w:t xml:space="preserve"> </w:t>
      </w:r>
      <w:r w:rsidR="00636CD3" w:rsidRPr="005F62F4">
        <w:t>compared operative time</w:t>
      </w:r>
      <w:r w:rsidR="00F441A5" w:rsidRPr="005F62F4">
        <w:t>s</w:t>
      </w:r>
      <w:r w:rsidRPr="005F62F4">
        <w:t xml:space="preserve"> for </w:t>
      </w:r>
      <w:r w:rsidR="00FF7D6F" w:rsidRPr="005F62F4">
        <w:t xml:space="preserve">knee </w:t>
      </w:r>
      <w:r w:rsidR="00E614A8" w:rsidRPr="005F62F4">
        <w:t xml:space="preserve">reconstruction </w:t>
      </w:r>
      <w:r w:rsidR="00FF7D6F" w:rsidRPr="005F62F4">
        <w:t>surger</w:t>
      </w:r>
      <w:r w:rsidR="00F441A5" w:rsidRPr="005F62F4">
        <w:t>ies</w:t>
      </w:r>
      <w:r w:rsidR="00FF7D6F" w:rsidRPr="005F62F4">
        <w:t xml:space="preserve"> </w:t>
      </w:r>
      <w:r w:rsidR="00781C15" w:rsidRPr="005F62F4">
        <w:t>but</w:t>
      </w:r>
      <w:r w:rsidR="00FF7D6F" w:rsidRPr="005F62F4">
        <w:t xml:space="preserve"> </w:t>
      </w:r>
      <w:r w:rsidR="00957501" w:rsidRPr="005F62F4">
        <w:t xml:space="preserve">found no </w:t>
      </w:r>
      <w:r w:rsidR="00091EA5" w:rsidRPr="005F62F4">
        <w:t xml:space="preserve">significant </w:t>
      </w:r>
      <w:r w:rsidR="00957501" w:rsidRPr="005F62F4">
        <w:t xml:space="preserve">difference </w:t>
      </w:r>
      <w:r w:rsidR="0068238A" w:rsidRPr="005F62F4">
        <w:t xml:space="preserve">between the </w:t>
      </w:r>
      <w:r w:rsidR="00636CD3" w:rsidRPr="005F62F4">
        <w:t xml:space="preserve">intervention and comparator </w:t>
      </w:r>
      <w:r w:rsidR="0068238A" w:rsidRPr="005F62F4">
        <w:t>group</w:t>
      </w:r>
      <w:r w:rsidR="00636CD3" w:rsidRPr="005F62F4">
        <w:t>s</w:t>
      </w:r>
      <w:r w:rsidR="00957501" w:rsidRPr="005F62F4">
        <w:t>.</w:t>
      </w:r>
    </w:p>
    <w:p w14:paraId="7582230C" w14:textId="650B0036" w:rsidR="00C67A74" w:rsidRPr="005F62F4" w:rsidRDefault="00F441A5" w:rsidP="00957501">
      <w:pPr>
        <w:pStyle w:val="Para"/>
      </w:pPr>
      <w:r w:rsidRPr="005F62F4">
        <w:t>Finally</w:t>
      </w:r>
      <w:r w:rsidR="00D93DA9" w:rsidRPr="005F62F4">
        <w:t>, one study (</w:t>
      </w:r>
      <w:r w:rsidR="00D50333" w:rsidRPr="005F62F4">
        <w:fldChar w:fldCharType="begin" w:fldLock="1"/>
      </w:r>
      <w:r w:rsidR="00EB5748" w:rsidRPr="005F62F4">
        <w:instrText>ADDIN CSL_CITATION {"citationItems":[{"id":"ITEM-1","itemData":{"author":[{"dropping-particle":"","family":"Rommel","given":"Niklas","non-dropping-particle":"","parse-names":false,"suffix":""},{"dropping-particle":"","family":"Kesting","given":"Marco Rainer","non-dropping-particle":"","parse-names":false,"suffix":""},{"dropping-particle":"","family":"Rohleder","given":"Nils Hagen","non-dropping-particle":"","parse-names":false,"suffix":""},{"dropping-particle":"","family":"Bauer","given":"Florian Martin Josef","non-dropping-particle":"","parse-names":false,"suffix":""},{"dropping-particle":"","family":"Wolff","given":"Klaus-Dietrich","non-dropping-particle":"","parse-names":false,"suffix":""},{"dropping-particle":"","family":"Weitz","given":"Jochen","non-dropping-particle":"","parse-names":false,"suffix":""}],"container-title":"Journal of Cranio-Maxillo-Facial Surgery","id":"ITEM-1","issue":"2017","issued":{"date-parts":[["2017"]]},"page":"1246-1250","title":"Mandible reconstruction with free fibula flaps: outcome of a cost-effective individual planning concept compared with virtual surgical planning","type":"article-journal","volume":"25"},"uris":["http://www.mendeley.com/documents/?uuid=4df1ec55-694d-418f-a9fa-23360d39fe23","http://www.mendeley.com/documents/?uuid=ff5083b5-4392-4f29-a638-47ee0e1f5db4"]}],"mendeley":{"formattedCitation":"(Rommel et al. 2017)","manualFormatting":"Rommel et al. 2017)","plainTextFormattedCitation":"(Rommel et al. 2017)","previouslyFormattedCitation":"(Rommel et al. 2017)"},"properties":{"noteIndex":0},"schema":"https://github.com/citation-style-language/schema/raw/master/csl-citation.json"}</w:instrText>
      </w:r>
      <w:r w:rsidR="00D50333" w:rsidRPr="005F62F4">
        <w:fldChar w:fldCharType="separate"/>
      </w:r>
      <w:r w:rsidR="00D50333" w:rsidRPr="005F62F4">
        <w:rPr>
          <w:noProof/>
        </w:rPr>
        <w:t>Rommel et al. 2017)</w:t>
      </w:r>
      <w:r w:rsidR="00D50333" w:rsidRPr="005F62F4">
        <w:fldChar w:fldCharType="end"/>
      </w:r>
      <w:r w:rsidR="00E11312" w:rsidRPr="005F62F4">
        <w:t>, compared</w:t>
      </w:r>
      <w:r w:rsidR="000E6AF1" w:rsidRPr="005F62F4">
        <w:t xml:space="preserve"> CMF surgery assisted by</w:t>
      </w:r>
      <w:r w:rsidR="00E11312" w:rsidRPr="005F62F4">
        <w:t xml:space="preserve"> </w:t>
      </w:r>
      <w:r w:rsidR="00BC092B" w:rsidRPr="005F62F4">
        <w:t xml:space="preserve">virtual surgical planning using </w:t>
      </w:r>
      <w:proofErr w:type="spellStart"/>
      <w:r w:rsidR="00BC092B" w:rsidRPr="005F62F4">
        <w:t>ProPlan</w:t>
      </w:r>
      <w:proofErr w:type="spellEnd"/>
      <w:r w:rsidR="0043521E" w:rsidRPr="005F62F4">
        <w:t> </w:t>
      </w:r>
      <w:r w:rsidR="00BC092B" w:rsidRPr="005F62F4">
        <w:t xml:space="preserve">CMF </w:t>
      </w:r>
      <w:r w:rsidR="00847208" w:rsidRPr="005F62F4">
        <w:t xml:space="preserve">to </w:t>
      </w:r>
      <w:r w:rsidR="002B5970" w:rsidRPr="005F62F4">
        <w:t>an</w:t>
      </w:r>
      <w:r w:rsidR="00761F24" w:rsidRPr="005F62F4">
        <w:t xml:space="preserve"> alternative </w:t>
      </w:r>
      <w:r w:rsidR="00E11312" w:rsidRPr="005F62F4">
        <w:t>method where</w:t>
      </w:r>
      <w:r w:rsidR="00E04B3C" w:rsidRPr="005F62F4">
        <w:t xml:space="preserve"> models</w:t>
      </w:r>
      <w:r w:rsidR="00AC6AA8" w:rsidRPr="005F62F4">
        <w:t>,</w:t>
      </w:r>
      <w:r w:rsidR="00E04B3C" w:rsidRPr="005F62F4">
        <w:t xml:space="preserve"> cutting guides and templates were </w:t>
      </w:r>
      <w:r w:rsidR="001E0F57" w:rsidRPr="005F62F4">
        <w:t xml:space="preserve">3D printed or </w:t>
      </w:r>
      <w:r w:rsidR="00E04B3C" w:rsidRPr="005F62F4">
        <w:t>hand</w:t>
      </w:r>
      <w:r w:rsidR="0075441C" w:rsidRPr="005F62F4">
        <w:t xml:space="preserve"> </w:t>
      </w:r>
      <w:r w:rsidR="00E04B3C" w:rsidRPr="005F62F4">
        <w:t>made</w:t>
      </w:r>
      <w:r w:rsidR="008B63E3" w:rsidRPr="005F62F4">
        <w:t xml:space="preserve"> in</w:t>
      </w:r>
      <w:r w:rsidR="0097359E" w:rsidRPr="005F62F4">
        <w:t xml:space="preserve"> an</w:t>
      </w:r>
      <w:r w:rsidR="00E04B3C" w:rsidRPr="005F62F4">
        <w:t xml:space="preserve"> </w:t>
      </w:r>
      <w:r w:rsidR="008B63E3" w:rsidRPr="005F62F4">
        <w:t>in</w:t>
      </w:r>
      <w:r w:rsidR="00C7436D" w:rsidRPr="005F62F4">
        <w:t>-house</w:t>
      </w:r>
      <w:r w:rsidR="00E04B3C" w:rsidRPr="005F62F4">
        <w:t xml:space="preserve"> </w:t>
      </w:r>
      <w:r w:rsidR="00651E8A" w:rsidRPr="005F62F4">
        <w:t>laboratory</w:t>
      </w:r>
      <w:r w:rsidR="005435D5" w:rsidRPr="005F62F4">
        <w:t>. This study</w:t>
      </w:r>
      <w:r w:rsidR="00E11312" w:rsidRPr="005F62F4">
        <w:t xml:space="preserve"> and</w:t>
      </w:r>
      <w:r w:rsidR="00474784" w:rsidRPr="005F62F4">
        <w:t xml:space="preserve"> </w:t>
      </w:r>
      <w:r w:rsidR="00BC092B" w:rsidRPr="005F62F4">
        <w:t xml:space="preserve">found no difference in operative time between </w:t>
      </w:r>
      <w:r w:rsidR="00E11312" w:rsidRPr="005F62F4">
        <w:t>the 2 techniques</w:t>
      </w:r>
      <w:r w:rsidR="00BC219F" w:rsidRPr="005F62F4">
        <w:t xml:space="preserve">. </w:t>
      </w:r>
      <w:r w:rsidR="00E11312" w:rsidRPr="005F62F4">
        <w:t>While further evidence is required, t</w:t>
      </w:r>
      <w:r w:rsidR="0045176A" w:rsidRPr="005F62F4">
        <w:t xml:space="preserve">his may </w:t>
      </w:r>
      <w:r w:rsidR="001C7E8C" w:rsidRPr="005F62F4">
        <w:t>suggest that</w:t>
      </w:r>
      <w:r w:rsidR="00E02AD8" w:rsidRPr="005F62F4">
        <w:t xml:space="preserve"> </w:t>
      </w:r>
      <w:r w:rsidR="00FC5119" w:rsidRPr="005F62F4">
        <w:t xml:space="preserve">lab-based techniques for creating surgical guides and </w:t>
      </w:r>
      <w:proofErr w:type="spellStart"/>
      <w:r w:rsidR="00FC5119" w:rsidRPr="005F62F4">
        <w:t>biomodels</w:t>
      </w:r>
      <w:proofErr w:type="spellEnd"/>
      <w:r w:rsidR="00FC5119" w:rsidRPr="005F62F4">
        <w:t xml:space="preserve"> </w:t>
      </w:r>
      <w:r w:rsidR="005B101E" w:rsidRPr="005F62F4">
        <w:t xml:space="preserve">could achieve similar operative time savings as </w:t>
      </w:r>
      <w:r w:rsidR="009D535B" w:rsidRPr="005F62F4">
        <w:t>commercially designed</w:t>
      </w:r>
      <w:r w:rsidR="00D65F1D" w:rsidRPr="005F62F4">
        <w:t xml:space="preserve"> and </w:t>
      </w:r>
      <w:r w:rsidR="00862F1A" w:rsidRPr="005F62F4">
        <w:t xml:space="preserve">printed </w:t>
      </w:r>
      <w:r w:rsidR="00473C72" w:rsidRPr="005F62F4">
        <w:t xml:space="preserve">products </w:t>
      </w:r>
      <w:r w:rsidR="005B101E" w:rsidRPr="005F62F4">
        <w:t xml:space="preserve">when compared to </w:t>
      </w:r>
      <w:r w:rsidR="00422556" w:rsidRPr="005F62F4">
        <w:t>freehand</w:t>
      </w:r>
      <w:r w:rsidR="00474784" w:rsidRPr="005F62F4">
        <w:t xml:space="preserve"> alternatives</w:t>
      </w:r>
      <w:r w:rsidR="006861A2" w:rsidRPr="005F62F4">
        <w:t>.</w:t>
      </w:r>
    </w:p>
    <w:p w14:paraId="008F85D3" w14:textId="4EB8B8AB" w:rsidR="004453C3" w:rsidRPr="005F62F4" w:rsidRDefault="004453C3" w:rsidP="00BE3DED">
      <w:pPr>
        <w:pStyle w:val="Heading5"/>
      </w:pPr>
      <w:r w:rsidRPr="005F62F4">
        <w:lastRenderedPageBreak/>
        <w:t>Accuracy</w:t>
      </w:r>
    </w:p>
    <w:p w14:paraId="1A4334D1" w14:textId="5244F4C3" w:rsidR="008B6E07" w:rsidRPr="005F62F4" w:rsidRDefault="009016AA" w:rsidP="007371F1">
      <w:pPr>
        <w:pStyle w:val="ParaKeep"/>
      </w:pPr>
      <w:r w:rsidRPr="005F62F4">
        <w:t xml:space="preserve">Accuracy was measured in a variety of different ways, </w:t>
      </w:r>
      <w:r w:rsidR="00B7592D" w:rsidRPr="005F62F4">
        <w:t xml:space="preserve">and while this lack of uniformity </w:t>
      </w:r>
      <w:r w:rsidR="00BA7447" w:rsidRPr="005F62F4">
        <w:t>makes it</w:t>
      </w:r>
      <w:r w:rsidR="00B7592D" w:rsidRPr="005F62F4" w:rsidDel="00B7592D">
        <w:t xml:space="preserve"> difficult to </w:t>
      </w:r>
      <w:r w:rsidR="00B7592D" w:rsidRPr="005F62F4">
        <w:t>make comparisons or draw definitive conclusions</w:t>
      </w:r>
      <w:r w:rsidR="00BA7447" w:rsidRPr="005F62F4">
        <w:t>,</w:t>
      </w:r>
      <w:r w:rsidR="00B7592D" w:rsidRPr="005F62F4">
        <w:t xml:space="preserve"> most </w:t>
      </w:r>
      <w:r w:rsidR="00BA7447" w:rsidRPr="005F62F4">
        <w:t xml:space="preserve">studies </w:t>
      </w:r>
      <w:r w:rsidR="00B7592D" w:rsidRPr="005F62F4">
        <w:t xml:space="preserve">indicated </w:t>
      </w:r>
      <w:r w:rsidR="00BA7447" w:rsidRPr="005F62F4">
        <w:t xml:space="preserve">that </w:t>
      </w:r>
      <w:r w:rsidR="00B7592D" w:rsidRPr="005F62F4">
        <w:t xml:space="preserve">virtual surgical planning </w:t>
      </w:r>
      <w:r w:rsidR="00BA7447" w:rsidRPr="005F62F4">
        <w:t>was associated with improved accuracy compared to conventional surgery</w:t>
      </w:r>
      <w:r w:rsidR="002368B1" w:rsidRPr="005F62F4">
        <w:t xml:space="preserve"> in the </w:t>
      </w:r>
      <w:r w:rsidR="00671F20" w:rsidRPr="005F62F4">
        <w:t>CMF</w:t>
      </w:r>
      <w:r w:rsidR="002368B1" w:rsidRPr="005F62F4">
        <w:t xml:space="preserve"> region</w:t>
      </w:r>
      <w:r w:rsidR="00B15696" w:rsidRPr="005F62F4">
        <w:t>.</w:t>
      </w:r>
    </w:p>
    <w:p w14:paraId="70570684" w14:textId="6166D89D" w:rsidR="007B09F5" w:rsidRPr="005F62F4" w:rsidRDefault="00422556" w:rsidP="00B4341E">
      <w:pPr>
        <w:pStyle w:val="Para"/>
      </w:pPr>
      <w:r w:rsidRPr="005F62F4">
        <w:t>F</w:t>
      </w:r>
      <w:r w:rsidR="00EC1573" w:rsidRPr="005F62F4">
        <w:t xml:space="preserve">or example, </w:t>
      </w:r>
      <w:r w:rsidRPr="005F62F4">
        <w:t xml:space="preserve">Wang and colleagues </w:t>
      </w:r>
      <w:r w:rsidR="00943A38" w:rsidRPr="005F62F4">
        <w:fldChar w:fldCharType="begin" w:fldLock="1"/>
      </w:r>
      <w:r w:rsidR="007120F3" w:rsidRPr="005F62F4">
        <w:instrText>ADDIN CSL_CITATION {"citationItems":[{"id":"ITEM-1","itemData":{"DOI":"10.1016/j.ijom.2016.06.015","ISSN":"13990020","PMID":"27427546","abstract":"This study evaluated the accuracy of mandibular reconstruction and assessed clinical outcomes in both virtual planning and conventional surgery patients. ProPlan CMF surgical planning software was used preoperatively in the virtual planning group. In the virtual planning group, fibula flaps were harvested and osteotomized, and the mandibles were resected and reconstructed assisted by the prefabricated cutting guides and templates. The main outcome measures included the operative time, postoperative computed tomography (CT) scans, facial appearance, and occlusal function. The ischemia time and total operation time were shorter in the virtual planning group than in the conventional surgery group. High precision with the use of the cutting guides and templates was found for both the fibula and mandible, and a good fit was noted among the pre-bent plate, mandible, and fibula segments in the virtual planning group. Postoperative CT scans also showed excellent mandibular contours of the fibula flaps in accordance with virtual plans in the virtual planning group. This study demonstrated that virtual surgical planning was able to achieve more accurate mandibular reconstruction than conventional surgery. The use of prefabricated cutting guides and plates makes fibula flap moulding and placement easier, minimizes the operating time, and improves clinical outcomes.","author":[{"dropping-particle":"","family":"Wang","given":"YY","non-dropping-particle":"","parse-names":false,"suffix":""},{"dropping-particle":"","family":"Zhang","given":"HQ","non-dropping-particle":"","parse-names":false,"suffix":""},{"dropping-particle":"","family":"Fan","given":"S","non-dropping-particle":"","parse-names":false,"suffix":""},{"dropping-particle":"","family":"Zhang","given":"DM","non-dropping-particle":"","parse-names":false,"suffix":""},{"dropping-particle":"","family":"Huang","given":"ZQ","non-dropping-particle":"","parse-names":false,"suffix":""},{"dropping-particle":"","family":"Chen","given":"WL","non-dropping-particle":"","parse-names":false,"suffix":""},{"dropping-particle":"","family":"Ye","given":"JT","non-dropping-particle":"","parse-names":false,"suffix":""},{"dropping-particle":"","family":"Li","given":"JS","non-dropping-particle":"","parse-names":false,"suffix":""}],"container-title":"International Journal of Oral and Maxillofacial Surgery","id":"ITEM-1","issue":"11","issued":{"date-parts":[["2016"]]},"page":"1400-1405","title":"Mandibular reconstruction with the vascularized fibula flap: comparison of virtual planning surgery and conventional surgery","type":"article-journal","volume":"45"},"uris":["http://www.mendeley.com/documents/?uuid=e87eedd3-61ff-461b-b132-cf6d306f1d27"]},{"id":"ITEM-2","itemData":{"DOI":"10.1016/j.joms.2016.01.010","ISSN":"15315053","PMID":"26851316","abstract":"Purpose Reconstruction of maxillary and midfacial defects due to tumor ablation is challenging to conventional operation. The purposes of this study are to evaluate the precise 3-dimensional position of the fibular flap in reconstruction of maxillary defects assisted by virtual surgical planning and to assess the postoperative outcomes compared with conventional surgery. Materials and Methods We retrospectively reviewed 18 consecutive patients who underwent maxillary reconstruction with a vascularized fibular flap assisted by virtual surgical planning after maxillary or midfacial tumor ablation. Conventional surgery was performed in another 15 patients. Proplan CMF surgical planning (Materialise, Leuven, Belgium) was performed preoperatively in the virtual planning group. Fibular flaps were harvested and underwent osteotomy assisted by prefabricated cutting guides, and the maxilla and midface were resected and reconstructed assisted by the prefabricated cutting guides and templates in the virtual planning group. The operative time and fibular flap positions were evaluated in the 2 groups. Postoperative fibular positions of the maxillary reconstruction were compared with virtual plans in the virtual planning group. The postoperative facial appearance and occlusal function were assessed. Results The operations were performed successfully without complications. The ischemia time and total operative time were shorter in the virtual planning group than those in the conventional surgery group (P &lt;.05). High precision of the cutting guides and templates was found on both the fibula and maxilla in the virtual planning group. The positions of the fibular flaps, including the vertical and horizontal positions, were more accurate in the virtual planning group than those in the conventional surgery group (P &lt;.05). Bone-to-bone contact between the maxilla and fibular segments was more precise in the virtual planning group (P &lt;.05). Postoperative computed tomography scans showed excellent contour of the fibular flap segments in accordance with the virtual plans in the virtual planning group. All patients were alive with no evidence of disease. Functional mandibular range of motion, good occlusion, and an ideal facial appearance were observed in the virtual planning group. Conclusions Virtual surgical planning appears to achieve precise maxillary reconstruction with a vascularized fibular flap after tumor ablation, as well as an ideal facial appearance and function af…","author":[{"dropping-particle":"","family":"Wang","given":"YY","non-dropping-particle":"","parse-names":false,"suffix":""},{"dropping-particle":"","family":"Fan","given":"S","non-dropping-particle":"","parse-names":false,"suffix":""},{"dropping-particle":"","family":"Zhang","given":"HQ","non-dropping-particle":"","parse-names":false,"suffix":""},{"dropping-particle":"","family":"Lin","given":"ZY","non-dropping-particle":"","parse-names":false,"suffix":""},{"dropping-particle":"","family":"Ye","given":"JT","non-dropping-particle":"","parse-names":false,"suffix":""},{"dropping-particle":"","family":"Li","given":"JS","non-dropping-particle":"","parse-names":false,"suffix":""}],"container-title":"Journal of Oral and Maxillofacial Surgery","id":"ITEM-2","issue":"6","issued":{"date-parts":[["2016"]]},"page":"1255-1264","publisher":"American Association of Oral and Maxillofacial Surgeons","title":"Virtual surgical planning in precise maxillary reconstruction with vascularized fibular graft after tumor ablation","type":"article-journal","volume":"74"},"uris":["http://www.mendeley.com/documents/?uuid=f72461bc-1aa8-4be5-9c68-77131752f0f2"]}],"mendeley":{"formattedCitation":"(Wang, Fan, et al. 2016; Wang, Zhang, et al. 2016)","plainTextFormattedCitation":"(Wang, Fan, et al. 2016; Wang, Zhang, et al. 2016)","previouslyFormattedCitation":"(Wang, Fan, et al. 2016; Wang, Zhang, et al. 2016)"},"properties":{"noteIndex":0},"schema":"https://github.com/citation-style-language/schema/raw/master/csl-citation.json"}</w:instrText>
      </w:r>
      <w:r w:rsidR="00943A38" w:rsidRPr="005F62F4">
        <w:fldChar w:fldCharType="separate"/>
      </w:r>
      <w:r w:rsidR="00943A38" w:rsidRPr="005F62F4">
        <w:rPr>
          <w:noProof/>
        </w:rPr>
        <w:t>(Wang, Fan, et al. 2016; Wang, Zhang, et al. 2016)</w:t>
      </w:r>
      <w:r w:rsidR="00943A38" w:rsidRPr="005F62F4">
        <w:fldChar w:fldCharType="end"/>
      </w:r>
      <w:r w:rsidR="004F10B8" w:rsidRPr="005F62F4">
        <w:t xml:space="preserve"> looked at the precision of the bone-to-bone contact between </w:t>
      </w:r>
      <w:r w:rsidR="006F03FC" w:rsidRPr="005F62F4">
        <w:t xml:space="preserve">either the maxilla or mandible </w:t>
      </w:r>
      <w:r w:rsidR="002965CF" w:rsidRPr="005F62F4">
        <w:t>and the fibular segments used for reconstruction</w:t>
      </w:r>
      <w:r w:rsidR="00CD0A74" w:rsidRPr="005F62F4">
        <w:t>.</w:t>
      </w:r>
      <w:r w:rsidR="002965CF" w:rsidRPr="005F62F4">
        <w:t xml:space="preserve"> </w:t>
      </w:r>
      <w:r w:rsidR="00CD0A74" w:rsidRPr="005F62F4">
        <w:t>B</w:t>
      </w:r>
      <w:r w:rsidR="002965CF" w:rsidRPr="005F62F4">
        <w:t xml:space="preserve">oth studies </w:t>
      </w:r>
      <w:r w:rsidR="00CD0A74" w:rsidRPr="005F62F4">
        <w:t xml:space="preserve">found </w:t>
      </w:r>
      <w:r w:rsidR="002965CF" w:rsidRPr="005F62F4">
        <w:t xml:space="preserve">that </w:t>
      </w:r>
      <w:r w:rsidR="002A1F21" w:rsidRPr="005F62F4">
        <w:t>contact</w:t>
      </w:r>
      <w:r w:rsidR="0058607C" w:rsidRPr="005F62F4">
        <w:t xml:space="preserve"> was more precise in the virtual surgical planning group</w:t>
      </w:r>
      <w:r w:rsidR="001D4EB5" w:rsidRPr="005F62F4">
        <w:t xml:space="preserve"> (which included the use of </w:t>
      </w:r>
      <w:r w:rsidR="00DB0CFC" w:rsidRPr="005F62F4">
        <w:t xml:space="preserve">models and </w:t>
      </w:r>
      <w:proofErr w:type="gramStart"/>
      <w:r w:rsidR="00DB0CFC" w:rsidRPr="005F62F4">
        <w:t>pre-fabricated</w:t>
      </w:r>
      <w:proofErr w:type="gramEnd"/>
      <w:r w:rsidR="00DB0CFC" w:rsidRPr="005F62F4">
        <w:t xml:space="preserve"> guides) </w:t>
      </w:r>
      <w:r w:rsidR="002A1F21" w:rsidRPr="005F62F4">
        <w:t>than the</w:t>
      </w:r>
      <w:r w:rsidR="00DB0CFC" w:rsidRPr="005F62F4">
        <w:t xml:space="preserve"> conventional surgery</w:t>
      </w:r>
      <w:r w:rsidR="002A1F21" w:rsidRPr="005F62F4">
        <w:t xml:space="preserve"> group</w:t>
      </w:r>
      <w:r w:rsidR="00DB0CFC" w:rsidRPr="005F62F4">
        <w:t>.</w:t>
      </w:r>
    </w:p>
    <w:p w14:paraId="055FF89F" w14:textId="576D3D33" w:rsidR="00B4341E" w:rsidRPr="005F62F4" w:rsidRDefault="00706BEB" w:rsidP="001E0F57">
      <w:pPr>
        <w:pStyle w:val="ParaKeep"/>
      </w:pPr>
      <w:r w:rsidRPr="005F62F4">
        <w:t xml:space="preserve">Other methods of </w:t>
      </w:r>
      <w:r w:rsidR="00DD1766" w:rsidRPr="005F62F4">
        <w:t xml:space="preserve">measuring </w:t>
      </w:r>
      <w:r w:rsidRPr="005F62F4">
        <w:t xml:space="preserve">accuracy included </w:t>
      </w:r>
      <w:r w:rsidR="001546A2" w:rsidRPr="005F62F4">
        <w:t>comparing</w:t>
      </w:r>
      <w:r w:rsidR="00EF3C5B" w:rsidRPr="005F62F4">
        <w:t xml:space="preserve"> the </w:t>
      </w:r>
      <w:r w:rsidR="00F42E35" w:rsidRPr="005F62F4">
        <w:t xml:space="preserve">mean difference </w:t>
      </w:r>
      <w:r w:rsidR="00E75220" w:rsidRPr="005F62F4">
        <w:t xml:space="preserve">from the angle to the midline </w:t>
      </w:r>
      <w:r w:rsidR="009016AA" w:rsidRPr="005F62F4">
        <w:t>(</w:t>
      </w:r>
      <w:r w:rsidR="00E75220" w:rsidRPr="005F62F4">
        <w:t>defined by the anterior nasal spine</w:t>
      </w:r>
      <w:r w:rsidR="009016AA" w:rsidRPr="005F62F4">
        <w:t>)</w:t>
      </w:r>
      <w:r w:rsidR="00E75220" w:rsidRPr="005F62F4">
        <w:t xml:space="preserve"> before and after surgery</w:t>
      </w:r>
      <w:r w:rsidR="00106980" w:rsidRPr="005F62F4">
        <w:t xml:space="preserve"> and </w:t>
      </w:r>
      <w:r w:rsidR="00E75220" w:rsidRPr="005F62F4">
        <w:t xml:space="preserve">the difference in the angle </w:t>
      </w:r>
      <w:r w:rsidR="00106980" w:rsidRPr="005F62F4">
        <w:t>of the mandible before and after surgery</w:t>
      </w:r>
      <w:r w:rsidR="00EF3C5B" w:rsidRPr="005F62F4">
        <w:t xml:space="preserve"> </w:t>
      </w:r>
      <w:r w:rsidR="00EF3C5B" w:rsidRPr="005F62F4">
        <w:fldChar w:fldCharType="begin" w:fldLock="1"/>
      </w:r>
      <w:r w:rsidR="00EF3C5B" w:rsidRPr="005F62F4">
        <w:instrText>ADDIN CSL_CITATION {"citationItems":[{"id":"ITEM-1","itemData":{"DOI":"10.1016/j.bjoms.2016.01.029","ISSN":"15321940","PMID":"26898519","abstract":"Mandibular reconstruction with a fibular free flap has become standard in specialised centres for head and neck reconstruction, particularly for defects with more than one osteotomy that are challenging even for experienced surgeons. Virtual surgical planning is a potential tool to facilitate harvesting of the fibula and the osteostomy. The purpose of this study was to compare the two methods of mandibular reconstruction - conventionally planned (conventional group) and \"virtually\" planned (virtual group) - with regard to accuracy, bony consolidation, complications, and operating time. Fifty patients who required mandibular reconstruction after segmental mandibulectomy were evaluated retrospectively, 24 virtually planned and 26 conventionally planned. The overall survival of flaps was 92% (46/50). The bony consolidation rate in the virtual group was significantly better than that in the conventional group (p=0.002). The difference between the angle of the mandible before and after was highly significant with a median of 11.5° (range 2°-75°) in the conventional group and 4.5° (range 0-18°) in the virtual group (p=0.0001). Operations were mean (SD) of 34 (21.2) minutes shorter in virtually-planned cases (p=0.12). The overall morbidity did not differ significantly between the groups. The use of virtual surgical planning in mandibular reconstruction by fibular free flap is beneficial for optimising accuracy, consolidation of bony segments, and operating time, while increasing the predictability of results for the surgeon. However, additional costs have to be carefully weighed against the benefits.","author":[{"dropping-particle":"","family":"Weitz","given":"J.","non-dropping-particle":"","parse-names":false,"suffix":""},{"dropping-particle":"","family":"Bauer","given":"F. J.M.","non-dropping-particle":"","parse-names":false,"suffix":""},{"dropping-particle":"","family":"Hapfelmeier","given":"A.","non-dropping-particle":"","parse-names":false,"suffix":""},{"dropping-particle":"","family":"Rohleder","given":"N. H.","non-dropping-particle":"","parse-names":false,"suffix":""},{"dropping-particle":"","family":"Wolff","given":"K. D.","non-dropping-particle":"","parse-names":false,"suffix":""},{"dropping-particle":"","family":"Kesting","given":"M. R.","non-dropping-particle":"","parse-names":false,"suffix":""}],"container-title":"British Journal of Oral and Maxillofacial Surgery","id":"ITEM-1","issue":"5","issued":{"date-parts":[["2016"]]},"page":"506-510","publisher":"British Association of Oral and Maxillofacial Surgeons","title":"Accuracy of mandibular reconstruction by three-dimensional guided vascularised fibular free flap after segmental mandibulectomy","type":"article-journal","volume":"54"},"uris":["http://www.mendeley.com/documents/?uuid=792c5cc4-cb2b-4134-af74-11dfb970df01"]}],"mendeley":{"formattedCitation":"(Weitz et al. 2016)","plainTextFormattedCitation":"(Weitz et al. 2016)","previouslyFormattedCitation":"(Weitz et al. 2016)"},"properties":{"noteIndex":0},"schema":"https://github.com/citation-style-language/schema/raw/master/csl-citation.json"}</w:instrText>
      </w:r>
      <w:r w:rsidR="00EF3C5B" w:rsidRPr="005F62F4">
        <w:fldChar w:fldCharType="separate"/>
      </w:r>
      <w:r w:rsidR="00EF3C5B" w:rsidRPr="005F62F4">
        <w:rPr>
          <w:noProof/>
        </w:rPr>
        <w:t>(Weitz et al. 2016)</w:t>
      </w:r>
      <w:r w:rsidR="00EF3C5B" w:rsidRPr="005F62F4">
        <w:fldChar w:fldCharType="end"/>
      </w:r>
      <w:r w:rsidR="00EF3C5B" w:rsidRPr="005F62F4">
        <w:t xml:space="preserve">, </w:t>
      </w:r>
      <w:r w:rsidR="008F0B80" w:rsidRPr="005F62F4">
        <w:t>mandibular contour and cond</w:t>
      </w:r>
      <w:r w:rsidR="00C86DA3" w:rsidRPr="005F62F4">
        <w:t>y</w:t>
      </w:r>
      <w:r w:rsidR="008F0B80" w:rsidRPr="005F62F4">
        <w:t xml:space="preserve">le position </w:t>
      </w:r>
      <w:r w:rsidR="00C86DA3" w:rsidRPr="005F62F4">
        <w:fldChar w:fldCharType="begin" w:fldLock="1"/>
      </w:r>
      <w:r w:rsidR="00426819" w:rsidRPr="005F62F4">
        <w:instrText>ADDIN CSL_CITATION {"citationItems":[{"id":"ITEM-1","itemData":{"DOI":"10.1016/j.jcms.2016.08.014","ISSN":"18784119","PMID":"27713054","abstract":"While vascularized iliac crest flap is widely used for mandibular reconstruction, it is often challenging to predict the clinical outcome in a conventional operation based solely on the surgeon's experience. Herein, we aimed to improve this procedure by using computer-assisted techniques. We retrospectively reviewed records of 45 patients with mandibular tumor who underwent mandibulectomy and reconstruction with vascularized iliac crest flap from January 2008 to June 2015. Computer-assisted techniques including virtual plan, stereomodel, pre-bending individual reconstruction plate, and surgical navigation were used in 15 patients. The other 30 patients underwent conventional surgery based on the surgeon's experience. Condyle position and reconstructed mandible contour were evaluated based on post-operative computed tomography. Complications were also evaluated during the follow-up. Flap success rate of the patients was 95.6% (43/45). Those in the computer-assisted group presented with better outcomes of the mandibular contour (p = 0.001) and condyle position (p = 0.026). Further, they also experienced beneficial dental restoration (p = 0.011) and postoperative appearance (p = 0.028). The difference between postoperative effect and virtual plan was within the acceptable error margin. There is no significant difference in the incidence of post-operative complications. Thus, computer-assisted techniques can improve the clinical outcomes of mandibular reconstruction with vascularized iliac crest flap.","author":[{"dropping-particle":"","family":"Zhang","given":"Wen Bo","non-dropping-particle":"","parse-names":false,"suffix":""},{"dropping-particle":"","family":"Yu","given":"Yao","non-dropping-particle":"","parse-names":false,"suffix":""},{"dropping-particle":"","family":"Wang","given":"Yang","non-dropping-particle":"","parse-names":false,"suffix":""},{"dropping-particle":"","family":"Mao","given":"Chi","non-dropping-particle":"","parse-names":false,"suffix":""},{"dropping-particle":"","family":"Liu","given":"Xiao Jing","non-dropping-particle":"","parse-names":false,"suffix":""},{"dropping-particle":"Bin","family":"Guo","given":"Chuan","non-dropping-particle":"","parse-names":false,"suffix":""},{"dropping-particle":"","family":"Yu","given":"Guang Yan","non-dropping-particle":"","parse-names":false,"suffix":""},{"dropping-particle":"","family":"Peng","given":"Xin","non-dropping-particle":"","parse-names":false,"suffix":""}],"container-title":"Journal of Cranio-Maxillofacial Surgery","id":"ITEM-1","issue":"11","issued":{"date-parts":[["2016"]]},"page":"1819-1827","publisher":"Elsevier Ltd","title":"Improving the accuracy of mandibular reconstruction with vascularized iliac crest flap: role of computer-assisted techniques","type":"article-journal","volume":"44"},"uris":["http://www.mendeley.com/documents/?uuid=b6c1247a-92eb-4842-a3cd-812e1d7fe7e0"]}],"mendeley":{"formattedCitation":"(Zhang et al. 2016)","plainTextFormattedCitation":"(Zhang et al. 2016)","previouslyFormattedCitation":"(Zhang et al. 2016)"},"properties":{"noteIndex":0},"schema":"https://github.com/citation-style-language/schema/raw/master/csl-citation.json"}</w:instrText>
      </w:r>
      <w:r w:rsidR="00C86DA3" w:rsidRPr="005F62F4">
        <w:fldChar w:fldCharType="separate"/>
      </w:r>
      <w:r w:rsidR="00C86DA3" w:rsidRPr="005F62F4">
        <w:rPr>
          <w:noProof/>
        </w:rPr>
        <w:t>(Zhang et al. 2016)</w:t>
      </w:r>
      <w:r w:rsidR="00C86DA3" w:rsidRPr="005F62F4">
        <w:fldChar w:fldCharType="end"/>
      </w:r>
      <w:r w:rsidR="00C86DA3" w:rsidRPr="005F62F4">
        <w:t xml:space="preserve">, </w:t>
      </w:r>
      <w:r w:rsidR="002C2F62" w:rsidRPr="005F62F4">
        <w:t xml:space="preserve">the difference between the vertical distance at the canine and the first molar between the operated </w:t>
      </w:r>
      <w:r w:rsidR="009016AA" w:rsidRPr="005F62F4">
        <w:t>and non</w:t>
      </w:r>
      <w:r w:rsidR="00466A11" w:rsidRPr="005F62F4">
        <w:t>-</w:t>
      </w:r>
      <w:r w:rsidR="009016AA" w:rsidRPr="005F62F4">
        <w:t xml:space="preserve">operated </w:t>
      </w:r>
      <w:r w:rsidR="002C2F62" w:rsidRPr="005F62F4">
        <w:t>side</w:t>
      </w:r>
      <w:r w:rsidR="009016AA" w:rsidRPr="005F62F4">
        <w:t>s</w:t>
      </w:r>
      <w:r w:rsidR="00317D73" w:rsidRPr="005F62F4">
        <w:t xml:space="preserve"> and the horizontal fibular position </w:t>
      </w:r>
      <w:r w:rsidR="005F0FAA" w:rsidRPr="005F62F4">
        <w:fldChar w:fldCharType="begin" w:fldLock="1"/>
      </w:r>
      <w:r w:rsidR="00DE4DE3" w:rsidRPr="005F62F4">
        <w:instrText>ADDIN CSL_CITATION {"citationItems":[{"id":"ITEM-1","itemData":{"author":[{"dropping-particle":"","family":"Zhang","given":"WB","non-dropping-particle":"","parse-names":false,"suffix":""},{"dropping-particle":"","family":"Wang","given":"Y","non-dropping-particle":"","parse-names":false,"suffix":""},{"dropping-particle":"","family":"Liu","given":"XJ","non-dropping-particle":"","parse-names":false,"suffix":""},{"dropping-particle":"","family":"C","given":"Mao","non-dropping-particle":"","parse-names":false,"suffix":""},{"dropping-particle":"","family":"GY","given":"Guo","non-dropping-particle":"","parse-names":false,"suffix":""},{"dropping-particle":"","family":"Peng","given":"YX","non-dropping-particle":"","parse-names":false,"suffix":""}],"container-title":"Journal of Cranio-Maxillo-Facial Surgery","id":"ITEM-1","issue":"2015","issued":{"date-parts":[["2015"]]},"page":"630-636","title":"Reconstruction of maxillary defects with free fibula flap assisted by computer techniques","type":"article-journal","volume":"43"},"uris":["http://www.mendeley.com/documents/?uuid=f2b7a9ed-b9a0-4bcd-beb9-bd1cebac59ba"]}],"mendeley":{"formattedCitation":"(Zhang et al. 2015)","plainTextFormattedCitation":"(Zhang et al. 2015)","previouslyFormattedCitation":"(Zhang et al. 2015)"},"properties":{"noteIndex":0},"schema":"https://github.com/citation-style-language/schema/raw/master/csl-citation.json"}</w:instrText>
      </w:r>
      <w:r w:rsidR="005F0FAA" w:rsidRPr="005F62F4">
        <w:fldChar w:fldCharType="separate"/>
      </w:r>
      <w:r w:rsidR="005F0FAA" w:rsidRPr="005F62F4">
        <w:rPr>
          <w:noProof/>
        </w:rPr>
        <w:t>(Zhang et al. 2015)</w:t>
      </w:r>
      <w:r w:rsidR="005F0FAA" w:rsidRPr="005F62F4">
        <w:fldChar w:fldCharType="end"/>
      </w:r>
      <w:r w:rsidR="006D7D3D" w:rsidRPr="005F62F4">
        <w:t xml:space="preserve"> </w:t>
      </w:r>
      <w:r w:rsidR="006D7D3D" w:rsidRPr="005F62F4" w:rsidDel="00F23B03">
        <w:t>and</w:t>
      </w:r>
      <w:r w:rsidR="00DE4DE3" w:rsidRPr="005F62F4" w:rsidDel="00F23B03">
        <w:t xml:space="preserve"> the length of bone segments, angle between adjacent segments and intercondylar and intergonial angle distances on the preoperative digital plan compared to the postoperative CT scan</w:t>
      </w:r>
      <w:r w:rsidR="001E0F57" w:rsidRPr="005F62F4">
        <w:t xml:space="preserve"> </w:t>
      </w:r>
      <w:r w:rsidR="001E0F57" w:rsidRPr="005F62F4">
        <w:fldChar w:fldCharType="begin" w:fldLock="1"/>
      </w:r>
      <w:r w:rsidR="001E0F57" w:rsidRPr="005F62F4">
        <w:instrText>ADDIN CSL_CITATION {"citationItems":[{"id":"ITEM-1","itemData":{"author":[{"dropping-particle":"","family":"Johal","given":"M","non-dropping-particle":"","parse-names":false,"suffix":""},{"dropping-particle":"","family":"Ma","given":"JNB","non-dropping-particle":"","parse-names":false,"suffix":""},{"dropping-particle":"","family":"Parthasarathi","given":"K","non-dropping-particle":"","parse-names":false,"suffix":""},{"dropping-particle":"","family":"Dunn","given":"M","non-dropping-particle":"","parse-names":false,"suffix":""},{"dropping-particle":"","family":"Howes","given":"D","non-dropping-particle":"","parse-names":false,"suffix":""},{"dropping-particle":"","family":"Wallace","given":"C","non-dropping-particle":"","parse-names":false,"suffix":""},{"dropping-particle":"","family":"Palme","given":"CE","non-dropping-particle":"","parse-names":false,"suffix":""},{"dropping-particle":"","family":"Leinkram","given":"D","non-dropping-particle":"","parse-names":false,"suffix":""},{"dropping-particle":"","family":"Cheng","given":"K","non-dropping-particle":"","parse-names":false,"suffix":""},{"dropping-particle":"","family":"Clark","given":"JR","non-dropping-particle":"","parse-names":false,"suffix":""}],"container-title":"Journal of Plastic, Reconstructive &amp; Aesthetic Surgery","id":"ITEM-1","issued":{"date-parts":[["2022"]]},"page":"1399-1407","title":"Institutional-based and commercial virtual surgical planning in maxillomandibular reconstruction - comparing the digital and postoperative scan","type":"article-journal","volume":"75"},"uris":["http://www.mendeley.com/documents/?uuid=21b05b5f-345c-42d3-89f8-9b8a4194471a"]}],"mendeley":{"formattedCitation":"(Johal et al. 2022)","plainTextFormattedCitation":"(Johal et al. 2022)"},"properties":{"noteIndex":0},"schema":"https://github.com/citation-style-language/schema/raw/master/csl-citation.json"}</w:instrText>
      </w:r>
      <w:r w:rsidR="001E0F57" w:rsidRPr="005F62F4">
        <w:fldChar w:fldCharType="separate"/>
      </w:r>
      <w:r w:rsidR="001E0F57" w:rsidRPr="005F62F4">
        <w:rPr>
          <w:noProof/>
        </w:rPr>
        <w:t>(Johal et al. 2022)</w:t>
      </w:r>
      <w:r w:rsidR="001E0F57" w:rsidRPr="005F62F4">
        <w:fldChar w:fldCharType="end"/>
      </w:r>
      <w:r w:rsidR="007120F3" w:rsidRPr="005F62F4" w:rsidDel="00F23B03">
        <w:fldChar w:fldCharType="begin" w:fldLock="1"/>
      </w:r>
      <w:r w:rsidR="007120F3" w:rsidRPr="005F62F4" w:rsidDel="00F23B03">
        <w:fldChar w:fldCharType="separate"/>
      </w:r>
      <w:r w:rsidR="007120F3" w:rsidRPr="005F62F4" w:rsidDel="00F23B03">
        <w:rPr>
          <w:noProof/>
        </w:rPr>
        <w:t>(Johal et al. 2022)</w:t>
      </w:r>
      <w:r w:rsidR="007120F3" w:rsidRPr="005F62F4" w:rsidDel="00F23B03">
        <w:fldChar w:fldCharType="end"/>
      </w:r>
      <w:r w:rsidR="00106980" w:rsidRPr="005F62F4">
        <w:t>.</w:t>
      </w:r>
    </w:p>
    <w:p w14:paraId="72FF977B" w14:textId="7CA098ED" w:rsidR="00BA7447" w:rsidRPr="005F62F4" w:rsidRDefault="00A256DF" w:rsidP="00B4341E">
      <w:pPr>
        <w:pStyle w:val="Para"/>
      </w:pPr>
      <w:r w:rsidRPr="005F62F4">
        <w:t xml:space="preserve">One study </w:t>
      </w:r>
      <w:r w:rsidR="00275377" w:rsidRPr="005F62F4">
        <w:t>(</w:t>
      </w:r>
      <w:r w:rsidR="00BA7447" w:rsidRPr="005F62F4">
        <w:t xml:space="preserve">De </w:t>
      </w:r>
      <w:proofErr w:type="spellStart"/>
      <w:r w:rsidR="00BA7447" w:rsidRPr="005F62F4">
        <w:t>Maesschalck</w:t>
      </w:r>
      <w:proofErr w:type="spellEnd"/>
      <w:r w:rsidR="00BA7447" w:rsidRPr="005F62F4">
        <w:t xml:space="preserve"> et al. 2017) found no differences in </w:t>
      </w:r>
      <w:r w:rsidR="00275377" w:rsidRPr="005F62F4">
        <w:t xml:space="preserve">the </w:t>
      </w:r>
      <w:r w:rsidR="00BA7447" w:rsidRPr="005F62F4">
        <w:t xml:space="preserve">overall accuracy </w:t>
      </w:r>
      <w:r w:rsidR="009F0988" w:rsidRPr="005F62F4">
        <w:t xml:space="preserve">of fibular free flap mandibular reconstruction using </w:t>
      </w:r>
      <w:r w:rsidR="00BA7447" w:rsidRPr="005F62F4">
        <w:t xml:space="preserve">a computer-assisted technique </w:t>
      </w:r>
      <w:r w:rsidR="009F0988" w:rsidRPr="005F62F4">
        <w:t xml:space="preserve">that </w:t>
      </w:r>
      <w:r w:rsidR="00BA7447" w:rsidRPr="005F62F4">
        <w:t>included the use of surgical cutting guides, and a conventional surgical technique</w:t>
      </w:r>
      <w:r w:rsidR="004F4A51" w:rsidRPr="005F62F4">
        <w:t>.</w:t>
      </w:r>
      <w:r w:rsidR="00BA7447" w:rsidRPr="005F62F4">
        <w:t xml:space="preserve"> </w:t>
      </w:r>
      <w:r w:rsidR="001249F8" w:rsidRPr="005F62F4">
        <w:t>I</w:t>
      </w:r>
      <w:r w:rsidR="00BA7447" w:rsidRPr="005F62F4">
        <w:t xml:space="preserve">n this study, </w:t>
      </w:r>
      <w:r w:rsidR="001249F8" w:rsidRPr="005F62F4">
        <w:t xml:space="preserve">accuracy </w:t>
      </w:r>
      <w:r w:rsidR="00BA7447" w:rsidRPr="005F62F4">
        <w:t xml:space="preserve">was assessed </w:t>
      </w:r>
      <w:r w:rsidR="00425914" w:rsidRPr="005F62F4">
        <w:t xml:space="preserve">by comparing </w:t>
      </w:r>
      <w:r w:rsidR="00BA7447" w:rsidRPr="005F62F4">
        <w:t>the difference in linear and angular parameters between pre- and postoperative scans.</w:t>
      </w:r>
    </w:p>
    <w:p w14:paraId="631E76C0" w14:textId="5CA4A9F1" w:rsidR="00C63BC9" w:rsidRPr="005F62F4" w:rsidRDefault="00C63BC9" w:rsidP="00B4341E">
      <w:pPr>
        <w:pStyle w:val="Para"/>
      </w:pPr>
      <w:r w:rsidRPr="005F62F4">
        <w:t xml:space="preserve">Johal et al. </w:t>
      </w:r>
      <w:r w:rsidR="001B2AA7" w:rsidRPr="005F62F4">
        <w:t xml:space="preserve">(2022) </w:t>
      </w:r>
      <w:r w:rsidR="004248BF" w:rsidRPr="005F62F4">
        <w:t xml:space="preserve">found similar </w:t>
      </w:r>
      <w:r w:rsidR="00DA15C0" w:rsidRPr="005F62F4">
        <w:t xml:space="preserve">results with respect to accuracy </w:t>
      </w:r>
      <w:r w:rsidR="00D65F1D" w:rsidRPr="005F62F4">
        <w:t xml:space="preserve">using </w:t>
      </w:r>
      <w:r w:rsidR="001B2AA7" w:rsidRPr="005F62F4">
        <w:t>commercial (</w:t>
      </w:r>
      <w:proofErr w:type="spellStart"/>
      <w:r w:rsidR="00DA15C0" w:rsidRPr="005F62F4">
        <w:t>ProPlan</w:t>
      </w:r>
      <w:proofErr w:type="spellEnd"/>
      <w:r w:rsidR="001B2AA7" w:rsidRPr="005F62F4">
        <w:t>/</w:t>
      </w:r>
      <w:proofErr w:type="spellStart"/>
      <w:r w:rsidR="009A2DE2" w:rsidRPr="005F62F4">
        <w:t>TruMatch</w:t>
      </w:r>
      <w:proofErr w:type="spellEnd"/>
      <w:r w:rsidR="001B2AA7" w:rsidRPr="005F62F4">
        <w:t>)</w:t>
      </w:r>
      <w:r w:rsidR="00DA15C0" w:rsidRPr="005F62F4">
        <w:t xml:space="preserve"> </w:t>
      </w:r>
      <w:r w:rsidR="00D65F1D" w:rsidRPr="005F62F4">
        <w:t>or</w:t>
      </w:r>
      <w:r w:rsidR="00DA15C0" w:rsidRPr="005F62F4">
        <w:t xml:space="preserve"> in-house virtual surgical planning.</w:t>
      </w:r>
    </w:p>
    <w:p w14:paraId="63CE473D" w14:textId="0538F8FA" w:rsidR="00F06B26" w:rsidRPr="005F62F4" w:rsidRDefault="00F06B26" w:rsidP="00BE3DED">
      <w:pPr>
        <w:pStyle w:val="Heading5"/>
      </w:pPr>
      <w:proofErr w:type="spellStart"/>
      <w:r w:rsidRPr="005F62F4">
        <w:t>Ischaemia</w:t>
      </w:r>
      <w:proofErr w:type="spellEnd"/>
      <w:r w:rsidRPr="005F62F4">
        <w:t xml:space="preserve"> time</w:t>
      </w:r>
    </w:p>
    <w:p w14:paraId="2631D7C9" w14:textId="26EA56A0" w:rsidR="00481E6D" w:rsidRPr="005F62F4" w:rsidRDefault="00F042BE" w:rsidP="00481E6D">
      <w:pPr>
        <w:pStyle w:val="Para"/>
      </w:pPr>
      <w:r w:rsidRPr="005F62F4">
        <w:t xml:space="preserve">Three studies reported that </w:t>
      </w:r>
      <w:r w:rsidR="00481E6D" w:rsidRPr="005F62F4">
        <w:t xml:space="preserve">virtual surgical planning </w:t>
      </w:r>
      <w:r w:rsidR="00D93F4B" w:rsidRPr="005F62F4">
        <w:t xml:space="preserve">(including the use of surgical guides and </w:t>
      </w:r>
      <w:proofErr w:type="spellStart"/>
      <w:r w:rsidR="00D93F4B" w:rsidRPr="005F62F4">
        <w:t>biomodels</w:t>
      </w:r>
      <w:proofErr w:type="spellEnd"/>
      <w:r w:rsidR="00D93F4B" w:rsidRPr="005F62F4">
        <w:t>)</w:t>
      </w:r>
      <w:r w:rsidR="00481E6D" w:rsidRPr="005F62F4">
        <w:t xml:space="preserve">, </w:t>
      </w:r>
      <w:r w:rsidRPr="005F62F4">
        <w:t xml:space="preserve">was associated </w:t>
      </w:r>
      <w:r w:rsidR="00481E6D" w:rsidRPr="005F62F4">
        <w:t xml:space="preserve">with </w:t>
      </w:r>
      <w:r w:rsidRPr="005F62F4">
        <w:t xml:space="preserve">reduced </w:t>
      </w:r>
      <w:proofErr w:type="spellStart"/>
      <w:r w:rsidRPr="005F62F4">
        <w:t>ischaemia</w:t>
      </w:r>
      <w:proofErr w:type="spellEnd"/>
      <w:r w:rsidRPr="005F62F4">
        <w:t xml:space="preserve"> time</w:t>
      </w:r>
      <w:r w:rsidR="00481E6D" w:rsidRPr="005F62F4">
        <w:t xml:space="preserve"> compared to conventional surgical technique</w:t>
      </w:r>
      <w:r w:rsidRPr="005F62F4">
        <w:t>s</w:t>
      </w:r>
      <w:r w:rsidR="009148ED" w:rsidRPr="005F62F4">
        <w:t xml:space="preserve"> </w:t>
      </w:r>
      <w:r w:rsidR="00CD233C" w:rsidRPr="005F62F4">
        <w:fldChar w:fldCharType="begin" w:fldLock="1"/>
      </w:r>
      <w:r w:rsidR="004F5912" w:rsidRPr="005F62F4">
        <w:instrText>ADDIN CSL_CITATION {"citationItems":[{"id":"ITEM-1","itemData":{"DOI":"10.1016/j.joms.2016.01.010","ISSN":"15315053","PMID":"26851316","abstract":"Purpose Reconstruction of maxillary and midfacial defects due to tumor ablation is challenging to conventional operation. The purposes of this study are to evaluate the precise 3-dimensional position of the fibular flap in reconstruction of maxillary defects assisted by virtual surgical planning and to assess the postoperative outcomes compared with conventional surgery. Materials and Methods We retrospectively reviewed 18 consecutive patients who underwent maxillary reconstruction with a vascularized fibular flap assisted by virtual surgical planning after maxillary or midfacial tumor ablation. Conventional surgery was performed in another 15 patients. Proplan CMF surgical planning (Materialise, Leuven, Belgium) was performed preoperatively in the virtual planning group. Fibular flaps were harvested and underwent osteotomy assisted by prefabricated cutting guides, and the maxilla and midface were resected and reconstructed assisted by the prefabricated cutting guides and templates in the virtual planning group. The operative time and fibular flap positions were evaluated in the 2 groups. Postoperative fibular positions of the maxillary reconstruction were compared with virtual plans in the virtual planning group. The postoperative facial appearance and occlusal function were assessed. Results The operations were performed successfully without complications. The ischemia time and total operative time were shorter in the virtual planning group than those in the conventional surgery group (P &lt;.05). High precision of the cutting guides and templates was found on both the fibula and maxilla in the virtual planning group. The positions of the fibular flaps, including the vertical and horizontal positions, were more accurate in the virtual planning group than those in the conventional surgery group (P &lt;.05). Bone-to-bone contact between the maxilla and fibular segments was more precise in the virtual planning group (P &lt;.05). Postoperative computed tomography scans showed excellent contour of the fibular flap segments in accordance with the virtual plans in the virtual planning group. All patients were alive with no evidence of disease. Functional mandibular range of motion, good occlusion, and an ideal facial appearance were observed in the virtual planning group. Conclusions Virtual surgical planning appears to achieve precise maxillary reconstruction with a vascularized fibular flap after tumor ablation, as well as an ideal facial appearance and function af…","author":[{"dropping-particle":"","family":"Wang","given":"YY","non-dropping-particle":"","parse-names":false,"suffix":""},{"dropping-particle":"","family":"Fan","given":"S","non-dropping-particle":"","parse-names":false,"suffix":""},{"dropping-particle":"","family":"Zhang","given":"HQ","non-dropping-particle":"","parse-names":false,"suffix":""},{"dropping-particle":"","family":"Lin","given":"ZY","non-dropping-particle":"","parse-names":false,"suffix":""},{"dropping-particle":"","family":"Ye","given":"JT","non-dropping-particle":"","parse-names":false,"suffix":""},{"dropping-particle":"","family":"Li","given":"JS","non-dropping-particle":"","parse-names":false,"suffix":""}],"container-title":"Journal of Oral and Maxillofacial Surgery","id":"ITEM-1","issue":"6","issued":{"date-parts":[["2016"]]},"page":"1255-1264","publisher":"American Association of Oral and Maxillofacial Surgeons","title":"Virtual surgical planning in precise maxillary reconstruction with vascularized fibular graft after tumor ablation","type":"article-journal","volume":"74"},"uris":["http://www.mendeley.com/documents/?uuid=f72461bc-1aa8-4be5-9c68-77131752f0f2"]},{"id":"ITEM-2","itemData":{"DOI":"10.1016/j.ijom.2016.06.015","ISSN":"13990020","PMID":"27427546","abstract":"This study evaluated the accuracy of mandibular reconstruction and assessed clinical outcomes in both virtual planning and conventional surgery patients. ProPlan CMF surgical planning software was used preoperatively in the virtual planning group. In the virtual planning group, fibula flaps were harvested and osteotomized, and the mandibles were resected and reconstructed assisted by the prefabricated cutting guides and templates. The main outcome measures included the operative time, postoperative computed tomography (CT) scans, facial appearance, and occlusal function. The ischemia time and total operation time were shorter in the virtual planning group than in the conventional surgery group. High precision with the use of the cutting guides and templates was found for both the fibula and mandible, and a good fit was noted among the pre-bent plate, mandible, and fibula segments in the virtual planning group. Postoperative CT scans also showed excellent mandibular contours of the fibula flaps in accordance with virtual plans in the virtual planning group. This study demonstrated that virtual surgical planning was able to achieve more accurate mandibular reconstruction than conventional surgery. The use of prefabricated cutting guides and plates makes fibula flap moulding and placement easier, minimizes the operating time, and improves clinical outcomes.","author":[{"dropping-particle":"","family":"Wang","given":"YY","non-dropping-particle":"","parse-names":false,"suffix":""},{"dropping-particle":"","family":"Zhang","given":"HQ","non-dropping-particle":"","parse-names":false,"suffix":""},{"dropping-particle":"","family":"Fan","given":"S","non-dropping-particle":"","parse-names":false,"suffix":""},{"dropping-particle":"","family":"Zhang","given":"DM","non-dropping-particle":"","parse-names":false,"suffix":""},{"dropping-particle":"","family":"Huang","given":"ZQ","non-dropping-particle":"","parse-names":false,"suffix":""},{"dropping-particle":"","family":"Chen","given":"WL","non-dropping-particle":"","parse-names":false,"suffix":""},{"dropping-particle":"","family":"Ye","given":"JT","non-dropping-particle":"","parse-names":false,"suffix":""},{"dropping-particle":"","family":"Li","given":"JS","non-dropping-particle":"","parse-names":false,"suffix":""}],"container-title":"International Journal of Oral and Maxillofacial Surgery","id":"ITEM-2","issue":"11","issued":{"date-parts":[["2016"]]},"page":"1400-1405","title":"Mandibular reconstruction with the vascularized fibula flap: comparison of virtual planning surgery and conventional surgery","type":"article-journal","volume":"45"},"uris":["http://www.mendeley.com/documents/?uuid=e87eedd3-61ff-461b-b132-cf6d306f1d27"]},{"id":"ITEM-3","itemData":{"DOI":"10.1097/PRS.0b013e3182a3c0b1","ISSN":"00321052","PMID":"23924648","abstract":"BACKGROUND:: There has been rising interest in computer-aided design/computer-aided manufacturing for preoperative planning and execution of osseous free flap reconstruction. The purpose of this study was to compare outcomes between computer-assisted and conventional fibula free flap techniques for craniofacial reconstruction. METHODS:: A two-center, retrospective review was carried out on patients who underwent fibula free flap surgery for craniofacial reconstruction from 2003 to 2012. Patients were categorized by the type of reconstructive technique: conventional (between 2003 and 2009) or computer-aided design/computer-aided manufacturing (from 2010 to 2012). Demographics, surgical factors, and perioperative and long-term outcomes were compared. RESULTS:: A total of 68 patients underwent microsurgical craniofacial reconstruction: 58 conventional and 10 computer-aided design and manufacturing fibula free flaps. By demographics, patients undergoing the computer-aided design/computer-aided manufacturing method were significantly older and had a higher rate of radiotherapy exposure compared with conventional patients. Intraoperatively, the median number of osteotomies was significantly higher (2.0 versus 1.0, p = 0.002) and the median ischemia time was significantly shorter (120 minutes versus 170 minutes, p = 0.004) for the computer-aided design/computer-aided manufacturing technique compared with conventional techniques; operative times were shorter for patients undergoing the computer-aided design/computer-aided manufacturing technique, although this did not reach statistical significance. Perioperative and long-term outcomes were equivalent for the two groups, notably, hospital length of stay, recipient-site infection, partial and total flap loss, and rate of soft-tissue and bony tissue revisions. CONCLUSION:: Microsurgical craniofacial reconstruction using a computer-assisted fibula flap technique yielded significantly shorter ischemia times amidst a higher number of osteotomies compared with conventional techniques.","author":[{"dropping-particle":"","family":"Seruya","given":"Mitchel","non-dropping-particle":"","parse-names":false,"suffix":""},{"dropping-particle":"","family":"Fisher","given":"Mark","non-dropping-particle":"","parse-names":false,"suffix":""},{"dropping-particle":"","family":"Rodriguez","given":"Eduardo D.","non-dropping-particle":"","parse-names":false,"suffix":""}],"container-title":"Plastic and Reconstructive Surgery","id":"ITEM-3","issue":"5","issued":{"date-parts":[["2013"]]},"page":"1219-1228","title":"Computer-assisted versus conventional free fibula flap technique for craniofacial reconstruction: An outcomes comparison","type":"article-journal","volume":"132"},"uris":["http://www.mendeley.com/documents/?uuid=b3ef83ec-730e-4a08-b0c3-74c6caa360d9"]}],"mendeley":{"formattedCitation":"(Seruya et al. 2013; Wang, Fan, et al. 2016; Wang, Zhang, et al. 2016)","plainTextFormattedCitation":"(Seruya et al. 2013; Wang, Fan, et al. 2016; Wang, Zhang, et al. 2016)","previouslyFormattedCitation":"(Seruya et al. 2013; Wang, Fan, et al. 2016; Wang, Zhang, et al. 2016)"},"properties":{"noteIndex":0},"schema":"https://github.com/citation-style-language/schema/raw/master/csl-citation.json"}</w:instrText>
      </w:r>
      <w:r w:rsidR="00CD233C" w:rsidRPr="005F62F4">
        <w:fldChar w:fldCharType="separate"/>
      </w:r>
      <w:r w:rsidR="00426819" w:rsidRPr="005F62F4">
        <w:rPr>
          <w:noProof/>
        </w:rPr>
        <w:t>(Seruya et al. 2013; Wang, Fan, et al. 2016; Wang, Zhang, et al. 2016)</w:t>
      </w:r>
      <w:r w:rsidR="00CD233C" w:rsidRPr="005F62F4">
        <w:fldChar w:fldCharType="end"/>
      </w:r>
      <w:r w:rsidR="00481E6D" w:rsidRPr="005F62F4">
        <w:t>.</w:t>
      </w:r>
    </w:p>
    <w:p w14:paraId="3BB2FC73" w14:textId="51A9ACD6" w:rsidR="00F85015" w:rsidRPr="005F62F4" w:rsidRDefault="007D23C1" w:rsidP="00BE3DED">
      <w:pPr>
        <w:pStyle w:val="Heading5"/>
      </w:pPr>
      <w:r w:rsidRPr="005F62F4">
        <w:t>Postoperative complications</w:t>
      </w:r>
    </w:p>
    <w:p w14:paraId="6E5F206C" w14:textId="108C317E" w:rsidR="00681B13" w:rsidRPr="005F62F4" w:rsidRDefault="007A6027" w:rsidP="00B4341E">
      <w:pPr>
        <w:pStyle w:val="Para"/>
      </w:pPr>
      <w:r w:rsidRPr="005F62F4">
        <w:t>Studies</w:t>
      </w:r>
      <w:r w:rsidR="003E144A" w:rsidRPr="005F62F4">
        <w:t xml:space="preserve"> </w:t>
      </w:r>
      <w:r w:rsidR="006C3B2A" w:rsidRPr="005F62F4">
        <w:t xml:space="preserve">investigated a range of postoperative complications </w:t>
      </w:r>
      <w:r w:rsidR="008E33D3" w:rsidRPr="005F62F4">
        <w:t>(</w:t>
      </w:r>
      <w:r w:rsidR="006C3B2A" w:rsidRPr="005F62F4">
        <w:t xml:space="preserve">including superficial wound infection, loss of flap, failure of osteosynthesis, dehiscence, </w:t>
      </w:r>
      <w:proofErr w:type="spellStart"/>
      <w:r w:rsidR="006C3B2A" w:rsidRPr="005F62F4">
        <w:t>orocutaneous</w:t>
      </w:r>
      <w:proofErr w:type="spellEnd"/>
      <w:r w:rsidR="006C3B2A" w:rsidRPr="005F62F4">
        <w:t xml:space="preserve"> fistula and the rate of soft</w:t>
      </w:r>
      <w:r w:rsidR="006857FB" w:rsidRPr="005F62F4">
        <w:t xml:space="preserve"> </w:t>
      </w:r>
      <w:r w:rsidR="006C3B2A" w:rsidRPr="005F62F4">
        <w:t>tissue and bony tissue revisions</w:t>
      </w:r>
      <w:r w:rsidR="008E33D3" w:rsidRPr="005F62F4">
        <w:t>)</w:t>
      </w:r>
      <w:r w:rsidR="006C3B2A" w:rsidRPr="005F62F4">
        <w:t xml:space="preserve"> </w:t>
      </w:r>
      <w:r w:rsidR="00631A6D" w:rsidRPr="005F62F4">
        <w:t>and</w:t>
      </w:r>
      <w:r w:rsidR="006C3B2A" w:rsidRPr="005F62F4">
        <w:t xml:space="preserve"> found that the incidence </w:t>
      </w:r>
      <w:r w:rsidR="001754B2" w:rsidRPr="005F62F4">
        <w:t xml:space="preserve">of these complications </w:t>
      </w:r>
      <w:r w:rsidR="006C3B2A" w:rsidRPr="005F62F4">
        <w:t xml:space="preserve">did not </w:t>
      </w:r>
      <w:r w:rsidR="004D7ED0" w:rsidRPr="005F62F4">
        <w:t xml:space="preserve">differ </w:t>
      </w:r>
      <w:r w:rsidR="006C3B2A" w:rsidRPr="005F62F4">
        <w:t xml:space="preserve">significantly </w:t>
      </w:r>
      <w:r w:rsidR="00D32C8F" w:rsidRPr="005F62F4">
        <w:t xml:space="preserve">between </w:t>
      </w:r>
      <w:r w:rsidR="004D7ED0" w:rsidRPr="005F62F4">
        <w:t xml:space="preserve">the </w:t>
      </w:r>
      <w:r w:rsidR="00FD3A59" w:rsidRPr="005F62F4">
        <w:t>virtual surgical planning</w:t>
      </w:r>
      <w:r w:rsidR="00D32C8F" w:rsidRPr="005F62F4">
        <w:t xml:space="preserve"> groups and </w:t>
      </w:r>
      <w:r w:rsidR="003E144A" w:rsidRPr="005F62F4">
        <w:t>th</w:t>
      </w:r>
      <w:r w:rsidR="00967649" w:rsidRPr="005F62F4">
        <w:t xml:space="preserve">e </w:t>
      </w:r>
      <w:r w:rsidR="00D32C8F" w:rsidRPr="005F62F4">
        <w:t>conventional freehand surgery</w:t>
      </w:r>
      <w:r w:rsidR="00967649" w:rsidRPr="005F62F4">
        <w:t xml:space="preserve"> groups</w:t>
      </w:r>
      <w:r w:rsidR="00D32C8F" w:rsidRPr="005F62F4">
        <w:t>.</w:t>
      </w:r>
    </w:p>
    <w:p w14:paraId="2669BE56" w14:textId="32F261DD" w:rsidR="00C441FC" w:rsidRPr="005F62F4" w:rsidRDefault="007A6027" w:rsidP="00B4341E">
      <w:pPr>
        <w:pStyle w:val="Para"/>
      </w:pPr>
      <w:r w:rsidRPr="005F62F4">
        <w:lastRenderedPageBreak/>
        <w:t xml:space="preserve">Similarly, </w:t>
      </w:r>
      <w:r w:rsidR="004121CE" w:rsidRPr="005F62F4">
        <w:fldChar w:fldCharType="begin" w:fldLock="1"/>
      </w:r>
      <w:r w:rsidR="00141D1F" w:rsidRPr="005F62F4">
        <w:instrText>ADDIN CSL_CITATION {"citationItems":[{"id":"ITEM-1","itemData":{"author":[{"dropping-particle":"","family":"Rommel","given":"Niklas","non-dropping-particle":"","parse-names":false,"suffix":""},{"dropping-particle":"","family":"Kesting","given":"Marco Rainer","non-dropping-particle":"","parse-names":false,"suffix":""},{"dropping-particle":"","family":"Rohleder","given":"Nils Hagen","non-dropping-particle":"","parse-names":false,"suffix":""},{"dropping-particle":"","family":"Bauer","given":"Florian Martin Josef","non-dropping-particle":"","parse-names":false,"suffix":""},{"dropping-particle":"","family":"Wolff","given":"Klaus-Dietrich","non-dropping-particle":"","parse-names":false,"suffix":""},{"dropping-particle":"","family":"Weitz","given":"Jochen","non-dropping-particle":"","parse-names":false,"suffix":""}],"container-title":"Journal of Cranio-Maxillo-Facial Surgery","id":"ITEM-1","issue":"2017","issued":{"date-parts":[["2017"]]},"page":"1246-1250","title":"Mandible reconstruction with free fibula flaps: outcome of a cost-effective individual planning concept compared with virtual surgical planning","type":"article-journal","volume":"25"},"uris":["http://www.mendeley.com/documents/?uuid=4df1ec55-694d-418f-a9fa-23360d39fe23","http://www.mendeley.com/documents/?uuid=ff5083b5-4392-4f29-a638-47ee0e1f5db4"]}],"mendeley":{"formattedCitation":"(Rommel et al. 2017)","manualFormatting":"Rommel et al. (2017)","plainTextFormattedCitation":"(Rommel et al. 2017)","previouslyFormattedCitation":"(Rommel et al. 2017)"},"properties":{"noteIndex":0},"schema":"https://github.com/citation-style-language/schema/raw/master/csl-citation.json"}</w:instrText>
      </w:r>
      <w:r w:rsidR="004121CE" w:rsidRPr="005F62F4">
        <w:fldChar w:fldCharType="separate"/>
      </w:r>
      <w:r w:rsidR="004121CE" w:rsidRPr="005F62F4">
        <w:rPr>
          <w:noProof/>
        </w:rPr>
        <w:t>Rommel et al. (2017)</w:t>
      </w:r>
      <w:r w:rsidR="004121CE" w:rsidRPr="005F62F4">
        <w:fldChar w:fldCharType="end"/>
      </w:r>
      <w:r w:rsidR="00147C39" w:rsidRPr="005F62F4">
        <w:t xml:space="preserve"> </w:t>
      </w:r>
      <w:r w:rsidR="006C3B2A" w:rsidRPr="005F62F4">
        <w:t>also</w:t>
      </w:r>
      <w:r w:rsidR="00147C39" w:rsidRPr="005F62F4">
        <w:t xml:space="preserve"> found no statistically significant differences </w:t>
      </w:r>
      <w:r w:rsidR="00A75ADC" w:rsidRPr="005F62F4">
        <w:t xml:space="preserve">in </w:t>
      </w:r>
      <w:r w:rsidR="007C78E7" w:rsidRPr="005F62F4">
        <w:t xml:space="preserve">dehiscence, plate fracture </w:t>
      </w:r>
      <w:r w:rsidR="006C3B2A" w:rsidRPr="005F62F4">
        <w:t>or</w:t>
      </w:r>
      <w:r w:rsidR="00CD33E7" w:rsidRPr="005F62F4">
        <w:t xml:space="preserve"> </w:t>
      </w:r>
      <w:r w:rsidR="007C78E7" w:rsidRPr="005F62F4">
        <w:t>flap loss</w:t>
      </w:r>
      <w:r w:rsidR="006C3B2A" w:rsidRPr="005F62F4">
        <w:t xml:space="preserve"> after</w:t>
      </w:r>
      <w:r w:rsidR="00147C39" w:rsidRPr="005F62F4">
        <w:t xml:space="preserve"> virtual surgical planning </w:t>
      </w:r>
      <w:r w:rsidR="006C3B2A" w:rsidRPr="005F62F4">
        <w:t xml:space="preserve">using </w:t>
      </w:r>
      <w:proofErr w:type="spellStart"/>
      <w:r w:rsidR="006C3B2A" w:rsidRPr="005F62F4">
        <w:t>ProPlan</w:t>
      </w:r>
      <w:proofErr w:type="spellEnd"/>
      <w:r w:rsidR="006C3B2A" w:rsidRPr="005F62F4">
        <w:t xml:space="preserve"> compared to </w:t>
      </w:r>
      <w:r w:rsidR="00147C39" w:rsidRPr="005F62F4">
        <w:t xml:space="preserve">alternative planning method </w:t>
      </w:r>
      <w:r w:rsidR="007C78E7" w:rsidRPr="005F62F4">
        <w:t>using a different</w:t>
      </w:r>
      <w:r w:rsidR="008C06B9" w:rsidRPr="005F62F4">
        <w:t xml:space="preserve"> 3D printing system and </w:t>
      </w:r>
      <w:r w:rsidR="007C78E7" w:rsidRPr="005F62F4">
        <w:t>hand</w:t>
      </w:r>
      <w:r w:rsidR="00DA7EC3" w:rsidRPr="005F62F4">
        <w:t>-made</w:t>
      </w:r>
      <w:r w:rsidR="007C78E7" w:rsidRPr="005F62F4">
        <w:t xml:space="preserve"> </w:t>
      </w:r>
      <w:r w:rsidR="008C06B9" w:rsidRPr="005F62F4">
        <w:t>cutting guides and drilling templates</w:t>
      </w:r>
      <w:r w:rsidR="007C78E7" w:rsidRPr="005F62F4">
        <w:t>.</w:t>
      </w:r>
    </w:p>
    <w:p w14:paraId="77F1318F" w14:textId="3548324B" w:rsidR="006C1BA4" w:rsidRPr="005F62F4" w:rsidRDefault="006C1BA4" w:rsidP="00BE3DED">
      <w:pPr>
        <w:pStyle w:val="Heading5"/>
      </w:pPr>
      <w:r w:rsidRPr="005F62F4">
        <w:t>Facial appearance</w:t>
      </w:r>
    </w:p>
    <w:p w14:paraId="4D1C3434" w14:textId="6D5363F8" w:rsidR="005B18A0" w:rsidRPr="005F62F4" w:rsidRDefault="00AC7E71" w:rsidP="00957501">
      <w:pPr>
        <w:pStyle w:val="Para"/>
      </w:pPr>
      <w:r w:rsidRPr="005F62F4">
        <w:t xml:space="preserve">Facial appearance was considered in </w:t>
      </w:r>
      <w:r w:rsidR="007D6054" w:rsidRPr="005F62F4">
        <w:t>3</w:t>
      </w:r>
      <w:r w:rsidRPr="005F62F4">
        <w:t xml:space="preserve"> studies,</w:t>
      </w:r>
      <w:r w:rsidR="006877C2" w:rsidRPr="005F62F4">
        <w:t xml:space="preserve">. </w:t>
      </w:r>
      <w:r w:rsidR="00684F94" w:rsidRPr="005F62F4">
        <w:fldChar w:fldCharType="begin" w:fldLock="1"/>
      </w:r>
      <w:r w:rsidR="004F5912" w:rsidRPr="005F62F4">
        <w:instrText>ADDIN CSL_CITATION {"citationItems":[{"id":"ITEM-1","itemData":{"DOI":"10.1016/j.joms.2016.01.010","ISSN":"15315053","PMID":"26851316","abstract":"Purpose Reconstruction of maxillary and midfacial defects due to tumor ablation is challenging to conventional operation. The purposes of this study are to evaluate the precise 3-dimensional position of the fibular flap in reconstruction of maxillary defects assisted by virtual surgical planning and to assess the postoperative outcomes compared with conventional surgery. Materials and Methods We retrospectively reviewed 18 consecutive patients who underwent maxillary reconstruction with a vascularized fibular flap assisted by virtual surgical planning after maxillary or midfacial tumor ablation. Conventional surgery was performed in another 15 patients. Proplan CMF surgical planning (Materialise, Leuven, Belgium) was performed preoperatively in the virtual planning group. Fibular flaps were harvested and underwent osteotomy assisted by prefabricated cutting guides, and the maxilla and midface were resected and reconstructed assisted by the prefabricated cutting guides and templates in the virtual planning group. The operative time and fibular flap positions were evaluated in the 2 groups. Postoperative fibular positions of the maxillary reconstruction were compared with virtual plans in the virtual planning group. The postoperative facial appearance and occlusal function were assessed. Results The operations were performed successfully without complications. The ischemia time and total operative time were shorter in the virtual planning group than those in the conventional surgery group (P &lt;.05). High precision of the cutting guides and templates was found on both the fibula and maxilla in the virtual planning group. The positions of the fibular flaps, including the vertical and horizontal positions, were more accurate in the virtual planning group than those in the conventional surgery group (P &lt;.05). Bone-to-bone contact between the maxilla and fibular segments was more precise in the virtual planning group (P &lt;.05). Postoperative computed tomography scans showed excellent contour of the fibular flap segments in accordance with the virtual plans in the virtual planning group. All patients were alive with no evidence of disease. Functional mandibular range of motion, good occlusion, and an ideal facial appearance were observed in the virtual planning group. Conclusions Virtual surgical planning appears to achieve precise maxillary reconstruction with a vascularized fibular flap after tumor ablation, as well as an ideal facial appearance and function af…","author":[{"dropping-particle":"","family":"Wang","given":"YY","non-dropping-particle":"","parse-names":false,"suffix":""},{"dropping-particle":"","family":"Fan","given":"S","non-dropping-particle":"","parse-names":false,"suffix":""},{"dropping-particle":"","family":"Zhang","given":"HQ","non-dropping-particle":"","parse-names":false,"suffix":""},{"dropping-particle":"","family":"Lin","given":"ZY","non-dropping-particle":"","parse-names":false,"suffix":""},{"dropping-particle":"","family":"Ye","given":"JT","non-dropping-particle":"","parse-names":false,"suffix":""},{"dropping-particle":"","family":"Li","given":"JS","non-dropping-particle":"","parse-names":false,"suffix":""}],"container-title":"Journal of Oral and Maxillofacial Surgery","id":"ITEM-1","issue":"6","issued":{"date-parts":[["2016"]]},"page":"1255-1264","publisher":"American Association of Oral and Maxillofacial Surgeons","title":"Virtual surgical planning in precise maxillary reconstruction with vascularized fibular graft after tumor ablation","type":"article-journal","volume":"74"},"uris":["http://www.mendeley.com/documents/?uuid=f72461bc-1aa8-4be5-9c68-77131752f0f2"]}],"mendeley":{"formattedCitation":"(Wang, Fan, et al. 2016)","manualFormatting":"Wang, Fan, et al. (2016)","plainTextFormattedCitation":"(Wang, Fan, et al. 2016)","previouslyFormattedCitation":"(Wang, Fan, et al. 2016)"},"properties":{"noteIndex":0},"schema":"https://github.com/citation-style-language/schema/raw/master/csl-citation.json"}</w:instrText>
      </w:r>
      <w:r w:rsidR="00684F94" w:rsidRPr="005F62F4">
        <w:fldChar w:fldCharType="separate"/>
      </w:r>
      <w:r w:rsidR="00482B38" w:rsidRPr="005F62F4">
        <w:rPr>
          <w:noProof/>
        </w:rPr>
        <w:t xml:space="preserve">Wang, Fan, et al. </w:t>
      </w:r>
      <w:r w:rsidR="00E969DA" w:rsidRPr="005F62F4">
        <w:rPr>
          <w:noProof/>
        </w:rPr>
        <w:t>(</w:t>
      </w:r>
      <w:r w:rsidR="00482B38" w:rsidRPr="005F62F4">
        <w:rPr>
          <w:noProof/>
        </w:rPr>
        <w:t>2016)</w:t>
      </w:r>
      <w:r w:rsidR="00684F94" w:rsidRPr="005F62F4">
        <w:fldChar w:fldCharType="end"/>
      </w:r>
      <w:r w:rsidR="006877C2" w:rsidRPr="005F62F4">
        <w:t xml:space="preserve"> and </w:t>
      </w:r>
      <w:r w:rsidR="006877C2" w:rsidRPr="005F62F4">
        <w:fldChar w:fldCharType="begin" w:fldLock="1"/>
      </w:r>
      <w:r w:rsidR="006877C2" w:rsidRPr="005F62F4">
        <w:instrText>ADDIN CSL_CITATION {"citationItems":[{"id":"ITEM-1","itemData":{"DOI":"10.1016/j.ijom.2016.06.015","ISSN":"13990020","PMID":"27427546","abstract":"This study evaluated the accuracy of mandibular reconstruction and assessed clinical outcomes in both virtual planning and conventional surgery patients. ProPlan CMF surgical planning software was used preoperatively in the virtual planning group. In the virtual planning group, fibula flaps were harvested and osteotomized, and the mandibles were resected and reconstructed assisted by the prefabricated cutting guides and templates. The main outcome measures included the operative time, postoperative computed tomography (CT) scans, facial appearance, and occlusal function. The ischemia time and total operation time were shorter in the virtual planning group than in the conventional surgery group. High precision with the use of the cutting guides and templates was found for both the fibula and mandible, and a good fit was noted among the pre-bent plate, mandible, and fibula segments in the virtual planning group. Postoperative CT scans also showed excellent mandibular contours of the fibula flaps in accordance with virtual plans in the virtual planning group. This study demonstrated that virtual surgical planning was able to achieve more accurate mandibular reconstruction than conventional surgery. The use of prefabricated cutting guides and plates makes fibula flap moulding and placement easier, minimizes the operating time, and improves clinical outcomes.","author":[{"dropping-particle":"","family":"Wang","given":"YY","non-dropping-particle":"","parse-names":false,"suffix":""},{"dropping-particle":"","family":"Zhang","given":"HQ","non-dropping-particle":"","parse-names":false,"suffix":""},{"dropping-particle":"","family":"Fan","given":"S","non-dropping-particle":"","parse-names":false,"suffix":""},{"dropping-particle":"","family":"Zhang","given":"DM","non-dropping-particle":"","parse-names":false,"suffix":""},{"dropping-particle":"","family":"Huang","given":"ZQ","non-dropping-particle":"","parse-names":false,"suffix":""},{"dropping-particle":"","family":"Chen","given":"WL","non-dropping-particle":"","parse-names":false,"suffix":""},{"dropping-particle":"","family":"Ye","given":"JT","non-dropping-particle":"","parse-names":false,"suffix":""},{"dropping-particle":"","family":"Li","given":"JS","non-dropping-particle":"","parse-names":false,"suffix":""}],"container-title":"International Journal of Oral and Maxillofacial Surgery","id":"ITEM-1","issue":"11","issued":{"date-parts":[["2016"]]},"page":"1400-1405","title":"Mandibular reconstruction with the vascularized fibula flap: comparison of virtual planning surgery and conventional surgery","type":"article-journal","volume":"45"},"uris":["http://www.mendeley.com/documents/?uuid=e87eedd3-61ff-461b-b132-cf6d306f1d27"]}],"mendeley":{"formattedCitation":"(Wang, Zhang, et al. 2016)","manualFormatting":"Wang, Zhang, et al. (2016)","plainTextFormattedCitation":"(Wang, Zhang, et al. 2016)","previouslyFormattedCitation":"(Wang, Zhang, et al. 2016)"},"properties":{"noteIndex":0},"schema":"https://github.com/citation-style-language/schema/raw/master/csl-citation.json"}</w:instrText>
      </w:r>
      <w:r w:rsidR="006877C2" w:rsidRPr="005F62F4">
        <w:fldChar w:fldCharType="separate"/>
      </w:r>
      <w:r w:rsidR="006877C2" w:rsidRPr="005F62F4">
        <w:rPr>
          <w:noProof/>
        </w:rPr>
        <w:t>Wang, Zhang, et al. (2016)</w:t>
      </w:r>
      <w:r w:rsidR="006877C2" w:rsidRPr="005F62F4">
        <w:fldChar w:fldCharType="end"/>
      </w:r>
      <w:r w:rsidR="00684F94" w:rsidRPr="005F62F4">
        <w:t xml:space="preserve"> </w:t>
      </w:r>
      <w:r w:rsidR="006877C2" w:rsidRPr="005F62F4">
        <w:t xml:space="preserve">found </w:t>
      </w:r>
      <w:r w:rsidR="008F5049" w:rsidRPr="005F62F4">
        <w:t>that</w:t>
      </w:r>
      <w:r w:rsidR="006877C2" w:rsidRPr="005F62F4">
        <w:t xml:space="preserve"> patients in the virtual planning group were more satisfied with their</w:t>
      </w:r>
      <w:r w:rsidR="00984622" w:rsidRPr="005F62F4">
        <w:t xml:space="preserve"> </w:t>
      </w:r>
      <w:r w:rsidR="008F5049" w:rsidRPr="005F62F4">
        <w:t>postoperative mid-face appearance</w:t>
      </w:r>
      <w:r w:rsidR="006877C2" w:rsidRPr="005F62F4">
        <w:t xml:space="preserve"> than those in the </w:t>
      </w:r>
      <w:r w:rsidR="00BD4AA7" w:rsidRPr="005F62F4">
        <w:t>conventional surgery group</w:t>
      </w:r>
      <w:r w:rsidR="00791FF8" w:rsidRPr="005F62F4">
        <w:t>.</w:t>
      </w:r>
    </w:p>
    <w:p w14:paraId="04D43E37" w14:textId="6EF877E3" w:rsidR="00957501" w:rsidRPr="005F62F4" w:rsidRDefault="00984622" w:rsidP="00957501">
      <w:pPr>
        <w:pStyle w:val="Para"/>
      </w:pPr>
      <w:r w:rsidRPr="005F62F4">
        <w:t xml:space="preserve">Likewise, </w:t>
      </w:r>
      <w:r w:rsidR="00B47FDA" w:rsidRPr="005F62F4">
        <w:fldChar w:fldCharType="begin" w:fldLock="1"/>
      </w:r>
      <w:r w:rsidR="00426819" w:rsidRPr="005F62F4">
        <w:instrText>ADDIN CSL_CITATION {"citationItems":[{"id":"ITEM-1","itemData":{"DOI":"10.1016/j.jcms.2016.08.014","ISSN":"18784119","PMID":"27713054","abstract":"While vascularized iliac crest flap is widely used for mandibular reconstruction, it is often challenging to predict the clinical outcome in a conventional operation based solely on the surgeon's experience. Herein, we aimed to improve this procedure by using computer-assisted techniques. We retrospectively reviewed records of 45 patients with mandibular tumor who underwent mandibulectomy and reconstruction with vascularized iliac crest flap from January 2008 to June 2015. Computer-assisted techniques including virtual plan, stereomodel, pre-bending individual reconstruction plate, and surgical navigation were used in 15 patients. The other 30 patients underwent conventional surgery based on the surgeon's experience. Condyle position and reconstructed mandible contour were evaluated based on post-operative computed tomography. Complications were also evaluated during the follow-up. Flap success rate of the patients was 95.6% (43/45). Those in the computer-assisted group presented with better outcomes of the mandibular contour (p = 0.001) and condyle position (p = 0.026). Further, they also experienced beneficial dental restoration (p = 0.011) and postoperative appearance (p = 0.028). The difference between postoperative effect and virtual plan was within the acceptable error margin. There is no significant difference in the incidence of post-operative complications. Thus, computer-assisted techniques can improve the clinical outcomes of mandibular reconstruction with vascularized iliac crest flap.","author":[{"dropping-particle":"","family":"Zhang","given":"Wen Bo","non-dropping-particle":"","parse-names":false,"suffix":""},{"dropping-particle":"","family":"Yu","given":"Yao","non-dropping-particle":"","parse-names":false,"suffix":""},{"dropping-particle":"","family":"Wang","given":"Yang","non-dropping-particle":"","parse-names":false,"suffix":""},{"dropping-particle":"","family":"Mao","given":"Chi","non-dropping-particle":"","parse-names":false,"suffix":""},{"dropping-particle":"","family":"Liu","given":"Xiao Jing","non-dropping-particle":"","parse-names":false,"suffix":""},{"dropping-particle":"Bin","family":"Guo","given":"Chuan","non-dropping-particle":"","parse-names":false,"suffix":""},{"dropping-particle":"","family":"Yu","given":"Guang Yan","non-dropping-particle":"","parse-names":false,"suffix":""},{"dropping-particle":"","family":"Peng","given":"Xin","non-dropping-particle":"","parse-names":false,"suffix":""}],"container-title":"Journal of Cranio-Maxillofacial Surgery","id":"ITEM-1","issue":"11","issued":{"date-parts":[["2016"]]},"page":"1819-1827","publisher":"Elsevier Ltd","title":"Improving the accuracy of mandibular reconstruction with vascularized iliac crest flap: role of computer-assisted techniques","type":"article-journal","volume":"44"},"uris":["http://www.mendeley.com/documents/?uuid=b6c1247a-92eb-4842-a3cd-812e1d7fe7e0"]}],"mendeley":{"formattedCitation":"(Zhang et al. 2016)","manualFormatting":"Zhang et al. (2016)","plainTextFormattedCitation":"(Zhang et al. 2016)","previouslyFormattedCitation":"(Zhang et al. 2016)"},"properties":{"noteIndex":0},"schema":"https://github.com/citation-style-language/schema/raw/master/csl-citation.json"}</w:instrText>
      </w:r>
      <w:r w:rsidR="00B47FDA" w:rsidRPr="005F62F4">
        <w:fldChar w:fldCharType="separate"/>
      </w:r>
      <w:r w:rsidR="00B47FDA" w:rsidRPr="005F62F4">
        <w:rPr>
          <w:noProof/>
        </w:rPr>
        <w:t xml:space="preserve">Zhang et al. </w:t>
      </w:r>
      <w:r w:rsidR="00E969DA" w:rsidRPr="005F62F4">
        <w:rPr>
          <w:noProof/>
        </w:rPr>
        <w:t>(</w:t>
      </w:r>
      <w:r w:rsidR="00B47FDA" w:rsidRPr="005F62F4">
        <w:rPr>
          <w:noProof/>
        </w:rPr>
        <w:t>2016)</w:t>
      </w:r>
      <w:r w:rsidR="00B47FDA" w:rsidRPr="005F62F4">
        <w:fldChar w:fldCharType="end"/>
      </w:r>
      <w:r w:rsidR="007D1C71" w:rsidRPr="005F62F4">
        <w:t xml:space="preserve"> </w:t>
      </w:r>
      <w:r w:rsidR="003C4308" w:rsidRPr="005F62F4">
        <w:t>found that all patients in the computer-assisted group (</w:t>
      </w:r>
      <w:r w:rsidR="00187E54" w:rsidRPr="005F62F4">
        <w:t xml:space="preserve">which included the use of a </w:t>
      </w:r>
      <w:proofErr w:type="spellStart"/>
      <w:r w:rsidR="00E969DA" w:rsidRPr="005F62F4">
        <w:t>bio</w:t>
      </w:r>
      <w:r w:rsidR="00187E54" w:rsidRPr="005F62F4">
        <w:t>model</w:t>
      </w:r>
      <w:proofErr w:type="spellEnd"/>
      <w:r w:rsidR="00187E54" w:rsidRPr="005F62F4">
        <w:t xml:space="preserve">) </w:t>
      </w:r>
      <w:r w:rsidR="0039586F" w:rsidRPr="005F62F4">
        <w:t xml:space="preserve">indicated positive results with regards to post-surgical appearance, while only half of the group who underwent conventional surgery </w:t>
      </w:r>
      <w:r w:rsidRPr="005F62F4">
        <w:t>did so</w:t>
      </w:r>
      <w:r w:rsidR="0039586F" w:rsidRPr="005F62F4">
        <w:t xml:space="preserve"> (p</w:t>
      </w:r>
      <w:r w:rsidR="00A76440" w:rsidRPr="005F62F4">
        <w:t> = </w:t>
      </w:r>
      <w:r w:rsidR="0039586F" w:rsidRPr="005F62F4">
        <w:t>0.028).</w:t>
      </w:r>
    </w:p>
    <w:p w14:paraId="22A8DA86" w14:textId="3713EBC3" w:rsidR="006C1BA4" w:rsidRPr="005F62F4" w:rsidRDefault="00E14C25" w:rsidP="00BE3DED">
      <w:pPr>
        <w:pStyle w:val="Heading5"/>
      </w:pPr>
      <w:r w:rsidRPr="005F62F4">
        <w:t>Other</w:t>
      </w:r>
      <w:r w:rsidR="00E80723" w:rsidRPr="005F62F4">
        <w:t xml:space="preserve"> clinical outcomes</w:t>
      </w:r>
    </w:p>
    <w:p w14:paraId="52A4F63C" w14:textId="0E24B19E" w:rsidR="007D6054" w:rsidRPr="005F62F4" w:rsidRDefault="00B560FA" w:rsidP="00957501">
      <w:pPr>
        <w:pStyle w:val="Para"/>
      </w:pPr>
      <w:proofErr w:type="gramStart"/>
      <w:r w:rsidRPr="005F62F4">
        <w:t>A</w:t>
      </w:r>
      <w:r w:rsidR="007D6054" w:rsidRPr="005F62F4">
        <w:t xml:space="preserve"> number of</w:t>
      </w:r>
      <w:proofErr w:type="gramEnd"/>
      <w:r w:rsidR="007D6054" w:rsidRPr="005F62F4">
        <w:t xml:space="preserve"> other </w:t>
      </w:r>
      <w:r w:rsidR="00E80723" w:rsidRPr="005F62F4">
        <w:t xml:space="preserve">clinical </w:t>
      </w:r>
      <w:r w:rsidR="007D6054" w:rsidRPr="005F62F4">
        <w:t xml:space="preserve">outcome measures </w:t>
      </w:r>
      <w:r w:rsidRPr="005F62F4">
        <w:t>were</w:t>
      </w:r>
      <w:r w:rsidR="007D6054" w:rsidRPr="005F62F4">
        <w:t xml:space="preserve"> </w:t>
      </w:r>
      <w:r w:rsidRPr="005F62F4">
        <w:t>assessed</w:t>
      </w:r>
      <w:r w:rsidR="007D6054" w:rsidRPr="005F62F4">
        <w:t xml:space="preserve"> </w:t>
      </w:r>
      <w:r w:rsidR="00F042BE" w:rsidRPr="005F62F4">
        <w:t>infrequently, including</w:t>
      </w:r>
      <w:r w:rsidRPr="005F62F4">
        <w:t xml:space="preserve"> </w:t>
      </w:r>
      <w:r w:rsidR="0024697D" w:rsidRPr="005F62F4">
        <w:t xml:space="preserve">functional mandibular range, occlusion, speech differences </w:t>
      </w:r>
      <w:r w:rsidR="00DD0393" w:rsidRPr="005F62F4">
        <w:t>and regular diet post</w:t>
      </w:r>
      <w:r w:rsidR="00E969DA" w:rsidRPr="005F62F4">
        <w:t>-</w:t>
      </w:r>
      <w:r w:rsidR="00DD0393" w:rsidRPr="005F62F4">
        <w:t>surgery</w:t>
      </w:r>
      <w:r w:rsidR="001B4137" w:rsidRPr="005F62F4">
        <w:t>,</w:t>
      </w:r>
      <w:r w:rsidR="00DD0393" w:rsidRPr="005F62F4">
        <w:t xml:space="preserve"> </w:t>
      </w:r>
      <w:r w:rsidR="00F042BE" w:rsidRPr="005F62F4">
        <w:t>and</w:t>
      </w:r>
      <w:r w:rsidR="00DD0393" w:rsidRPr="005F62F4">
        <w:t xml:space="preserve"> </w:t>
      </w:r>
      <w:r w:rsidR="00083573" w:rsidRPr="005F62F4">
        <w:t>bony</w:t>
      </w:r>
      <w:r w:rsidR="00DD0393" w:rsidRPr="005F62F4">
        <w:t xml:space="preserve"> consolidation rate</w:t>
      </w:r>
      <w:r w:rsidR="001B4137" w:rsidRPr="005F62F4">
        <w:t>. These</w:t>
      </w:r>
      <w:r w:rsidR="008416DA" w:rsidRPr="005F62F4">
        <w:t xml:space="preserve"> are further detailed</w:t>
      </w:r>
      <w:r w:rsidR="00DD0393" w:rsidRPr="005F62F4">
        <w:t xml:space="preserve"> in </w:t>
      </w:r>
      <w:r w:rsidR="00F042BE" w:rsidRPr="005F62F4">
        <w:fldChar w:fldCharType="begin"/>
      </w:r>
      <w:r w:rsidR="00F042BE" w:rsidRPr="005F62F4">
        <w:instrText xml:space="preserve"> REF _Ref119662524 \r \h  \* MERGEFORMAT </w:instrText>
      </w:r>
      <w:r w:rsidR="00F042BE" w:rsidRPr="005F62F4">
        <w:fldChar w:fldCharType="separate"/>
      </w:r>
      <w:r w:rsidR="005606BF">
        <w:t>Appendix C</w:t>
      </w:r>
      <w:r w:rsidR="00F042BE" w:rsidRPr="005F62F4">
        <w:fldChar w:fldCharType="end"/>
      </w:r>
      <w:r w:rsidR="00DD0393" w:rsidRPr="005F62F4">
        <w:t>.</w:t>
      </w:r>
    </w:p>
    <w:p w14:paraId="54F4ECA7" w14:textId="77777777" w:rsidR="005328EC" w:rsidRPr="005F62F4" w:rsidRDefault="005328EC" w:rsidP="005328EC">
      <w:r w:rsidRPr="005F62F4">
        <w:br w:type="page"/>
      </w:r>
    </w:p>
    <w:p w14:paraId="12D2C206" w14:textId="30F9844C" w:rsidR="00FC0D18" w:rsidRPr="005F62F4" w:rsidRDefault="00AE7F1F" w:rsidP="00D05D9A">
      <w:pPr>
        <w:pStyle w:val="Heading5"/>
      </w:pPr>
      <w:r w:rsidRPr="005F62F4">
        <w:lastRenderedPageBreak/>
        <w:t>Co</w:t>
      </w:r>
      <w:r w:rsidR="007C693C" w:rsidRPr="005F62F4">
        <w:t>st</w:t>
      </w:r>
    </w:p>
    <w:p w14:paraId="6FF63839" w14:textId="332F1FF3" w:rsidR="002B087A" w:rsidRPr="005F62F4" w:rsidRDefault="005C7286" w:rsidP="003535AE">
      <w:pPr>
        <w:pStyle w:val="Para"/>
      </w:pPr>
      <w:r w:rsidRPr="005F62F4">
        <w:t xml:space="preserve">A total of </w:t>
      </w:r>
      <w:r w:rsidR="00E606D4" w:rsidRPr="005F62F4">
        <w:t>4</w:t>
      </w:r>
      <w:r w:rsidR="00207662" w:rsidRPr="005F62F4">
        <w:t xml:space="preserve"> </w:t>
      </w:r>
      <w:r w:rsidR="00E8228F" w:rsidRPr="005F62F4">
        <w:t xml:space="preserve">studies </w:t>
      </w:r>
      <w:r w:rsidRPr="005F62F4">
        <w:t>identif</w:t>
      </w:r>
      <w:r w:rsidR="003A54F5" w:rsidRPr="005F62F4">
        <w:t>i</w:t>
      </w:r>
      <w:r w:rsidRPr="005F62F4">
        <w:t>ed</w:t>
      </w:r>
      <w:r w:rsidR="00E8228F" w:rsidRPr="005F62F4">
        <w:t xml:space="preserve"> economic outcomes. </w:t>
      </w:r>
      <w:proofErr w:type="gramStart"/>
      <w:r w:rsidR="00642853" w:rsidRPr="005F62F4">
        <w:t>All</w:t>
      </w:r>
      <w:r w:rsidR="00AE2917" w:rsidRPr="005F62F4">
        <w:t xml:space="preserve"> </w:t>
      </w:r>
      <w:r w:rsidR="00207662" w:rsidRPr="005F62F4">
        <w:t>of</w:t>
      </w:r>
      <w:proofErr w:type="gramEnd"/>
      <w:r w:rsidR="00207662" w:rsidRPr="005F62F4">
        <w:t xml:space="preserve"> these</w:t>
      </w:r>
      <w:r w:rsidR="00AE2917" w:rsidRPr="005F62F4">
        <w:t xml:space="preserve"> </w:t>
      </w:r>
      <w:r w:rsidR="0041392F" w:rsidRPr="005F62F4">
        <w:t xml:space="preserve">suggested </w:t>
      </w:r>
      <w:r w:rsidR="00062B78" w:rsidRPr="005F62F4">
        <w:t xml:space="preserve">that </w:t>
      </w:r>
      <w:r w:rsidR="00BD1AF1" w:rsidRPr="005F62F4">
        <w:rPr>
          <w:lang w:val="en-GB"/>
        </w:rPr>
        <w:t>virtual surgical planning</w:t>
      </w:r>
      <w:r w:rsidR="0041392F" w:rsidRPr="005F62F4">
        <w:rPr>
          <w:lang w:val="en-GB"/>
        </w:rPr>
        <w:t xml:space="preserve"> </w:t>
      </w:r>
      <w:r w:rsidR="0041392F" w:rsidRPr="005F62F4">
        <w:t>w</w:t>
      </w:r>
      <w:r w:rsidR="0087097A" w:rsidRPr="005F62F4">
        <w:t xml:space="preserve">as a financially viable option, linking the </w:t>
      </w:r>
      <w:r w:rsidR="0041392F" w:rsidRPr="005F62F4">
        <w:t>financial benefits to</w:t>
      </w:r>
      <w:r w:rsidR="00E8228F" w:rsidRPr="005F62F4">
        <w:t xml:space="preserve"> </w:t>
      </w:r>
      <w:r w:rsidR="00892597" w:rsidRPr="005F62F4">
        <w:t>r</w:t>
      </w:r>
      <w:r w:rsidR="00CB3B10" w:rsidRPr="005F62F4">
        <w:t xml:space="preserve">educed </w:t>
      </w:r>
      <w:r w:rsidR="00534127" w:rsidRPr="005F62F4">
        <w:t xml:space="preserve">planning or </w:t>
      </w:r>
      <w:r w:rsidR="00CB3B10" w:rsidRPr="005F62F4">
        <w:t>operative time</w:t>
      </w:r>
      <w:r w:rsidR="00534127" w:rsidRPr="005F62F4">
        <w:t>s</w:t>
      </w:r>
      <w:r w:rsidR="00CB3B10" w:rsidRPr="005F62F4">
        <w:t xml:space="preserve"> </w:t>
      </w:r>
      <w:r w:rsidR="00892597" w:rsidRPr="005F62F4">
        <w:t>which</w:t>
      </w:r>
      <w:r w:rsidR="00CB3B10" w:rsidRPr="005F62F4">
        <w:t xml:space="preserve"> offset the </w:t>
      </w:r>
      <w:r w:rsidR="00984622" w:rsidRPr="005F62F4">
        <w:t xml:space="preserve">additional material </w:t>
      </w:r>
      <w:r w:rsidR="00CB3B10" w:rsidRPr="005F62F4">
        <w:t>cos</w:t>
      </w:r>
      <w:r w:rsidR="006208D0" w:rsidRPr="005F62F4">
        <w:t>ts</w:t>
      </w:r>
      <w:r w:rsidR="00CB3B10" w:rsidRPr="005F62F4">
        <w:t xml:space="preserve"> </w:t>
      </w:r>
      <w:r w:rsidR="00984622" w:rsidRPr="005F62F4">
        <w:t>associated with</w:t>
      </w:r>
      <w:r w:rsidR="00CB3B10" w:rsidRPr="005F62F4">
        <w:t xml:space="preserve"> </w:t>
      </w:r>
      <w:r w:rsidR="006208D0" w:rsidRPr="005F62F4">
        <w:t>th</w:t>
      </w:r>
      <w:r w:rsidR="00007D41" w:rsidRPr="005F62F4">
        <w:t>is</w:t>
      </w:r>
      <w:r w:rsidR="003B4944" w:rsidRPr="005F62F4">
        <w:t xml:space="preserve"> planning</w:t>
      </w:r>
      <w:r w:rsidR="006208D0" w:rsidRPr="005F62F4">
        <w:t xml:space="preserve"> method</w:t>
      </w:r>
      <w:r w:rsidR="00043671" w:rsidRPr="005F62F4">
        <w:t>.</w:t>
      </w:r>
    </w:p>
    <w:p w14:paraId="46408159" w14:textId="31E974AF" w:rsidR="00660235" w:rsidRPr="005F62F4" w:rsidRDefault="00043671" w:rsidP="003535AE">
      <w:pPr>
        <w:pStyle w:val="Para"/>
      </w:pPr>
      <w:r w:rsidRPr="005F62F4">
        <w:t xml:space="preserve">Resnick et al. </w:t>
      </w:r>
      <w:r w:rsidR="00BD314F" w:rsidRPr="005F62F4">
        <w:t>(2016)</w:t>
      </w:r>
      <w:r w:rsidRPr="005F62F4">
        <w:t xml:space="preserve"> </w:t>
      </w:r>
      <w:r w:rsidR="002F3513" w:rsidRPr="005F62F4">
        <w:t xml:space="preserve">found </w:t>
      </w:r>
      <w:r w:rsidRPr="005F62F4">
        <w:t xml:space="preserve">that virtual surgical planning </w:t>
      </w:r>
      <w:r w:rsidR="00F426A9" w:rsidRPr="005F62F4">
        <w:t xml:space="preserve">takes </w:t>
      </w:r>
      <w:r w:rsidRPr="005F62F4">
        <w:t xml:space="preserve">significantly less </w:t>
      </w:r>
      <w:r w:rsidR="00F426A9" w:rsidRPr="005F62F4">
        <w:t xml:space="preserve">time and </w:t>
      </w:r>
      <w:r w:rsidRPr="005F62F4">
        <w:t xml:space="preserve">is significantly less expensive than </w:t>
      </w:r>
      <w:r w:rsidR="000F5F49" w:rsidRPr="005F62F4">
        <w:t>conventional</w:t>
      </w:r>
      <w:r w:rsidRPr="005F62F4">
        <w:t xml:space="preserve"> planning</w:t>
      </w:r>
      <w:r w:rsidR="00360F3F" w:rsidRPr="005F62F4">
        <w:t xml:space="preserve">. </w:t>
      </w:r>
      <w:r w:rsidR="00852933" w:rsidRPr="005F62F4">
        <w:t xml:space="preserve">However, they did highlight that this </w:t>
      </w:r>
      <w:r w:rsidR="00852933" w:rsidRPr="005F62F4">
        <w:rPr>
          <w:lang w:val="en-GB"/>
        </w:rPr>
        <w:t xml:space="preserve">was specific to the </w:t>
      </w:r>
      <w:r w:rsidR="00984622" w:rsidRPr="005F62F4">
        <w:rPr>
          <w:lang w:val="en-GB"/>
        </w:rPr>
        <w:t>types</w:t>
      </w:r>
      <w:r w:rsidR="00852933" w:rsidRPr="005F62F4">
        <w:rPr>
          <w:lang w:val="en-GB"/>
        </w:rPr>
        <w:t xml:space="preserve"> of cases </w:t>
      </w:r>
      <w:r w:rsidR="00984622" w:rsidRPr="005F62F4">
        <w:rPr>
          <w:lang w:val="en-GB"/>
        </w:rPr>
        <w:t>included</w:t>
      </w:r>
      <w:r w:rsidR="00852933" w:rsidRPr="005F62F4">
        <w:rPr>
          <w:lang w:val="en-GB"/>
        </w:rPr>
        <w:t xml:space="preserve"> </w:t>
      </w:r>
      <w:r w:rsidR="00852933" w:rsidRPr="005F62F4">
        <w:t xml:space="preserve">in </w:t>
      </w:r>
      <w:r w:rsidR="00984622" w:rsidRPr="005F62F4">
        <w:t>their</w:t>
      </w:r>
      <w:r w:rsidR="00852933" w:rsidRPr="005F62F4">
        <w:t xml:space="preserve"> study</w:t>
      </w:r>
      <w:r w:rsidR="002A46C0" w:rsidRPr="005F62F4">
        <w:t xml:space="preserve"> </w:t>
      </w:r>
      <w:r w:rsidR="002A46C0" w:rsidRPr="005F62F4">
        <w:rPr>
          <w:lang w:val="en-GB"/>
        </w:rPr>
        <w:t>(</w:t>
      </w:r>
      <w:r w:rsidR="002A46C0" w:rsidRPr="005F62F4">
        <w:rPr>
          <w:lang w:eastAsia="en-AU"/>
        </w:rPr>
        <w:t xml:space="preserve">patients undergoing bimaxillary orthognathic surgery – </w:t>
      </w:r>
      <w:r w:rsidR="00CD4FFD" w:rsidRPr="005F62F4">
        <w:rPr>
          <w:lang w:eastAsia="en-AU"/>
        </w:rPr>
        <w:t>see Section </w:t>
      </w:r>
      <w:r w:rsidR="002A46C0" w:rsidRPr="005F62F4">
        <w:fldChar w:fldCharType="begin"/>
      </w:r>
      <w:r w:rsidR="002A46C0" w:rsidRPr="005F62F4">
        <w:instrText xml:space="preserve"> REF _Ref119843079 \n \h </w:instrText>
      </w:r>
      <w:r w:rsidR="005F62F4">
        <w:instrText xml:space="preserve"> \* MERGEFORMAT </w:instrText>
      </w:r>
      <w:r w:rsidR="002A46C0" w:rsidRPr="005F62F4">
        <w:fldChar w:fldCharType="separate"/>
      </w:r>
      <w:r w:rsidR="005606BF">
        <w:t>C.6.3</w:t>
      </w:r>
      <w:r w:rsidR="002A46C0" w:rsidRPr="005F62F4">
        <w:fldChar w:fldCharType="end"/>
      </w:r>
      <w:r w:rsidR="00603ECE" w:rsidRPr="005F62F4">
        <w:t xml:space="preserve"> </w:t>
      </w:r>
      <w:r w:rsidR="00D5761D" w:rsidRPr="005F62F4">
        <w:t>for</w:t>
      </w:r>
      <w:r w:rsidR="00B32AF5" w:rsidRPr="005F62F4">
        <w:t xml:space="preserve"> </w:t>
      </w:r>
      <w:r w:rsidR="002A46C0" w:rsidRPr="005F62F4">
        <w:t>further details</w:t>
      </w:r>
      <w:r w:rsidR="002A46C0" w:rsidRPr="005F62F4">
        <w:rPr>
          <w:lang w:eastAsia="en-AU"/>
        </w:rPr>
        <w:t>)</w:t>
      </w:r>
      <w:r w:rsidR="00984622" w:rsidRPr="005F62F4">
        <w:t>,</w:t>
      </w:r>
      <w:r w:rsidR="00852933" w:rsidRPr="005F62F4">
        <w:t xml:space="preserve"> </w:t>
      </w:r>
      <w:r w:rsidR="002A46C0" w:rsidRPr="005F62F4">
        <w:t xml:space="preserve">and </w:t>
      </w:r>
      <w:r w:rsidR="00852933" w:rsidRPr="005F62F4">
        <w:t>that fu</w:t>
      </w:r>
      <w:r w:rsidR="00A34567" w:rsidRPr="005F62F4">
        <w:t>rther</w:t>
      </w:r>
      <w:r w:rsidR="00852933" w:rsidRPr="005F62F4">
        <w:t xml:space="preserve"> research is req</w:t>
      </w:r>
      <w:r w:rsidR="00603ECE" w:rsidRPr="005F62F4">
        <w:t xml:space="preserve">uired </w:t>
      </w:r>
      <w:r w:rsidR="00527EAF" w:rsidRPr="005F62F4">
        <w:t>to understand</w:t>
      </w:r>
      <w:r w:rsidR="00603ECE" w:rsidRPr="005F62F4">
        <w:t xml:space="preserve"> the cost implications </w:t>
      </w:r>
      <w:r w:rsidR="00D5761D" w:rsidRPr="005F62F4">
        <w:t>for</w:t>
      </w:r>
      <w:r w:rsidR="00B32AF5" w:rsidRPr="005F62F4">
        <w:t xml:space="preserve"> other surgeries</w:t>
      </w:r>
      <w:r w:rsidR="00603ECE" w:rsidRPr="005F62F4">
        <w:t>.</w:t>
      </w:r>
    </w:p>
    <w:p w14:paraId="1993C068" w14:textId="38DC6B5D" w:rsidR="00136657" w:rsidRPr="005F62F4" w:rsidRDefault="007C693C" w:rsidP="003535AE">
      <w:pPr>
        <w:pStyle w:val="Para"/>
      </w:pPr>
      <w:r w:rsidRPr="005F62F4">
        <w:t>A</w:t>
      </w:r>
      <w:r w:rsidR="006F2166" w:rsidRPr="005F62F4">
        <w:t xml:space="preserve">n Australian study by </w:t>
      </w:r>
      <w:r w:rsidR="00D428E5" w:rsidRPr="005F62F4">
        <w:fldChar w:fldCharType="begin" w:fldLock="1"/>
      </w:r>
      <w:r w:rsidR="00FE3001" w:rsidRPr="005F62F4">
        <w:instrText>ADDIN CSL_CITATION {"citationItems":[{"id":"ITEM-1","itemData":{"author":[{"dropping-particle":"","family":"Mazzola","given":"F","non-dropping-particle":"","parse-names":false,"suffix":""},{"dropping-particle":"","family":"Smithers","given":"F","non-dropping-particle":"","parse-names":false,"suffix":""},{"dropping-particle":"","family":"Cheng","given":"K","non-dropping-particle":"","parse-names":false,"suffix":""},{"dropping-particle":"","family":"Mukherjee","given":"P","non-dropping-particle":"","parse-names":false,"suffix":""},{"dropping-particle":"","family":"Low","given":"T","non-dropping-particle":"","parse-names":false,"suffix":""},{"dropping-particle":"","family":"Sydney","given":"C","non-dropping-particle":"","parse-names":false,"suffix":""},{"dropping-particle":"","family":"Palme","given":"CE","non-dropping-particle":"","parse-names":false,"suffix":""},{"dropping-particle":"","family":"Clark","given":"JR","non-dropping-particle":"","parse-names":false,"suffix":""}],"container-title":"Oral Oncology","id":"ITEM-1","issue":"2020","issued":{"date-parts":[["2019"]]},"title":"Time and cost-analysis of virtual surgical planning for head and neck reconstruction: a matched pair analysis","type":"article-journal","volume":"100"},"uris":["http://www.mendeley.com/documents/?uuid=23f43af9-f0d0-43ba-be8a-aac39dc3117c"]}],"mendeley":{"formattedCitation":"(Mazzola et al. 2019)","manualFormatting":"Mazzola et al. (2020)","plainTextFormattedCitation":"(Mazzola et al. 2019)","previouslyFormattedCitation":"(Mazzola et al. 2019)"},"properties":{"noteIndex":0},"schema":"https://github.com/citation-style-language/schema/raw/master/csl-citation.json"}</w:instrText>
      </w:r>
      <w:r w:rsidR="00D428E5" w:rsidRPr="005F62F4">
        <w:fldChar w:fldCharType="separate"/>
      </w:r>
      <w:r w:rsidR="00D428E5" w:rsidRPr="005F62F4">
        <w:rPr>
          <w:noProof/>
        </w:rPr>
        <w:t xml:space="preserve">Mazzola et al. </w:t>
      </w:r>
      <w:r w:rsidR="005D2ECC" w:rsidRPr="005F62F4">
        <w:rPr>
          <w:noProof/>
        </w:rPr>
        <w:t>(</w:t>
      </w:r>
      <w:r w:rsidR="00D428E5" w:rsidRPr="005F62F4">
        <w:rPr>
          <w:noProof/>
        </w:rPr>
        <w:t>20</w:t>
      </w:r>
      <w:r w:rsidR="00FE3001" w:rsidRPr="005F62F4">
        <w:rPr>
          <w:noProof/>
        </w:rPr>
        <w:t>20</w:t>
      </w:r>
      <w:r w:rsidR="00D428E5" w:rsidRPr="005F62F4">
        <w:rPr>
          <w:noProof/>
        </w:rPr>
        <w:t>)</w:t>
      </w:r>
      <w:r w:rsidR="00D428E5" w:rsidRPr="005F62F4">
        <w:fldChar w:fldCharType="end"/>
      </w:r>
      <w:r w:rsidR="00101966" w:rsidRPr="005F62F4">
        <w:t xml:space="preserve"> </w:t>
      </w:r>
      <w:r w:rsidR="00C45535" w:rsidRPr="005F62F4">
        <w:t xml:space="preserve">compared the costs associated with virtual surgical planning </w:t>
      </w:r>
      <w:r w:rsidR="00BD7144" w:rsidRPr="005F62F4">
        <w:t xml:space="preserve">with </w:t>
      </w:r>
      <w:r w:rsidR="0053792E" w:rsidRPr="005F62F4">
        <w:t xml:space="preserve">a </w:t>
      </w:r>
      <w:r w:rsidR="00DB756B" w:rsidRPr="005F62F4">
        <w:t xml:space="preserve">conventional </w:t>
      </w:r>
      <w:r w:rsidR="0053792E" w:rsidRPr="005F62F4">
        <w:t>surgical approach</w:t>
      </w:r>
      <w:r w:rsidR="00262B33" w:rsidRPr="005F62F4">
        <w:t xml:space="preserve">. </w:t>
      </w:r>
      <w:r w:rsidR="001616CA" w:rsidRPr="005F62F4">
        <w:t xml:space="preserve">The study </w:t>
      </w:r>
      <w:r w:rsidR="00EB7BFB" w:rsidRPr="005F62F4">
        <w:t>included</w:t>
      </w:r>
      <w:r w:rsidR="001616CA" w:rsidRPr="005F62F4">
        <w:t xml:space="preserve"> patients undergoing reconstruction of the mandible or maxilla </w:t>
      </w:r>
      <w:r w:rsidR="00362692" w:rsidRPr="005F62F4">
        <w:t>and compared costs for</w:t>
      </w:r>
      <w:r w:rsidR="001616CA" w:rsidRPr="005F62F4">
        <w:t xml:space="preserve"> both </w:t>
      </w:r>
      <w:r w:rsidR="00362692" w:rsidRPr="005F62F4">
        <w:t>matched and non-matched cohorts.</w:t>
      </w:r>
      <w:r w:rsidR="00117432" w:rsidRPr="005F62F4">
        <w:t xml:space="preserve"> </w:t>
      </w:r>
      <w:r w:rsidR="00D834BE" w:rsidRPr="005F62F4">
        <w:t xml:space="preserve">For the </w:t>
      </w:r>
      <w:r w:rsidR="00DE2053" w:rsidRPr="005F62F4">
        <w:t>non-matched cohort</w:t>
      </w:r>
      <w:r w:rsidR="00984622" w:rsidRPr="005F62F4">
        <w:t>,</w:t>
      </w:r>
      <w:r w:rsidR="00101966" w:rsidRPr="005F62F4">
        <w:t xml:space="preserve"> </w:t>
      </w:r>
      <w:r w:rsidR="00315E3A" w:rsidRPr="005F62F4">
        <w:t>the</w:t>
      </w:r>
      <w:r w:rsidR="00101966" w:rsidRPr="005F62F4">
        <w:t xml:space="preserve"> reduced operati</w:t>
      </w:r>
      <w:r w:rsidR="00E92DA3" w:rsidRPr="005F62F4">
        <w:t>ve</w:t>
      </w:r>
      <w:r w:rsidR="00101966" w:rsidRPr="005F62F4">
        <w:t xml:space="preserve"> time </w:t>
      </w:r>
      <w:r w:rsidR="00315E3A" w:rsidRPr="005F62F4">
        <w:t xml:space="preserve">associated with </w:t>
      </w:r>
      <w:r w:rsidR="00FD3A59" w:rsidRPr="005F62F4">
        <w:t>virtual surgical planning</w:t>
      </w:r>
      <w:r w:rsidR="00101966" w:rsidRPr="005F62F4">
        <w:t xml:space="preserve"> </w:t>
      </w:r>
      <w:r w:rsidR="008C3E8D" w:rsidRPr="005F62F4">
        <w:t>result</w:t>
      </w:r>
      <w:r w:rsidR="00870496" w:rsidRPr="005F62F4">
        <w:t>ed</w:t>
      </w:r>
      <w:r w:rsidR="008C3E8D" w:rsidRPr="005F62F4">
        <w:t xml:space="preserve"> in </w:t>
      </w:r>
      <w:r w:rsidR="007763B9" w:rsidRPr="005F62F4">
        <w:rPr>
          <w:lang w:val="en-GB"/>
        </w:rPr>
        <w:t xml:space="preserve">lower costs compared to </w:t>
      </w:r>
      <w:r w:rsidR="00984622" w:rsidRPr="005F62F4">
        <w:rPr>
          <w:lang w:val="en-GB"/>
        </w:rPr>
        <w:t>conventional</w:t>
      </w:r>
      <w:r w:rsidR="007763B9" w:rsidRPr="005F62F4">
        <w:rPr>
          <w:lang w:val="en-GB"/>
        </w:rPr>
        <w:t xml:space="preserve"> </w:t>
      </w:r>
      <w:r w:rsidR="00747BAF" w:rsidRPr="005F62F4">
        <w:rPr>
          <w:lang w:val="en-GB"/>
        </w:rPr>
        <w:t>surgery</w:t>
      </w:r>
      <w:r w:rsidR="00315E3A" w:rsidRPr="005F62F4">
        <w:rPr>
          <w:lang w:val="en-GB"/>
        </w:rPr>
        <w:t>,</w:t>
      </w:r>
      <w:r w:rsidR="009273A3">
        <w:rPr>
          <w:lang w:val="en-GB"/>
        </w:rPr>
        <w:t xml:space="preserve"> </w:t>
      </w:r>
      <w:r w:rsidR="007763B9" w:rsidRPr="005F62F4">
        <w:t xml:space="preserve">despite the </w:t>
      </w:r>
      <w:r w:rsidR="00984622" w:rsidRPr="005F62F4">
        <w:t>greater</w:t>
      </w:r>
      <w:r w:rsidR="007763B9" w:rsidRPr="005F62F4">
        <w:t xml:space="preserve"> complexity of the </w:t>
      </w:r>
      <w:r w:rsidR="00FD3A59" w:rsidRPr="005F62F4">
        <w:t>virtual surgical planning</w:t>
      </w:r>
      <w:r w:rsidR="007763B9" w:rsidRPr="005F62F4">
        <w:t xml:space="preserve"> cases</w:t>
      </w:r>
      <w:r w:rsidR="00984622" w:rsidRPr="005F62F4">
        <w:t xml:space="preserve"> and</w:t>
      </w:r>
      <w:r w:rsidR="00341378" w:rsidRPr="005F62F4">
        <w:t xml:space="preserve"> higher material costs.</w:t>
      </w:r>
      <w:r w:rsidR="00387F63" w:rsidRPr="005F62F4">
        <w:t xml:space="preserve"> </w:t>
      </w:r>
      <w:r w:rsidR="00105141" w:rsidRPr="005F62F4">
        <w:t xml:space="preserve">The same pattern </w:t>
      </w:r>
      <w:r w:rsidR="008D3614" w:rsidRPr="005F62F4">
        <w:t>emerged for the matched cohort</w:t>
      </w:r>
      <w:r w:rsidR="00117432" w:rsidRPr="005F62F4">
        <w:t>, but</w:t>
      </w:r>
      <w:r w:rsidR="008D3614" w:rsidRPr="005F62F4">
        <w:t xml:space="preserve"> the difference was not statistically significant</w:t>
      </w:r>
      <w:r w:rsidR="00C851F8" w:rsidRPr="005F62F4">
        <w:t>.</w:t>
      </w:r>
      <w:r w:rsidR="009162E3" w:rsidRPr="005F62F4">
        <w:t xml:space="preserve"> </w:t>
      </w:r>
      <w:r w:rsidR="00596982" w:rsidRPr="005F62F4">
        <w:t>Nevertheless,</w:t>
      </w:r>
      <w:r w:rsidR="00387F63" w:rsidRPr="005F62F4">
        <w:t xml:space="preserve"> </w:t>
      </w:r>
      <w:r w:rsidR="008A7874" w:rsidRPr="005F62F4">
        <w:t xml:space="preserve">the study </w:t>
      </w:r>
      <w:r w:rsidR="00387F63" w:rsidRPr="005F62F4">
        <w:t>concluded that</w:t>
      </w:r>
      <w:r w:rsidR="00B70071" w:rsidRPr="005F62F4">
        <w:t>, for complex head and neck reconstructions,</w:t>
      </w:r>
      <w:r w:rsidR="00387F63" w:rsidRPr="005F62F4">
        <w:t xml:space="preserve"> </w:t>
      </w:r>
      <w:r w:rsidR="00105632" w:rsidRPr="005F62F4">
        <w:t>guided implant surgery</w:t>
      </w:r>
      <w:r w:rsidR="00117510" w:rsidRPr="005F62F4">
        <w:t xml:space="preserve"> </w:t>
      </w:r>
      <w:r w:rsidR="0036672A" w:rsidRPr="005F62F4">
        <w:t xml:space="preserve">can </w:t>
      </w:r>
      <w:r w:rsidR="00117510" w:rsidRPr="005F62F4">
        <w:t>reduc</w:t>
      </w:r>
      <w:r w:rsidR="0036672A" w:rsidRPr="005F62F4">
        <w:t>e</w:t>
      </w:r>
      <w:r w:rsidR="00117510" w:rsidRPr="005F62F4">
        <w:t xml:space="preserve"> operative time</w:t>
      </w:r>
      <w:r w:rsidR="00CC2871" w:rsidRPr="005F62F4">
        <w:t xml:space="preserve"> </w:t>
      </w:r>
      <w:r w:rsidR="001C4B20" w:rsidRPr="005F62F4">
        <w:t>without impacting on the overall cost of the surgery.</w:t>
      </w:r>
    </w:p>
    <w:p w14:paraId="4FED79C3" w14:textId="5AE525AF" w:rsidR="00C35D3E" w:rsidRPr="005F62F4" w:rsidRDefault="008C3E9F" w:rsidP="003535AE">
      <w:pPr>
        <w:pStyle w:val="Para"/>
      </w:pPr>
      <w:r w:rsidRPr="005F62F4">
        <w:t>Similarly</w:t>
      </w:r>
      <w:r w:rsidR="00984622" w:rsidRPr="005F62F4">
        <w:t xml:space="preserve">, </w:t>
      </w:r>
      <w:r w:rsidR="00870496" w:rsidRPr="005F62F4">
        <w:fldChar w:fldCharType="begin" w:fldLock="1"/>
      </w:r>
      <w:r w:rsidR="00CF4866" w:rsidRPr="005F62F4">
        <w:instrText>ADDIN CSL_CITATION {"citationItems":[{"id":"ITEM-1","itemData":{"DOI":"10.1016/j.joms.2014.07.038","ISSN":"15315053","PMID":"25443385","abstract":"Purpose Virtual planning and guided surgery with or without prebent or milled plates are becoming more and more common for mandibular reconstruction with fibular free flaps (FFFs). Although this excellent surgical option is being used more widely, the question of the additional cost of planning and cutting-guide production has to be discussed. In capped payment systems such additional costs have to be offset by other savings if there are no special provisions for extra funding. Our study was designed to determine whether using virtual planning and guided surgery resulted in time saved during surgery and whether this time gain resulted in self-funding of such planning through the time saved.\nMaterials and Methods All consecutive cases of FFF surgery were evaluated during a 2-year period. Institutional data were used to determine the price of 1 minute of operative time. The time for fibula molding, plate adaptation, and insetting was recorded.\nResults During the defined period, we performed 20 mandibular reconstructions using FFFs, 9 with virtual planning and guided surgery and 11 freehand cases. One minute of operative time was calculated to cost US $47.50. Multiplying this number by the time saved, we found that the additional cost of virtual planning was reduced from US $5,098 to US $1,231.50 with a prebent plate and from US $6,980 to US $3,113.50 for a milled plate.\nConclusions Even in capped health care systems, virtual planning and guided surgery including prebent or milled plates are financially viable.","author":[{"dropping-particle":"","family":"Zweifel","given":"Daniel Fritz","non-dropping-particle":"","parse-names":false,"suffix":""},{"dropping-particle":"","family":"Simon","given":"Christian","non-dropping-particle":"","parse-names":false,"suffix":""},{"dropping-particle":"","family":"Hoarau","given":"Remy","non-dropping-particle":"","parse-names":false,"suffix":""},{"dropping-particle":"","family":"Pasche","given":"Philippe","non-dropping-particle":"","parse-names":false,"suffix":""},{"dropping-particle":"","family":"Broome","given":"Martin","non-dropping-particle":"","parse-names":false,"suffix":""}],"container-title":"Journal of Oral and Maxillofacial Surgery","id":"ITEM-1","issue":"1","issued":{"date-parts":[["2015"]]},"page":"170-175","publisher":"American Association of Oral and Maxillofacial Surgeons","title":"Are virtual planning and guided surgery for head and neck reconstruction economically viable?","type":"article-journal","volume":"73"},"uris":["http://www.mendeley.com/documents/?uuid=a376aecd-4d58-4b4e-af00-785566907643"]}],"mendeley":{"formattedCitation":"(Zweifel et al. 2015)","manualFormatting":"Zweifel et al. (2015)","plainTextFormattedCitation":"(Zweifel et al. 2015)","previouslyFormattedCitation":"(Zweifel et al. 2015)"},"properties":{"noteIndex":0},"schema":"https://github.com/citation-style-language/schema/raw/master/csl-citation.json"}</w:instrText>
      </w:r>
      <w:r w:rsidR="00870496" w:rsidRPr="005F62F4">
        <w:fldChar w:fldCharType="separate"/>
      </w:r>
      <w:r w:rsidR="00870496" w:rsidRPr="005F62F4">
        <w:rPr>
          <w:noProof/>
        </w:rPr>
        <w:t xml:space="preserve">Zweifel et al. </w:t>
      </w:r>
      <w:r w:rsidR="003C331B" w:rsidRPr="005F62F4">
        <w:rPr>
          <w:noProof/>
        </w:rPr>
        <w:t>(</w:t>
      </w:r>
      <w:r w:rsidR="00870496" w:rsidRPr="005F62F4">
        <w:rPr>
          <w:noProof/>
        </w:rPr>
        <w:t>2015)</w:t>
      </w:r>
      <w:r w:rsidR="00870496" w:rsidRPr="005F62F4">
        <w:fldChar w:fldCharType="end"/>
      </w:r>
      <w:r w:rsidR="0062396B" w:rsidRPr="005F62F4">
        <w:t xml:space="preserve"> found that</w:t>
      </w:r>
      <w:r w:rsidR="005A713E" w:rsidRPr="005F62F4">
        <w:t xml:space="preserve"> the time saved through the use of </w:t>
      </w:r>
      <w:r w:rsidR="00AC39A6" w:rsidRPr="005F62F4">
        <w:t xml:space="preserve">virtual surgical planning (which included </w:t>
      </w:r>
      <w:r w:rsidR="005A713E" w:rsidRPr="005F62F4">
        <w:t xml:space="preserve">the use of </w:t>
      </w:r>
      <w:r w:rsidR="00AC39A6" w:rsidRPr="005F62F4">
        <w:t xml:space="preserve">cutting guides) </w:t>
      </w:r>
      <w:r w:rsidR="00984622" w:rsidRPr="005F62F4">
        <w:t>offset</w:t>
      </w:r>
      <w:r w:rsidR="002B3AE0" w:rsidRPr="005F62F4">
        <w:t xml:space="preserve"> the additional costs </w:t>
      </w:r>
      <w:r w:rsidR="009470D2" w:rsidRPr="005F62F4">
        <w:t>associated with</w:t>
      </w:r>
      <w:r w:rsidR="00781E92" w:rsidRPr="005F62F4">
        <w:t xml:space="preserve"> </w:t>
      </w:r>
      <w:r w:rsidR="00FB3E06" w:rsidRPr="005F62F4">
        <w:t>this method</w:t>
      </w:r>
      <w:r w:rsidR="00C64DFE" w:rsidRPr="005F62F4">
        <w:t xml:space="preserve">. </w:t>
      </w:r>
      <w:r w:rsidR="007273CE" w:rsidRPr="005F62F4">
        <w:t>Specific</w:t>
      </w:r>
      <w:r w:rsidR="009B39A6" w:rsidRPr="005F62F4">
        <w:t>all</w:t>
      </w:r>
      <w:r w:rsidR="007273CE" w:rsidRPr="005F62F4">
        <w:t xml:space="preserve">y, </w:t>
      </w:r>
      <w:r w:rsidR="00501EB3" w:rsidRPr="005F62F4">
        <w:t xml:space="preserve">they identified a saving of </w:t>
      </w:r>
      <w:r w:rsidR="008F7CF9" w:rsidRPr="005F62F4">
        <w:t>67</w:t>
      </w:r>
      <w:r w:rsidR="00153FC7" w:rsidRPr="005F62F4">
        <w:t>.4</w:t>
      </w:r>
      <w:r w:rsidR="008F7CF9" w:rsidRPr="005F62F4">
        <w:t xml:space="preserve"> </w:t>
      </w:r>
      <w:r w:rsidR="00501EB3" w:rsidRPr="005F62F4">
        <w:t>minutes and US$3</w:t>
      </w:r>
      <w:r w:rsidR="006262D0" w:rsidRPr="005F62F4">
        <w:t>,</w:t>
      </w:r>
      <w:r w:rsidR="00501EB3" w:rsidRPr="005F62F4">
        <w:t>866</w:t>
      </w:r>
      <w:r w:rsidR="00F044D1" w:rsidRPr="005F62F4">
        <w:t xml:space="preserve"> (</w:t>
      </w:r>
      <w:r w:rsidR="00BA19C0" w:rsidRPr="005F62F4">
        <w:t>AU$</w:t>
      </w:r>
      <w:r w:rsidR="00131D5B" w:rsidRPr="005F62F4">
        <w:t>5,745</w:t>
      </w:r>
      <w:r w:rsidR="00BA19C0" w:rsidRPr="005F62F4">
        <w:t>)</w:t>
      </w:r>
      <w:r w:rsidR="00501EB3" w:rsidRPr="005F62F4">
        <w:t xml:space="preserve"> </w:t>
      </w:r>
      <w:r w:rsidR="00B64CAE" w:rsidRPr="005F62F4">
        <w:t>for virtual surgical planning</w:t>
      </w:r>
      <w:r w:rsidR="007273CE" w:rsidRPr="005F62F4">
        <w:t xml:space="preserve"> </w:t>
      </w:r>
      <w:r w:rsidR="006F0996" w:rsidRPr="005F62F4">
        <w:t>but</w:t>
      </w:r>
      <w:r w:rsidR="00954B05" w:rsidRPr="005F62F4">
        <w:t xml:space="preserve"> highlighted that</w:t>
      </w:r>
      <w:r w:rsidR="009D535B">
        <w:t>,</w:t>
      </w:r>
      <w:r w:rsidR="00954B05" w:rsidRPr="005F62F4">
        <w:t xml:space="preserve"> </w:t>
      </w:r>
      <w:r w:rsidR="006F0996" w:rsidRPr="005F62F4">
        <w:t>while this approach may be a financially viable option</w:t>
      </w:r>
      <w:r w:rsidR="00497A01">
        <w:t>,</w:t>
      </w:r>
      <w:r w:rsidR="00B64CAE" w:rsidRPr="005F62F4">
        <w:t xml:space="preserve"> </w:t>
      </w:r>
      <w:r w:rsidR="00954B05" w:rsidRPr="005F62F4">
        <w:t>their findings do not indicate</w:t>
      </w:r>
      <w:r w:rsidR="003042B5" w:rsidRPr="005F62F4">
        <w:t xml:space="preserve"> </w:t>
      </w:r>
      <w:r w:rsidR="00B64CAE" w:rsidRPr="005F62F4">
        <w:t>’</w:t>
      </w:r>
      <w:r w:rsidR="003042B5" w:rsidRPr="005F62F4">
        <w:t>complete auto-financing of such a procedure</w:t>
      </w:r>
      <w:r w:rsidR="00B64CAE" w:rsidRPr="005F62F4">
        <w:t>’</w:t>
      </w:r>
      <w:r w:rsidR="003042B5" w:rsidRPr="005F62F4">
        <w:t>.</w:t>
      </w:r>
    </w:p>
    <w:p w14:paraId="347ED712" w14:textId="382AD54B" w:rsidR="00B35F59" w:rsidRPr="005F62F4" w:rsidRDefault="00F309E9" w:rsidP="003535AE">
      <w:pPr>
        <w:pStyle w:val="Para"/>
      </w:pPr>
      <w:r w:rsidRPr="005F62F4">
        <w:t xml:space="preserve">Finally, </w:t>
      </w:r>
      <w:r w:rsidRPr="005F62F4">
        <w:fldChar w:fldCharType="begin" w:fldLock="1"/>
      </w:r>
      <w:r w:rsidR="00141D1F" w:rsidRPr="005F62F4">
        <w:instrText>ADDIN CSL_CITATION {"citationItems":[{"id":"ITEM-1","itemData":{"author":[{"dropping-particle":"","family":"Rommel","given":"Niklas","non-dropping-particle":"","parse-names":false,"suffix":""},{"dropping-particle":"","family":"Kesting","given":"Marco Rainer","non-dropping-particle":"","parse-names":false,"suffix":""},{"dropping-particle":"","family":"Rohleder","given":"Nils Hagen","non-dropping-particle":"","parse-names":false,"suffix":""},{"dropping-particle":"","family":"Bauer","given":"Florian Martin Josef","non-dropping-particle":"","parse-names":false,"suffix":""},{"dropping-particle":"","family":"Wolff","given":"Klaus-Dietrich","non-dropping-particle":"","parse-names":false,"suffix":""},{"dropping-particle":"","family":"Weitz","given":"Jochen","non-dropping-particle":"","parse-names":false,"suffix":""}],"container-title":"Journal of Cranio-Maxillo-Facial Surgery","id":"ITEM-1","issue":"2017","issued":{"date-parts":[["2017"]]},"page":"1246-1250","title":"Mandible reconstruction with free fibula flaps: outcome of a cost-effective individual planning concept compared with virtual surgical planning","type":"article-journal","volume":"25"},"uris":["http://www.mendeley.com/documents/?uuid=4df1ec55-694d-418f-a9fa-23360d39fe23"]}],"mendeley":{"formattedCitation":"(Rommel et al. 2017)","manualFormatting":"Rommel et al. (2017)","plainTextFormattedCitation":"(Rommel et al. 2017)","previouslyFormattedCitation":"(Rommel et al. 2017)"},"properties":{"noteIndex":0},"schema":"https://github.com/citation-style-language/schema/raw/master/csl-citation.json"}</w:instrText>
      </w:r>
      <w:r w:rsidRPr="005F62F4">
        <w:fldChar w:fldCharType="separate"/>
      </w:r>
      <w:r w:rsidRPr="005F62F4">
        <w:rPr>
          <w:noProof/>
        </w:rPr>
        <w:t xml:space="preserve">Rommel et al. </w:t>
      </w:r>
      <w:r w:rsidR="00CF4866" w:rsidRPr="005F62F4">
        <w:rPr>
          <w:noProof/>
        </w:rPr>
        <w:t>(</w:t>
      </w:r>
      <w:r w:rsidRPr="005F62F4">
        <w:rPr>
          <w:noProof/>
        </w:rPr>
        <w:t>2017)</w:t>
      </w:r>
      <w:r w:rsidRPr="005F62F4">
        <w:fldChar w:fldCharType="end"/>
      </w:r>
      <w:r w:rsidR="007269B5" w:rsidRPr="005F62F4">
        <w:t xml:space="preserve"> </w:t>
      </w:r>
      <w:r w:rsidR="00B47888" w:rsidRPr="005F62F4">
        <w:t xml:space="preserve">indicated that the cost of the </w:t>
      </w:r>
      <w:r w:rsidR="00FD3A59" w:rsidRPr="005F62F4">
        <w:t>virtual surgical planning</w:t>
      </w:r>
      <w:r w:rsidR="00B47888" w:rsidRPr="005F62F4">
        <w:t xml:space="preserve"> method was </w:t>
      </w:r>
      <w:r w:rsidR="00B47888" w:rsidRPr="005F62F4">
        <w:rPr>
          <w:rFonts w:cstheme="minorHAnsi"/>
        </w:rPr>
        <w:t>€</w:t>
      </w:r>
      <w:r w:rsidR="00B47888" w:rsidRPr="005F62F4">
        <w:t>2</w:t>
      </w:r>
      <w:r w:rsidR="009B3D30" w:rsidRPr="005F62F4">
        <w:t>,</w:t>
      </w:r>
      <w:r w:rsidR="00B47888" w:rsidRPr="005F62F4">
        <w:t xml:space="preserve">250 </w:t>
      </w:r>
      <w:r w:rsidR="00BA19C0" w:rsidRPr="005F62F4">
        <w:t>(AU$</w:t>
      </w:r>
      <w:r w:rsidR="004A720E" w:rsidRPr="005F62F4">
        <w:t>3</w:t>
      </w:r>
      <w:r w:rsidR="0041183A" w:rsidRPr="005F62F4">
        <w:t>,</w:t>
      </w:r>
      <w:r w:rsidR="004A720E" w:rsidRPr="005F62F4">
        <w:t>541</w:t>
      </w:r>
      <w:r w:rsidR="00BA19C0" w:rsidRPr="005F62F4">
        <w:t>)</w:t>
      </w:r>
      <w:r w:rsidR="00B47888" w:rsidRPr="005F62F4">
        <w:t xml:space="preserve"> more expensive than the individual</w:t>
      </w:r>
      <w:r w:rsidR="006F2166" w:rsidRPr="005F62F4">
        <w:t xml:space="preserve"> </w:t>
      </w:r>
      <w:r w:rsidR="00B47888" w:rsidRPr="005F62F4">
        <w:t>preoperative planning technique (where surgical guides were hand</w:t>
      </w:r>
      <w:r w:rsidR="0075441C" w:rsidRPr="005F62F4">
        <w:t xml:space="preserve"> </w:t>
      </w:r>
      <w:r w:rsidR="00B47888" w:rsidRPr="005F62F4">
        <w:t>made in</w:t>
      </w:r>
      <w:r w:rsidR="0075441C" w:rsidRPr="005F62F4">
        <w:t xml:space="preserve"> </w:t>
      </w:r>
      <w:r w:rsidR="006262D0" w:rsidRPr="005F62F4">
        <w:t>house</w:t>
      </w:r>
      <w:r w:rsidR="00B47888" w:rsidRPr="005F62F4">
        <w:t>).</w:t>
      </w:r>
      <w:r w:rsidR="007269B5" w:rsidRPr="005F62F4">
        <w:t xml:space="preserve"> </w:t>
      </w:r>
      <w:r w:rsidR="008F6557" w:rsidRPr="005F62F4">
        <w:t xml:space="preserve">They </w:t>
      </w:r>
      <w:r w:rsidR="00D62838" w:rsidRPr="005F62F4">
        <w:t>acknowledge</w:t>
      </w:r>
      <w:r w:rsidR="00626844" w:rsidRPr="005F62F4">
        <w:t xml:space="preserve"> </w:t>
      </w:r>
      <w:r w:rsidR="00BB334F" w:rsidRPr="005F62F4">
        <w:t xml:space="preserve">that </w:t>
      </w:r>
      <w:r w:rsidR="00487AB1" w:rsidRPr="005F62F4">
        <w:t xml:space="preserve">other studies </w:t>
      </w:r>
      <w:r w:rsidR="00B96033" w:rsidRPr="005F62F4">
        <w:t xml:space="preserve">suggested </w:t>
      </w:r>
      <w:r w:rsidR="00487AB1" w:rsidRPr="005F62F4">
        <w:t xml:space="preserve">the additional costs </w:t>
      </w:r>
      <w:r w:rsidR="006262D0" w:rsidRPr="005F62F4">
        <w:t>associated</w:t>
      </w:r>
      <w:r w:rsidR="007269B5" w:rsidRPr="005F62F4">
        <w:t xml:space="preserve"> </w:t>
      </w:r>
      <w:r w:rsidR="00B96033" w:rsidRPr="005F62F4">
        <w:t>with</w:t>
      </w:r>
      <w:r w:rsidR="007269B5" w:rsidRPr="005F62F4">
        <w:t xml:space="preserve"> virtual surgical</w:t>
      </w:r>
      <w:r w:rsidR="00487AB1" w:rsidRPr="005F62F4">
        <w:t xml:space="preserve"> planning </w:t>
      </w:r>
      <w:r w:rsidR="004B579C" w:rsidRPr="005F62F4">
        <w:t xml:space="preserve">may be </w:t>
      </w:r>
      <w:r w:rsidR="00ED4DBB" w:rsidRPr="005F62F4">
        <w:t xml:space="preserve">offset </w:t>
      </w:r>
      <w:r w:rsidR="00487AB1" w:rsidRPr="005F62F4">
        <w:t xml:space="preserve">by reduced operative time </w:t>
      </w:r>
      <w:r w:rsidR="00ED4DBB" w:rsidRPr="005F62F4">
        <w:t>but</w:t>
      </w:r>
      <w:r w:rsidR="00487AB1" w:rsidRPr="005F62F4">
        <w:t xml:space="preserve"> </w:t>
      </w:r>
      <w:r w:rsidR="00D62838" w:rsidRPr="005F62F4">
        <w:t>did not observe</w:t>
      </w:r>
      <w:r w:rsidR="00EA2D12" w:rsidRPr="005F62F4">
        <w:t xml:space="preserve"> this </w:t>
      </w:r>
      <w:r w:rsidR="00D62838" w:rsidRPr="005F62F4">
        <w:t>in</w:t>
      </w:r>
      <w:r w:rsidR="00EA2D12" w:rsidRPr="005F62F4">
        <w:t xml:space="preserve"> their </w:t>
      </w:r>
      <w:r w:rsidR="00D62838" w:rsidRPr="005F62F4">
        <w:t>own data</w:t>
      </w:r>
      <w:r w:rsidR="00EA2D12" w:rsidRPr="005F62F4">
        <w:t>.</w:t>
      </w:r>
    </w:p>
    <w:p w14:paraId="04265809" w14:textId="54A8FD4B" w:rsidR="009128A9" w:rsidRPr="005F62F4" w:rsidRDefault="009128A9" w:rsidP="009128A9">
      <w:pPr>
        <w:pStyle w:val="Para"/>
      </w:pPr>
      <w:r w:rsidRPr="005F62F4">
        <w:t xml:space="preserve">It is worth noting that virtual surgical planning technology is rapidly evolving which means that some studies may be outdated with regards to current costs. For example, </w:t>
      </w:r>
      <w:r w:rsidRPr="005F62F4">
        <w:fldChar w:fldCharType="begin" w:fldLock="1"/>
      </w:r>
      <w:r w:rsidRPr="005F62F4">
        <w:instrText>ADDIN CSL_CITATION {"citationItems":[{"id":"ITEM-1","itemData":{"author":[{"dropping-particle":"","family":"Mazzola","given":"F","non-dropping-particle":"","parse-names":false,"suffix":""},{"dropping-particle":"","family":"Smithers","given":"F","non-dropping-particle":"","parse-names":false,"suffix":""},{"dropping-particle":"","family":"Cheng","given":"K","non-dropping-particle":"","parse-names":false,"suffix":""},{"dropping-particle":"","family":"Mukherjee","given":"P","non-dropping-particle":"","parse-names":false,"suffix":""},{"dropping-particle":"","family":"Low","given":"T","non-dropping-particle":"","parse-names":false,"suffix":""},{"dropping-particle":"","family":"Sydney","given":"C","non-dropping-particle":"","parse-names":false,"suffix":""},{"dropping-particle":"","family":"Palme","given":"CE","non-dropping-particle":"","parse-names":false,"suffix":""},{"dropping-particle":"","family":"Clark","given":"JR","non-dropping-particle":"","parse-names":false,"suffix":""}],"container-title":"Oral Oncology","id":"ITEM-1","issue":"2020","issued":{"date-parts":[["2019"]]},"title":"Time and cost-analysis of virtual surgical planning for head and neck reconstruction: a matched pair analysis","type":"article-journal","volume":"100"},"uris":["http://www.mendeley.com/documents/?uuid=23f43af9-f0d0-43ba-be8a-aac39dc3117c"]}],"mendeley":{"formattedCitation":"(Mazzola et al. 2019)","manualFormatting":"Mazzola et al. (2019)","plainTextFormattedCitation":"(Mazzola et al. 2019)","previouslyFormattedCitation":"(Mazzola et al. 2019)"},"properties":{"noteIndex":0},"schema":"https://github.com/citation-style-language/schema/raw/master/csl-citation.json"}</w:instrText>
      </w:r>
      <w:r w:rsidRPr="005F62F4">
        <w:fldChar w:fldCharType="separate"/>
      </w:r>
      <w:r w:rsidRPr="005F62F4">
        <w:rPr>
          <w:noProof/>
        </w:rPr>
        <w:t>Mazzola et al. (20</w:t>
      </w:r>
      <w:r w:rsidR="00FE3001" w:rsidRPr="005F62F4">
        <w:rPr>
          <w:noProof/>
        </w:rPr>
        <w:t>20</w:t>
      </w:r>
      <w:r w:rsidRPr="005F62F4">
        <w:rPr>
          <w:noProof/>
        </w:rPr>
        <w:t>)</w:t>
      </w:r>
      <w:r w:rsidRPr="005F62F4">
        <w:fldChar w:fldCharType="end"/>
      </w:r>
      <w:r w:rsidRPr="005F62F4">
        <w:t xml:space="preserve"> indicated that then-current technology allowed production of a printed titanium plate with a lower production cost than that reported in the </w:t>
      </w:r>
      <w:r w:rsidRPr="005F62F4">
        <w:fldChar w:fldCharType="begin" w:fldLock="1"/>
      </w:r>
      <w:r w:rsidRPr="005F62F4">
        <w:instrText>ADDIN CSL_CITATION {"citationItems":[{"id":"ITEM-1","itemData":{"DOI":"10.1016/j.joms.2014.07.038","ISSN":"15315053","PMID":"25443385","abstract":"Purpose Virtual planning and guided surgery with or without prebent or milled plates are becoming more and more common for mandibular reconstruction with fibular free flaps (FFFs). Although this excellent surgical option is being used more widely, the question of the additional cost of planning and cutting-guide production has to be discussed. In capped payment systems such additional costs have to be offset by other savings if there are no special provisions for extra funding. Our study was designed to determine whether using virtual planning and guided surgery resulted in time saved during surgery and whether this time gain resulted in self-funding of such planning through the time saved.\nMaterials and Methods All consecutive cases of FFF surgery were evaluated during a 2-year period. Institutional data were used to determine the price of 1 minute of operative time. The time for fibula molding, plate adaptation, and insetting was recorded.\nResults During the defined period, we performed 20 mandibular reconstructions using FFFs, 9 with virtual planning and guided surgery and 11 freehand cases. One minute of operative time was calculated to cost US $47.50. Multiplying this number by the time saved, we found that the additional cost of virtual planning was reduced from US $5,098 to US $1,231.50 with a prebent plate and from US $6,980 to US $3,113.50 for a milled plate.\nConclusions Even in capped health care systems, virtual planning and guided surgery including prebent or milled plates are financially viable.","author":[{"dropping-particle":"","family":"Zweifel","given":"Daniel Fritz","non-dropping-particle":"","parse-names":false,"suffix":""},{"dropping-particle":"","family":"Simon","given":"Christian","non-dropping-particle":"","parse-names":false,"suffix":""},{"dropping-particle":"","family":"Hoarau","given":"Remy","non-dropping-particle":"","parse-names":false,"suffix":""},{"dropping-particle":"","family":"Pasche","given":"Philippe","non-dropping-particle":"","parse-names":false,"suffix":""},{"dropping-particle":"","family":"Broome","given":"Martin","non-dropping-particle":"","parse-names":false,"suffix":""}],"container-title":"Journal of Oral and Maxillofacial Surgery","id":"ITEM-1","issue":"1","issued":{"date-parts":[["2015"]]},"page":"170-175","publisher":"American Association of Oral and Maxillofacial Surgeons","title":"Are virtual planning and guided surgery for head and neck reconstruction economically viable?","type":"article-journal","volume":"73"},"uris":["http://www.mendeley.com/documents/?uuid=a376aecd-4d58-4b4e-af00-785566907643"]}],"mendeley":{"formattedCitation":"(Zweifel et al. 2015)","manualFormatting":"Zweifel et al. (2015)","plainTextFormattedCitation":"(Zweifel et al. 2015)","previouslyFormattedCitation":"(Zweifel et al. 2015)"},"properties":{"noteIndex":0},"schema":"https://github.com/citation-style-language/schema/raw/master/csl-citation.json"}</w:instrText>
      </w:r>
      <w:r w:rsidRPr="005F62F4">
        <w:fldChar w:fldCharType="separate"/>
      </w:r>
      <w:r w:rsidRPr="005F62F4">
        <w:rPr>
          <w:noProof/>
        </w:rPr>
        <w:t>Zweifel et al. (2015)</w:t>
      </w:r>
      <w:r w:rsidRPr="005F62F4">
        <w:fldChar w:fldCharType="end"/>
      </w:r>
      <w:r w:rsidRPr="005F62F4">
        <w:t xml:space="preserve"> study.</w:t>
      </w:r>
    </w:p>
    <w:p w14:paraId="4B19EC63" w14:textId="77777777" w:rsidR="001009B1" w:rsidRPr="005F62F4" w:rsidRDefault="001009B1" w:rsidP="001009B1">
      <w:pPr>
        <w:sectPr w:rsidR="001009B1" w:rsidRPr="005F62F4" w:rsidSect="00B7390D">
          <w:headerReference w:type="default" r:id="rId22"/>
          <w:pgSz w:w="11906" w:h="16838" w:code="9"/>
          <w:pgMar w:top="1134" w:right="1134" w:bottom="1134" w:left="1440" w:header="454" w:footer="454" w:gutter="0"/>
          <w:cols w:space="708"/>
          <w:docGrid w:linePitch="360"/>
        </w:sectPr>
      </w:pPr>
    </w:p>
    <w:p w14:paraId="0299222D" w14:textId="152D4E11" w:rsidR="001009B1" w:rsidRPr="005F62F4" w:rsidRDefault="001009B1" w:rsidP="001009B1">
      <w:pPr>
        <w:pStyle w:val="Caption"/>
      </w:pPr>
      <w:bookmarkStart w:id="128" w:name="_Ref119871094"/>
      <w:bookmarkStart w:id="129" w:name="_Toc129954640"/>
      <w:r w:rsidRPr="005F62F4">
        <w:lastRenderedPageBreak/>
        <w:t>Table </w:t>
      </w:r>
      <w:r w:rsidRPr="005F62F4">
        <w:fldChar w:fldCharType="begin"/>
      </w:r>
      <w:r w:rsidRPr="005F62F4">
        <w:instrText>SEQ Table \* ARABIC</w:instrText>
      </w:r>
      <w:r w:rsidRPr="005F62F4">
        <w:fldChar w:fldCharType="separate"/>
      </w:r>
      <w:r w:rsidR="005606BF">
        <w:rPr>
          <w:noProof/>
        </w:rPr>
        <w:t>3</w:t>
      </w:r>
      <w:r w:rsidRPr="005F62F4">
        <w:fldChar w:fldCharType="end"/>
      </w:r>
      <w:bookmarkEnd w:id="128"/>
      <w:r w:rsidRPr="005F62F4">
        <w:t>: Summarised findings of studies included in systematic review by PICO</w:t>
      </w:r>
      <w:bookmarkEnd w:id="129"/>
    </w:p>
    <w:tbl>
      <w:tblPr>
        <w:tblStyle w:val="SGB"/>
        <w:tblW w:w="14601" w:type="dxa"/>
        <w:tblLook w:val="04A0" w:firstRow="1" w:lastRow="0" w:firstColumn="1" w:lastColumn="0" w:noHBand="0" w:noVBand="1"/>
      </w:tblPr>
      <w:tblGrid>
        <w:gridCol w:w="1497"/>
        <w:gridCol w:w="1860"/>
        <w:gridCol w:w="2003"/>
        <w:gridCol w:w="2733"/>
        <w:gridCol w:w="1981"/>
        <w:gridCol w:w="4527"/>
      </w:tblGrid>
      <w:tr w:rsidR="001009B1" w:rsidRPr="005F62F4" w14:paraId="40C282DB" w14:textId="77777777">
        <w:trPr>
          <w:cnfStyle w:val="100000000000" w:firstRow="1" w:lastRow="0" w:firstColumn="0" w:lastColumn="0" w:oddVBand="0" w:evenVBand="0" w:oddHBand="0" w:evenHBand="0"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497" w:type="dxa"/>
          </w:tcPr>
          <w:p w14:paraId="47C0D9AF" w14:textId="77777777" w:rsidR="001009B1" w:rsidRPr="005F62F4" w:rsidRDefault="001009B1">
            <w:pPr>
              <w:pStyle w:val="Para"/>
            </w:pPr>
            <w:bookmarkStart w:id="130" w:name="Title_5" w:colFirst="0" w:colLast="0"/>
            <w:r w:rsidRPr="005F62F4">
              <w:t xml:space="preserve">Citation </w:t>
            </w:r>
          </w:p>
        </w:tc>
        <w:tc>
          <w:tcPr>
            <w:tcW w:w="1860" w:type="dxa"/>
          </w:tcPr>
          <w:p w14:paraId="4C6BF767" w14:textId="77777777" w:rsidR="001009B1" w:rsidRPr="005F62F4" w:rsidRDefault="001009B1">
            <w:pPr>
              <w:pStyle w:val="Para"/>
              <w:cnfStyle w:val="100000000000" w:firstRow="1" w:lastRow="0" w:firstColumn="0" w:lastColumn="0" w:oddVBand="0" w:evenVBand="0" w:oddHBand="0" w:evenHBand="0" w:firstRowFirstColumn="0" w:firstRowLastColumn="0" w:lastRowFirstColumn="0" w:lastRowLastColumn="0"/>
            </w:pPr>
            <w:r w:rsidRPr="005F62F4">
              <w:t>Study type</w:t>
            </w:r>
          </w:p>
        </w:tc>
        <w:tc>
          <w:tcPr>
            <w:tcW w:w="2003" w:type="dxa"/>
          </w:tcPr>
          <w:p w14:paraId="64FEF951" w14:textId="77777777" w:rsidR="001009B1" w:rsidRPr="005F62F4" w:rsidRDefault="001009B1">
            <w:pPr>
              <w:pStyle w:val="Para"/>
              <w:cnfStyle w:val="100000000000" w:firstRow="1" w:lastRow="0" w:firstColumn="0" w:lastColumn="0" w:oddVBand="0" w:evenVBand="0" w:oddHBand="0" w:evenHBand="0" w:firstRowFirstColumn="0" w:firstRowLastColumn="0" w:lastRowFirstColumn="0" w:lastRowLastColumn="0"/>
            </w:pPr>
            <w:r w:rsidRPr="005F62F4">
              <w:t>Population</w:t>
            </w:r>
          </w:p>
        </w:tc>
        <w:tc>
          <w:tcPr>
            <w:tcW w:w="2733" w:type="dxa"/>
          </w:tcPr>
          <w:p w14:paraId="24AF7C88" w14:textId="77777777" w:rsidR="001009B1" w:rsidRPr="005F62F4" w:rsidRDefault="001009B1">
            <w:pPr>
              <w:pStyle w:val="Para"/>
              <w:cnfStyle w:val="100000000000" w:firstRow="1" w:lastRow="0" w:firstColumn="0" w:lastColumn="0" w:oddVBand="0" w:evenVBand="0" w:oddHBand="0" w:evenHBand="0" w:firstRowFirstColumn="0" w:firstRowLastColumn="0" w:lastRowFirstColumn="0" w:lastRowLastColumn="0"/>
            </w:pPr>
            <w:r w:rsidRPr="005F62F4">
              <w:t>Intervention</w:t>
            </w:r>
          </w:p>
        </w:tc>
        <w:tc>
          <w:tcPr>
            <w:tcW w:w="1981" w:type="dxa"/>
          </w:tcPr>
          <w:p w14:paraId="7B493AA7" w14:textId="77777777" w:rsidR="001009B1" w:rsidRPr="005F62F4" w:rsidRDefault="001009B1">
            <w:pPr>
              <w:pStyle w:val="Para"/>
              <w:cnfStyle w:val="100000000000" w:firstRow="1" w:lastRow="0" w:firstColumn="0" w:lastColumn="0" w:oddVBand="0" w:evenVBand="0" w:oddHBand="0" w:evenHBand="0" w:firstRowFirstColumn="0" w:firstRowLastColumn="0" w:lastRowFirstColumn="0" w:lastRowLastColumn="0"/>
            </w:pPr>
            <w:r w:rsidRPr="005F62F4">
              <w:t xml:space="preserve">Comparator </w:t>
            </w:r>
          </w:p>
        </w:tc>
        <w:tc>
          <w:tcPr>
            <w:tcW w:w="4527" w:type="dxa"/>
          </w:tcPr>
          <w:p w14:paraId="435C2349" w14:textId="77777777" w:rsidR="001009B1" w:rsidRPr="005F62F4" w:rsidRDefault="001009B1">
            <w:pPr>
              <w:pStyle w:val="Para"/>
              <w:cnfStyle w:val="100000000000" w:firstRow="1" w:lastRow="0" w:firstColumn="0" w:lastColumn="0" w:oddVBand="0" w:evenVBand="0" w:oddHBand="0" w:evenHBand="0" w:firstRowFirstColumn="0" w:firstRowLastColumn="0" w:lastRowFirstColumn="0" w:lastRowLastColumn="0"/>
            </w:pPr>
            <w:r w:rsidRPr="005F62F4">
              <w:t>Outcomes</w:t>
            </w:r>
          </w:p>
        </w:tc>
      </w:tr>
      <w:bookmarkEnd w:id="130"/>
      <w:tr w:rsidR="001009B1" w:rsidRPr="005F62F4" w14:paraId="20FBFADC" w14:textId="77777777">
        <w:trPr>
          <w:cantSplit w:val="0"/>
        </w:trPr>
        <w:tc>
          <w:tcPr>
            <w:cnfStyle w:val="001000000000" w:firstRow="0" w:lastRow="0" w:firstColumn="1" w:lastColumn="0" w:oddVBand="0" w:evenVBand="0" w:oddHBand="0" w:evenHBand="0" w:firstRowFirstColumn="0" w:firstRowLastColumn="0" w:lastRowFirstColumn="0" w:lastRowLastColumn="0"/>
            <w:tcW w:w="1497" w:type="dxa"/>
          </w:tcPr>
          <w:p w14:paraId="0122F583" w14:textId="77777777" w:rsidR="001009B1" w:rsidRPr="005F62F4" w:rsidRDefault="001009B1">
            <w:pPr>
              <w:pStyle w:val="Para"/>
            </w:pPr>
            <w:r w:rsidRPr="005F62F4">
              <w:fldChar w:fldCharType="begin" w:fldLock="1"/>
            </w:r>
            <w:r w:rsidRPr="005F62F4">
              <w:instrText>ADDIN CSL_CITATION {"citationItems":[{"id":"ITEM-1","itemData":{"DOI":"10.1007/s00405-016-4246-4","ISSN":"14344726","PMID":"27501991","abstract":"The purpose of the study was to compare the accuracy of computer-assisted surgery (CAS) and the traditional freehand technique for fibular free flap mandibular reconstruction as well as to evaluate the accuracy of the CAS planning. The medical records of 18 patients who underwent mandibular reconstruction with fibular free flap were reviewed. The CAS group (n = 7) benefited from virtual surgical planning and custom patient-specific plates and surgical cutting guides. The Control group (n = 11) was treated by conventional surgery. Morphometric comparison was done by calculating the differences in specific linear and angular parameters on pre- and postoperative CT-scans for both groups by using ProPlan CMF® software. Symmetry was also assessed by calculating the ratio of the affected versus the nonaffected side. In the CAS group, planned and postoperative CT-scans were compared to evaluate accuracy. The morphometric comparison showed no statistically significant differences between the groups except for the axial angle on the nonaffected side (mean difference 1.0° in the CAS group versus 2.9° in the Control group; p = 0.03). Ratios of the affected side over the nonaffected side showed no differences between the two groups. In the CAS group, the accuracy assessment showed a mean distance deviation of 2.3 mm for mandibular osteotomies and 1.9 mm for fibular osteotomies. Our results indicated that CAS and the conventional freehand techniques were comparable in their ability to provide a satisfactory morphological fibular free flap mandibular reconstruction. Moreover, the accuracy of the CAS technique was within the range reported in the literature.","author":[{"dropping-particle":"","family":"Maesschalck","given":"Thibault","non-dropping-particle":"De","parse-names":false,"suffix":""},{"dropping-particle":"","family":"Courvoisier","given":"Delphine S.","non-dropping-particle":"","parse-names":false,"suffix":""},{"dropping-particle":"","family":"Scolozzi","given":"Paolo","non-dropping-particle":"","parse-names":false,"suffix":""}],"container-title":"European Archives of Oto-Rhino-Laryngology","id":"ITEM-1","issue":"1","issued":{"date-parts":[["2017"]]},"page":"517-526","publisher":"Springer Berlin Heidelberg","title":"Computer-assisted versus traditional freehand technique in fibular free flap mandibular reconstruction: a morphological comparative study","type":"article-journal","volume":"274"},"uris":["http://www.mendeley.com/documents/?uuid=64051382-fd8e-4a81-b12e-d47b7dfb4632"]}],"mendeley":{"formattedCitation":"(De Maesschalck et al. 2017)","manualFormatting":"De Maesschalck et al. (2017","plainTextFormattedCitation":"(De Maesschalck et al. 2017)","previouslyFormattedCitation":"(De Maesschalck et al. 2017)"},"properties":{"noteIndex":0},"schema":"https://github.com/citation-style-language/schema/raw/master/csl-citation.json"}</w:instrText>
            </w:r>
            <w:r w:rsidRPr="005F62F4">
              <w:fldChar w:fldCharType="separate"/>
            </w:r>
            <w:r w:rsidRPr="005F62F4">
              <w:rPr>
                <w:noProof/>
              </w:rPr>
              <w:t>De Maesschalck et al. (2017</w:t>
            </w:r>
            <w:r w:rsidRPr="005F62F4">
              <w:fldChar w:fldCharType="end"/>
            </w:r>
            <w:r w:rsidRPr="005F62F4">
              <w:t>)</w:t>
            </w:r>
          </w:p>
        </w:tc>
        <w:tc>
          <w:tcPr>
            <w:tcW w:w="1860" w:type="dxa"/>
          </w:tcPr>
          <w:p w14:paraId="35314FEC"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 xml:space="preserve">Retrospective case-control </w:t>
            </w:r>
          </w:p>
        </w:tc>
        <w:tc>
          <w:tcPr>
            <w:tcW w:w="2003" w:type="dxa"/>
          </w:tcPr>
          <w:p w14:paraId="3FD3E674"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18 patients who underwent mandibular reconstruction with fibular free flap</w:t>
            </w:r>
          </w:p>
        </w:tc>
        <w:tc>
          <w:tcPr>
            <w:tcW w:w="2733" w:type="dxa"/>
          </w:tcPr>
          <w:p w14:paraId="3F3CCDB0" w14:textId="5BB13D4E"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 xml:space="preserve">Mandibular reconstruction with fibular free flap via computer-assisted surgery (using </w:t>
            </w:r>
            <w:proofErr w:type="spellStart"/>
            <w:r w:rsidRPr="005F62F4">
              <w:t>ProPlan</w:t>
            </w:r>
            <w:proofErr w:type="spellEnd"/>
            <w:r w:rsidRPr="005F62F4">
              <w:t xml:space="preserve"> software), including the use of patient-specific plates and surgical cutting guides.</w:t>
            </w:r>
          </w:p>
          <w:p w14:paraId="1AABBD7E"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n = 7</w:t>
            </w:r>
          </w:p>
        </w:tc>
        <w:tc>
          <w:tcPr>
            <w:tcW w:w="1981" w:type="dxa"/>
          </w:tcPr>
          <w:p w14:paraId="49915B79"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Conventional surgery (freehand technique).</w:t>
            </w:r>
          </w:p>
          <w:p w14:paraId="686EFC7C"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n = 11</w:t>
            </w:r>
          </w:p>
        </w:tc>
        <w:tc>
          <w:tcPr>
            <w:tcW w:w="4527" w:type="dxa"/>
          </w:tcPr>
          <w:p w14:paraId="04D8FE7D"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 xml:space="preserve">There were no statistically significant differences in the morphometric accuracy between both groups, except for the axial angle on the nonaffected side. </w:t>
            </w:r>
            <w:r w:rsidRPr="005F62F4">
              <w:rPr>
                <w:lang w:val="en-GB"/>
              </w:rPr>
              <w:t>As such, it was concluded that the computer-assisted technique is comparable in its ability to provide ‘satisfactory morphological fibular free flap mandibular reconstruction’ when compared to conventional freehand technique.</w:t>
            </w:r>
          </w:p>
          <w:p w14:paraId="13A7A1EF" w14:textId="2A3C543E"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rPr>
                <w:lang w:val="en-GB"/>
              </w:rPr>
              <w:t>It should be noted that the results relate to computer-assisted surgical planning overall (which included the use of surgical cutting guides as well as patient-specific plates) and therefore the results cannot be solely attributed to surgical guides.</w:t>
            </w:r>
          </w:p>
        </w:tc>
      </w:tr>
      <w:tr w:rsidR="001009B1" w:rsidRPr="005F62F4" w14:paraId="042B21DF"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7" w:type="dxa"/>
          </w:tcPr>
          <w:p w14:paraId="7DD383C3" w14:textId="77777777" w:rsidR="001009B1" w:rsidRPr="005F62F4" w:rsidRDefault="001009B1">
            <w:pPr>
              <w:pStyle w:val="Para"/>
            </w:pPr>
            <w:r w:rsidRPr="005F62F4">
              <w:lastRenderedPageBreak/>
              <w:fldChar w:fldCharType="begin" w:fldLock="1"/>
            </w:r>
            <w:r w:rsidRPr="005F62F4">
              <w:instrText>ADDIN CSL_CITATION {"citationItems":[{"id":"ITEM-1","itemData":{"author":[{"dropping-particle":"","family":"Johal","given":"M","non-dropping-particle":"","parse-names":false,"suffix":""},{"dropping-particle":"","family":"Ma","given":"JNB","non-dropping-particle":"","parse-names":false,"suffix":""},{"dropping-particle":"","family":"Parthasarathi","given":"K","non-dropping-particle":"","parse-names":false,"suffix":""},{"dropping-particle":"","family":"Dunn","given":"M","non-dropping-particle":"","parse-names":false,"suffix":""},{"dropping-particle":"","family":"Howes","given":"D","non-dropping-particle":"","parse-names":false,"suffix":""},{"dropping-particle":"","family":"Wallace","given":"C","non-dropping-particle":"","parse-names":false,"suffix":""},{"dropping-particle":"","family":"Palme","given":"CE","non-dropping-particle":"","parse-names":false,"suffix":""},{"dropping-particle":"","family":"Leinkram","given":"D","non-dropping-particle":"","parse-names":false,"suffix":""},{"dropping-particle":"","family":"Cheng","given":"K","non-dropping-particle":"","parse-names":false,"suffix":""},{"dropping-particle":"","family":"Clark","given":"JR","non-dropping-particle":"","parse-names":false,"suffix":""}],"container-title":"Journal of Plastic, Reconstructive &amp; Aesthetic Surgery","id":"ITEM-1","issued":{"date-parts":[["2022"]]},"page":"1399-1407","title":"Institutional-based and commercial virtual surgical planning in maxillomandibular reconstruction - comparing the digital and postoperative scan","type":"article-journal","volume":"75"},"uris":["http://www.mendeley.com/documents/?uuid=21b05b5f-345c-42d3-89f8-9b8a4194471a"]}],"mendeley":{"formattedCitation":"(Johal et al. 2022)","manualFormatting":"Johal et al. (2022)","plainTextFormattedCitation":"(Johal et al. 2022)","previouslyFormattedCitation":"(Johal et al. 2022)"},"properties":{"noteIndex":0},"schema":"https://github.com/citation-style-language/schema/raw/master/csl-citation.json"}</w:instrText>
            </w:r>
            <w:r w:rsidRPr="005F62F4">
              <w:fldChar w:fldCharType="separate"/>
            </w:r>
            <w:r w:rsidRPr="005F62F4">
              <w:rPr>
                <w:noProof/>
              </w:rPr>
              <w:t>Johal et al. (2022)</w:t>
            </w:r>
            <w:r w:rsidRPr="005F62F4">
              <w:fldChar w:fldCharType="end"/>
            </w:r>
          </w:p>
        </w:tc>
        <w:tc>
          <w:tcPr>
            <w:tcW w:w="1860" w:type="dxa"/>
          </w:tcPr>
          <w:p w14:paraId="3672D8BC"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Retrospective case-control</w:t>
            </w:r>
          </w:p>
        </w:tc>
        <w:tc>
          <w:tcPr>
            <w:tcW w:w="2003" w:type="dxa"/>
          </w:tcPr>
          <w:p w14:paraId="6EF178BD" w14:textId="6778A0F1"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44 patients who had undergone maxillomandibular reconstruction with virtual surgical planning (VSP)</w:t>
            </w:r>
          </w:p>
        </w:tc>
        <w:tc>
          <w:tcPr>
            <w:tcW w:w="2733" w:type="dxa"/>
          </w:tcPr>
          <w:p w14:paraId="40B1DFB3"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 xml:space="preserve">Commercial VSP involving Synthes </w:t>
            </w:r>
            <w:proofErr w:type="spellStart"/>
            <w:r w:rsidRPr="005F62F4">
              <w:t>ProPlan</w:t>
            </w:r>
            <w:proofErr w:type="spellEnd"/>
            <w:r w:rsidRPr="005F62F4">
              <w:t xml:space="preserve"> using Materialise software.</w:t>
            </w:r>
          </w:p>
          <w:p w14:paraId="02DFA561" w14:textId="7935295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This included patient-specific fixation plates that were either machined or 3D printed.</w:t>
            </w:r>
          </w:p>
          <w:p w14:paraId="58D83B6D"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n = 32</w:t>
            </w:r>
          </w:p>
        </w:tc>
        <w:tc>
          <w:tcPr>
            <w:tcW w:w="1981" w:type="dxa"/>
          </w:tcPr>
          <w:p w14:paraId="7A6C9F7C"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 xml:space="preserve">In-house VSP with 3D Slicer 4.0, Materialise </w:t>
            </w:r>
            <w:proofErr w:type="spellStart"/>
            <w:r w:rsidRPr="005F62F4">
              <w:t>InPrint</w:t>
            </w:r>
            <w:proofErr w:type="spellEnd"/>
            <w:r w:rsidRPr="005F62F4">
              <w:t xml:space="preserve"> and Autodesk 3dsMax 2016–2020 software.</w:t>
            </w:r>
          </w:p>
          <w:p w14:paraId="342F558E"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Stock (non-custom) fixation plates were used and contoured to a 3D printed model.</w:t>
            </w:r>
          </w:p>
          <w:p w14:paraId="16F1E5A8"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n = 12</w:t>
            </w:r>
          </w:p>
        </w:tc>
        <w:tc>
          <w:tcPr>
            <w:tcW w:w="4527" w:type="dxa"/>
          </w:tcPr>
          <w:p w14:paraId="590412EE"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 xml:space="preserve">The differences in error for intergonial distance, segment length or the angle between segments were not statistically significant when comparing </w:t>
            </w:r>
            <w:r w:rsidRPr="005F62F4">
              <w:rPr>
                <w:lang w:val="en-GB"/>
              </w:rPr>
              <w:t xml:space="preserve">in-house VSP to commercial VSP (using </w:t>
            </w:r>
            <w:proofErr w:type="spellStart"/>
            <w:r w:rsidRPr="005F62F4">
              <w:rPr>
                <w:lang w:val="en-GB"/>
              </w:rPr>
              <w:t>ProPlan</w:t>
            </w:r>
            <w:proofErr w:type="spellEnd"/>
            <w:r w:rsidRPr="005F62F4">
              <w:rPr>
                <w:lang w:val="en-GB"/>
              </w:rPr>
              <w:t xml:space="preserve">). </w:t>
            </w:r>
            <w:r w:rsidRPr="005F62F4">
              <w:t xml:space="preserve">The accuracy of commercial VSP and in-house VSP in this cohort is similar; therefore, it was concluded that </w:t>
            </w:r>
            <w:r w:rsidRPr="005F62F4">
              <w:rPr>
                <w:lang w:val="en-GB"/>
              </w:rPr>
              <w:t>VSP is an accurate method of maxillary and mandibular reconstruction. In-house VSP may be similar in accuracy to commercial VSP options’</w:t>
            </w:r>
            <w:r w:rsidRPr="005F62F4">
              <w:t xml:space="preserve"> (p. 1400).</w:t>
            </w:r>
          </w:p>
          <w:p w14:paraId="0C571772" w14:textId="077FE42C"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 xml:space="preserve">It should be noted that the results relate to VSP (including commercial VSP using </w:t>
            </w:r>
            <w:proofErr w:type="spellStart"/>
            <w:r w:rsidRPr="005F62F4">
              <w:t>ProPlan</w:t>
            </w:r>
            <w:proofErr w:type="spellEnd"/>
            <w:r w:rsidRPr="005F62F4">
              <w:t xml:space="preserve">, which included the use of patient-specific plates; as well as in-house VSP, which used stock fixation plates). Therefore, the results cannot be solely attributed to surgical guides and/or </w:t>
            </w:r>
            <w:proofErr w:type="spellStart"/>
            <w:r w:rsidRPr="005F62F4">
              <w:t>biomodels</w:t>
            </w:r>
            <w:proofErr w:type="spellEnd"/>
            <w:r w:rsidRPr="005F62F4">
              <w:t>.</w:t>
            </w:r>
          </w:p>
        </w:tc>
      </w:tr>
      <w:tr w:rsidR="001009B1" w:rsidRPr="005F62F4" w14:paraId="1A80BEBE" w14:textId="77777777">
        <w:tc>
          <w:tcPr>
            <w:cnfStyle w:val="001000000000" w:firstRow="0" w:lastRow="0" w:firstColumn="1" w:lastColumn="0" w:oddVBand="0" w:evenVBand="0" w:oddHBand="0" w:evenHBand="0" w:firstRowFirstColumn="0" w:firstRowLastColumn="0" w:lastRowFirstColumn="0" w:lastRowLastColumn="0"/>
            <w:tcW w:w="1497" w:type="dxa"/>
          </w:tcPr>
          <w:p w14:paraId="05BF16FF" w14:textId="1BE93585" w:rsidR="001009B1" w:rsidRPr="005F62F4" w:rsidRDefault="001009B1">
            <w:pPr>
              <w:pStyle w:val="Para"/>
            </w:pPr>
            <w:r w:rsidRPr="005F62F4">
              <w:lastRenderedPageBreak/>
              <w:fldChar w:fldCharType="begin" w:fldLock="1"/>
            </w:r>
            <w:r w:rsidRPr="005F62F4">
              <w:instrText>ADDIN CSL_CITATION {"citationItems":[{"id":"ITEM-1","itemData":{"author":[{"dropping-particle":"","family":"Mazzola","given":"F","non-dropping-particle":"","parse-names":false,"suffix":""},{"dropping-particle":"","family":"Smithers","given":"F","non-dropping-particle":"","parse-names":false,"suffix":""},{"dropping-particle":"","family":"Cheng","given":"K","non-dropping-particle":"","parse-names":false,"suffix":""},{"dropping-particle":"","family":"Mukherjee","given":"P","non-dropping-particle":"","parse-names":false,"suffix":""},{"dropping-particle":"","family":"Low","given":"T","non-dropping-particle":"","parse-names":false,"suffix":""},{"dropping-particle":"","family":"Sydney","given":"C","non-dropping-particle":"","parse-names":false,"suffix":""},{"dropping-particle":"","family":"Palme","given":"CE","non-dropping-particle":"","parse-names":false,"suffix":""},{"dropping-particle":"","family":"Clark","given":"JR","non-dropping-particle":"","parse-names":false,"suffix":""}],"container-title":"Oral Oncology","id":"ITEM-1","issue":"2020","issued":{"date-parts":[["2019"]]},"title":"Time and cost-analysis of virtual surgical planning for head and neck reconstruction: a matched pair analysis","type":"article-journal","volume":"100"},"uris":["http://www.mendeley.com/documents/?uuid=23f43af9-f0d0-43ba-be8a-aac39dc3117c"]}],"mendeley":{"formattedCitation":"(Mazzola et al. 2019)","manualFormatting":"Mazzola et al. (2019)","plainTextFormattedCitation":"(Mazzola et al. 2019)","previouslyFormattedCitation":"(Mazzola et al. 2019)"},"properties":{"noteIndex":0},"schema":"https://github.com/citation-style-language/schema/raw/master/csl-citation.json"}</w:instrText>
            </w:r>
            <w:r w:rsidRPr="005F62F4">
              <w:fldChar w:fldCharType="separate"/>
            </w:r>
            <w:r w:rsidRPr="005F62F4">
              <w:rPr>
                <w:noProof/>
              </w:rPr>
              <w:t>Mazzola et al. (20</w:t>
            </w:r>
            <w:r w:rsidR="00FE3001" w:rsidRPr="005F62F4">
              <w:rPr>
                <w:noProof/>
              </w:rPr>
              <w:t>20</w:t>
            </w:r>
            <w:r w:rsidRPr="005F62F4">
              <w:rPr>
                <w:noProof/>
              </w:rPr>
              <w:t>)</w:t>
            </w:r>
            <w:r w:rsidRPr="005F62F4">
              <w:fldChar w:fldCharType="end"/>
            </w:r>
          </w:p>
        </w:tc>
        <w:tc>
          <w:tcPr>
            <w:tcW w:w="1860" w:type="dxa"/>
          </w:tcPr>
          <w:p w14:paraId="0EE1E3D8"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Retrospective case-control</w:t>
            </w:r>
          </w:p>
        </w:tc>
        <w:tc>
          <w:tcPr>
            <w:tcW w:w="2003" w:type="dxa"/>
          </w:tcPr>
          <w:p w14:paraId="0AEE9995"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138 patients who underwent osseous free flap reconstruction of the mandible or maxilla</w:t>
            </w:r>
          </w:p>
        </w:tc>
        <w:tc>
          <w:tcPr>
            <w:tcW w:w="2733" w:type="dxa"/>
          </w:tcPr>
          <w:p w14:paraId="7E86A0DF"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 xml:space="preserve">Proprietary virtual surgical planning approach (P-VSP). This approach was provided by </w:t>
            </w:r>
            <w:proofErr w:type="spellStart"/>
            <w:r w:rsidRPr="005F62F4">
              <w:t>DePuy</w:t>
            </w:r>
            <w:proofErr w:type="spellEnd"/>
            <w:r w:rsidRPr="005F62F4">
              <w:t xml:space="preserve"> Synthes with each case including a reconstructive 3D model, cutting guides for the donor and ablative sites, customised titanium plate (milled or 3D-printed) which were produced using </w:t>
            </w:r>
            <w:proofErr w:type="spellStart"/>
            <w:r w:rsidRPr="005F62F4">
              <w:t>ProPlan</w:t>
            </w:r>
            <w:proofErr w:type="spellEnd"/>
            <w:r w:rsidRPr="005F62F4">
              <w:t>.</w:t>
            </w:r>
          </w:p>
          <w:p w14:paraId="0DD6909D" w14:textId="3989BB6B"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 xml:space="preserve">Note: The use of </w:t>
            </w:r>
            <w:proofErr w:type="spellStart"/>
            <w:r w:rsidRPr="005F62F4">
              <w:t>ProPlan</w:t>
            </w:r>
            <w:proofErr w:type="spellEnd"/>
            <w:r w:rsidRPr="005F62F4">
              <w:t xml:space="preserve"> as part of the P-VSP group was confirmed with the authors.</w:t>
            </w:r>
          </w:p>
          <w:p w14:paraId="7B76856A"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n = 29</w:t>
            </w:r>
          </w:p>
        </w:tc>
        <w:tc>
          <w:tcPr>
            <w:tcW w:w="1981" w:type="dxa"/>
          </w:tcPr>
          <w:p w14:paraId="0CE91E0F"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A traditional non-VSP reconstructive approach where a freehand technique was used to contour the bone graft to the intraoperative defect.</w:t>
            </w:r>
          </w:p>
          <w:p w14:paraId="6632E450"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A pre-formed plate was used in this group.</w:t>
            </w:r>
          </w:p>
          <w:p w14:paraId="496DBA1D"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n = 99</w:t>
            </w:r>
          </w:p>
        </w:tc>
        <w:tc>
          <w:tcPr>
            <w:tcW w:w="4527" w:type="dxa"/>
          </w:tcPr>
          <w:p w14:paraId="1189B757"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For a non-matched cohort, P-VSP (</w:t>
            </w:r>
            <w:r w:rsidRPr="005F62F4">
              <w:rPr>
                <w:lang w:val="en-GB"/>
              </w:rPr>
              <w:t xml:space="preserve">which included the use of a 3D model, cutting guides and customised titanium plate) </w:t>
            </w:r>
            <w:r w:rsidRPr="005F62F4">
              <w:t>was associated with shorter median length of stay, a lower mean procedure time and a similar median total cost when compared to traditional non-VSP surgery and these differences were statistically significant.</w:t>
            </w:r>
          </w:p>
          <w:p w14:paraId="6B4B3F0C"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For the matched cohort, P-VSP had a similar median length of hospital stay, a lower mean procedure time, a lower mean total cost and a higher median total cost when compared to non-VSP. However, these differences were not statistically significant.</w:t>
            </w:r>
          </w:p>
          <w:p w14:paraId="40BEA346"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It was concluded VSP technology is a helpful tool for reducing operative time and the length of hospital stay, without affecting the final cost of the procedure.</w:t>
            </w:r>
          </w:p>
          <w:p w14:paraId="6C8A8E44"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 xml:space="preserve">It should be noted that the results relate to VSP (which included the use of a reconstructive model, cutting guide and customised plate) and therefore the results cannot be solely attributed to surgical guides and </w:t>
            </w:r>
            <w:proofErr w:type="spellStart"/>
            <w:r w:rsidRPr="005F62F4">
              <w:t>biomodels</w:t>
            </w:r>
            <w:proofErr w:type="spellEnd"/>
            <w:r w:rsidRPr="005F62F4">
              <w:t>.</w:t>
            </w:r>
          </w:p>
        </w:tc>
      </w:tr>
      <w:tr w:rsidR="001009B1" w:rsidRPr="005F62F4" w14:paraId="605EF620"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7" w:type="dxa"/>
          </w:tcPr>
          <w:p w14:paraId="58223233" w14:textId="77777777" w:rsidR="001009B1" w:rsidRPr="005F62F4" w:rsidRDefault="001009B1">
            <w:pPr>
              <w:pStyle w:val="Para"/>
            </w:pPr>
            <w:r w:rsidRPr="005F62F4">
              <w:lastRenderedPageBreak/>
              <w:fldChar w:fldCharType="begin" w:fldLock="1"/>
            </w:r>
            <w:r w:rsidRPr="005F62F4">
              <w:instrText>ADDIN CSL_CITATION {"citationItems":[{"id":"ITEM-1","itemData":{"DOI":"10.1016/j.joms.2016.03.035","ISSN":"15315053","PMID":"27181623","abstract":"Purpose Virtual surgical planning (VSP) and 3-dimensional printing of surgical splints are becoming the standard of care for orthognathic surgery, but costs have not been thoroughly evaluated. The purpose of this study was to compare the cost of VSP and 3-dimensional printing of splints (“VSP”) versus that of 2-dimensional cephalometric evaluation, model surgery, and manual splint fabrication (“standard planning”). Materials and Methods This is a retrospective cohort study including patients planned for bimaxillary surgery from January 2014 to January 2015 at Massachusetts General Hospital. Patients were divided into 3 groups by case type: symmetric, nonsegmental (group 1); asymmetric (group 2); and segmental (group 3). All cases underwent both VSP and standard planning with times for all activities recorded. The primary and secondary predictor variables were method of treatment planning and case type, respectively. Time-driven activity-based micro-costing analysis was used to quantify the differences in cost. Results were analyzed using a paired t test and analysis of variance. Results The sample included 43 patients (19 in group 1, 17 in group 2, and 7 in group 3). The average times and costs were 194 ± 14.1 minutes and $2,765.94, respectively, for VSP and 540.9 ± 99.5 minutes and $3,519.18, respectively, for standard planning. For the symmetric, nonsegmental group, the average times and costs were 188 ± 17.8 minutes and $2,700.52, respectively, for VSP and 524.4 ± 86.1 minutes and $3,380.17, respectively, for standard planning. For the asymmetric group, the average times and costs were 187.4 ± 10.9 minutes and $2,713.69, respectively, for VSP and 556.1 ± 94.1 minutes and $3,640.00, respectively, for standard planning. For the segmental group, the average times and costs were 208.8 ± 13.5 minutes and $2,883.62, respectively, for VSP and 542.3 ± 118.4 minutes and $3,537.37, respectively, for standard planning. All time and cost differences were statistically significant (P &lt; .001). Conclusions The results of this study indicate that VSP for bimaxillary orthognathic surgery takes significantly less time and is less expensive than standard planning for the 3 types of cases analyzed.","author":[{"dropping-particle":"","family":"Resnick","given":"Cory M.","non-dropping-particle":"","parse-names":false,"suffix":""},{"dropping-particle":"","family":"Inverso","given":"Gino","non-dropping-particle":"","parse-names":false,"suffix":""},{"dropping-particle":"","family":"Wrzosek","given":"Mariusz","non-dropping-particle":"","parse-names":false,"suffix":""},{"dropping-particle":"","family":"Padwa","given":"Bonnie L.","non-dropping-particle":"","parse-names":false,"suffix":""},{"dropping-particle":"","family":"Kaban","given":"Leonard B.","non-dropping-particle":"","parse-names":false,"suffix":""},{"dropping-particle":"","family":"Peacock","given":"Zachary S.","non-dropping-particle":"","parse-names":false,"suffix":""}],"container-title":"Journal of Oral and Maxillofacial Surgery","id":"ITEM-1","issue":"9","issued":{"date-parts":[["2016"]]},"page":"1827-1833","title":"Is there a difference in cost between standard and virtual surgical planning for orthognathic surgery?","type":"article-journal","volume":"74"},"uris":["http://www.mendeley.com/documents/?uuid=b34e64aa-3e2f-457d-a447-d10157fab51a"]}],"mendeley":{"formattedCitation":"(Resnick et al. 2016)","manualFormatting":"Resnick et al. (2016)","plainTextFormattedCitation":"(Resnick et al. 2016)","previouslyFormattedCitation":"(Resnick et al. 2016)"},"properties":{"noteIndex":0},"schema":"https://github.com/citation-style-language/schema/raw/master/csl-citation.json"}</w:instrText>
            </w:r>
            <w:r w:rsidRPr="005F62F4">
              <w:fldChar w:fldCharType="separate"/>
            </w:r>
            <w:r w:rsidRPr="005F62F4">
              <w:rPr>
                <w:noProof/>
              </w:rPr>
              <w:t>Resnick et al. (2016)</w:t>
            </w:r>
            <w:r w:rsidRPr="005F62F4">
              <w:fldChar w:fldCharType="end"/>
            </w:r>
          </w:p>
        </w:tc>
        <w:tc>
          <w:tcPr>
            <w:tcW w:w="1860" w:type="dxa"/>
          </w:tcPr>
          <w:p w14:paraId="32ECAAB1"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Retrospective case-control</w:t>
            </w:r>
          </w:p>
        </w:tc>
        <w:tc>
          <w:tcPr>
            <w:tcW w:w="2003" w:type="dxa"/>
          </w:tcPr>
          <w:p w14:paraId="3C5D0BD0"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43 patients planned for bimaxillary surgery</w:t>
            </w:r>
          </w:p>
        </w:tc>
        <w:tc>
          <w:tcPr>
            <w:tcW w:w="2733" w:type="dxa"/>
          </w:tcPr>
          <w:p w14:paraId="589AF74A"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 xml:space="preserve">VSP (using </w:t>
            </w:r>
            <w:proofErr w:type="spellStart"/>
            <w:r w:rsidRPr="005F62F4">
              <w:t>ProPlan</w:t>
            </w:r>
            <w:proofErr w:type="spellEnd"/>
            <w:r w:rsidRPr="005F62F4">
              <w:t xml:space="preserve"> CMF software) and 3D splint fabrication.</w:t>
            </w:r>
          </w:p>
        </w:tc>
        <w:tc>
          <w:tcPr>
            <w:tcW w:w="1981" w:type="dxa"/>
          </w:tcPr>
          <w:p w14:paraId="4C0DABB9"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Standard surgical planning involving 2D planning, model surgery and manual splint fabrication.</w:t>
            </w:r>
          </w:p>
        </w:tc>
        <w:tc>
          <w:tcPr>
            <w:tcW w:w="4527" w:type="dxa"/>
          </w:tcPr>
          <w:p w14:paraId="4381A9E1"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 xml:space="preserve">For bimaxillary orthognathic surgery, </w:t>
            </w:r>
            <w:r w:rsidRPr="005F62F4">
              <w:rPr>
                <w:lang w:val="en-GB"/>
              </w:rPr>
              <w:t>VSP</w:t>
            </w:r>
            <w:r w:rsidRPr="005F62F4">
              <w:t xml:space="preserve"> (including 3D splint fabrication) is significantly less expensive and takes less time than standard planning (with manual splint fabrication).</w:t>
            </w:r>
          </w:p>
        </w:tc>
      </w:tr>
      <w:tr w:rsidR="001009B1" w:rsidRPr="005F62F4" w14:paraId="3BB5BF1D" w14:textId="77777777">
        <w:tc>
          <w:tcPr>
            <w:cnfStyle w:val="001000000000" w:firstRow="0" w:lastRow="0" w:firstColumn="1" w:lastColumn="0" w:oddVBand="0" w:evenVBand="0" w:oddHBand="0" w:evenHBand="0" w:firstRowFirstColumn="0" w:firstRowLastColumn="0" w:lastRowFirstColumn="0" w:lastRowLastColumn="0"/>
            <w:tcW w:w="1497" w:type="dxa"/>
          </w:tcPr>
          <w:p w14:paraId="36151E37" w14:textId="77777777" w:rsidR="001009B1" w:rsidRPr="005F62F4" w:rsidRDefault="001009B1">
            <w:pPr>
              <w:pStyle w:val="Para"/>
              <w:rPr>
                <w:rStyle w:val="Strong"/>
                <w:b/>
              </w:rPr>
            </w:pPr>
            <w:r w:rsidRPr="005F62F4">
              <w:rPr>
                <w:rStyle w:val="Strong"/>
              </w:rPr>
              <w:fldChar w:fldCharType="begin" w:fldLock="1"/>
            </w:r>
            <w:r w:rsidRPr="005F62F4">
              <w:rPr>
                <w:rStyle w:val="Strong"/>
                <w:b/>
                <w:bCs w:val="0"/>
              </w:rPr>
              <w:instrText>ADDIN CSL_CITATION {"citationItems":[{"id":"ITEM-1","itemData":{"author":[{"dropping-particle":"","family":"Rommel","given":"Niklas","non-dropping-particle":"","parse-names":false,"suffix":""},{"dropping-particle":"","family":"Kesting","given":"Marco Rainer","non-dropping-particle":"","parse-names":false,"suffix":""},{"dropping-particle":"","family":"Rohleder","given":"Nils Hagen","non-dropping-particle":"","parse-names":false,"suffix":""},{"dropping-particle":"","family":"Bauer","given":"Florian Martin Josef","non-dropping-particle":"","parse-names":false,"suffix":""},{"dropping-particle":"","family":"Wolff","given":"Klaus-Dietrich","non-dropping-particle":"","parse-names":false,"suffix":""},{"dropping-particle":"","family":"Weitz","given":"Jochen","non-dropping-particle":"","parse-names":false,"suffix":""}],"container-title":"Journal of Cranio-Maxillo-Facial Surgery","id":"ITEM-1","issue":"2017","issued":{"date-parts":[["2017"]]},"page":"1246-1250","title":"Mandible reconstruction with free fibula flaps: outcome of a cost-effective individual planning concept compared with virtual surgical planning","type":"article-journal","volume":"25"},"uris":["http://www.mendeley.com/documents/?uuid=4df1ec55-694d-418f-a9fa-23360d39fe23"]}],"mendeley":{"formattedCitation":"(Rommel et al. 2017)","manualFormatting":"Rommel et al. (2017)","plainTextFormattedCitation":"(Rommel et al. 2017)","previouslyFormattedCitation":"(Rommel et al. 2017)"},"properties":{"noteIndex":0},"schema":"https://github.com/citation-style-language/schema/raw/master/csl-citation.json"}</w:instrText>
            </w:r>
            <w:r w:rsidRPr="005F62F4">
              <w:rPr>
                <w:rStyle w:val="Strong"/>
              </w:rPr>
              <w:fldChar w:fldCharType="separate"/>
            </w:r>
            <w:r w:rsidRPr="005F62F4">
              <w:rPr>
                <w:rStyle w:val="Strong"/>
                <w:b/>
                <w:bCs w:val="0"/>
                <w:noProof/>
              </w:rPr>
              <w:t>Rommel et al. (2017)</w:t>
            </w:r>
            <w:r w:rsidRPr="005F62F4">
              <w:rPr>
                <w:rStyle w:val="Strong"/>
              </w:rPr>
              <w:fldChar w:fldCharType="end"/>
            </w:r>
            <w:r w:rsidRPr="005F62F4" w:rsidDel="00905B39">
              <w:rPr>
                <w:rStyle w:val="Strong"/>
                <w:b/>
                <w:bCs w:val="0"/>
              </w:rPr>
              <w:t xml:space="preserve"> </w:t>
            </w:r>
          </w:p>
        </w:tc>
        <w:tc>
          <w:tcPr>
            <w:tcW w:w="1860" w:type="dxa"/>
          </w:tcPr>
          <w:p w14:paraId="6334EFBB"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Retrospective case-control</w:t>
            </w:r>
          </w:p>
        </w:tc>
        <w:tc>
          <w:tcPr>
            <w:tcW w:w="2003" w:type="dxa"/>
          </w:tcPr>
          <w:p w14:paraId="00DDCB47"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31 patients who underwent mandibular reconstruction with microvascular free fibular flap</w:t>
            </w:r>
          </w:p>
        </w:tc>
        <w:tc>
          <w:tcPr>
            <w:tcW w:w="2733" w:type="dxa"/>
          </w:tcPr>
          <w:p w14:paraId="57CC1D50"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 xml:space="preserve">A complete VSP program which included a virtual planning session and the production of VSP </w:t>
            </w:r>
            <w:proofErr w:type="spellStart"/>
            <w:r w:rsidRPr="005F62F4">
              <w:t>ProPlan</w:t>
            </w:r>
            <w:proofErr w:type="spellEnd"/>
            <w:r w:rsidRPr="005F62F4">
              <w:t xml:space="preserve"> cutting guides.</w:t>
            </w:r>
          </w:p>
          <w:p w14:paraId="4C8D5A95"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n = 13</w:t>
            </w:r>
          </w:p>
        </w:tc>
        <w:tc>
          <w:tcPr>
            <w:tcW w:w="1981" w:type="dxa"/>
          </w:tcPr>
          <w:p w14:paraId="65D8E73C"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 xml:space="preserve">Individual planning method with stereolithographic models (3D printed using </w:t>
            </w:r>
            <w:proofErr w:type="spellStart"/>
            <w:r w:rsidRPr="005F62F4">
              <w:t>Projet</w:t>
            </w:r>
            <w:proofErr w:type="spellEnd"/>
            <w:r w:rsidRPr="005F62F4">
              <w:t xml:space="preserve"> 160), and hand-made cutting guides and drilling templates fabricated in-house.</w:t>
            </w:r>
          </w:p>
          <w:p w14:paraId="4D2BD238"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n = 18</w:t>
            </w:r>
          </w:p>
        </w:tc>
        <w:tc>
          <w:tcPr>
            <w:tcW w:w="4527" w:type="dxa"/>
          </w:tcPr>
          <w:p w14:paraId="252C9DFD"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 xml:space="preserve">Between the two groups, there were no significant differences in terms of the intraoperative time, duration of hospitalisation or postoperative complications. It was concluded that operative efficiency and </w:t>
            </w:r>
            <w:r w:rsidRPr="005F62F4">
              <w:rPr>
                <w:lang w:val="en-GB"/>
              </w:rPr>
              <w:t xml:space="preserve">surgical outcomes were comparable between the individual planning method and the VSP method (which included </w:t>
            </w:r>
            <w:proofErr w:type="spellStart"/>
            <w:r w:rsidRPr="005F62F4">
              <w:rPr>
                <w:lang w:val="en-GB"/>
              </w:rPr>
              <w:t>ProPlan</w:t>
            </w:r>
            <w:proofErr w:type="spellEnd"/>
            <w:r w:rsidRPr="005F62F4">
              <w:rPr>
                <w:lang w:val="en-GB"/>
              </w:rPr>
              <w:t xml:space="preserve"> cutting guides), </w:t>
            </w:r>
            <w:r w:rsidRPr="005F62F4">
              <w:t xml:space="preserve">and that the former was more cost-effective. </w:t>
            </w:r>
          </w:p>
        </w:tc>
      </w:tr>
      <w:tr w:rsidR="001009B1" w:rsidRPr="005F62F4" w14:paraId="27738161"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7" w:type="dxa"/>
          </w:tcPr>
          <w:p w14:paraId="46718AF6" w14:textId="77777777" w:rsidR="001009B1" w:rsidRPr="005F62F4" w:rsidRDefault="001009B1">
            <w:pPr>
              <w:pStyle w:val="Para"/>
            </w:pPr>
            <w:r w:rsidRPr="005F62F4">
              <w:lastRenderedPageBreak/>
              <w:fldChar w:fldCharType="begin" w:fldLock="1"/>
            </w:r>
            <w:r w:rsidRPr="005F62F4">
              <w:instrText>ADDIN CSL_CITATION {"citationItems":[{"id":"ITEM-1","itemData":{"DOI":"10.1097/PRS.0b013e3182a3c0b1","ISSN":"00321052","PMID":"23924648","abstract":"BACKGROUND:: There has been rising interest in computer-aided design/computer-aided manufacturing for preoperative planning and execution of osseous free flap reconstruction. The purpose of this study was to compare outcomes between computer-assisted and conventional fibula free flap techniques for craniofacial reconstruction. METHODS:: A two-center, retrospective review was carried out on patients who underwent fibula free flap surgery for craniofacial reconstruction from 2003 to 2012. Patients were categorized by the type of reconstructive technique: conventional (between 2003 and 2009) or computer-aided design/computer-aided manufacturing (from 2010 to 2012). Demographics, surgical factors, and perioperative and long-term outcomes were compared. RESULTS:: A total of 68 patients underwent microsurgical craniofacial reconstruction: 58 conventional and 10 computer-aided design and manufacturing fibula free flaps. By demographics, patients undergoing the computer-aided design/computer-aided manufacturing method were significantly older and had a higher rate of radiotherapy exposure compared with conventional patients. Intraoperatively, the median number of osteotomies was significantly higher (2.0 versus 1.0, p = 0.002) and the median ischemia time was significantly shorter (120 minutes versus 170 minutes, p = 0.004) for the computer-aided design/computer-aided manufacturing technique compared with conventional techniques; operative times were shorter for patients undergoing the computer-aided design/computer-aided manufacturing technique, although this did not reach statistical significance. Perioperative and long-term outcomes were equivalent for the two groups, notably, hospital length of stay, recipient-site infection, partial and total flap loss, and rate of soft-tissue and bony tissue revisions. CONCLUSION:: Microsurgical craniofacial reconstruction using a computer-assisted fibula flap technique yielded significantly shorter ischemia times amidst a higher number of osteotomies compared with conventional techniques.","author":[{"dropping-particle":"","family":"Seruya","given":"Mitchel","non-dropping-particle":"","parse-names":false,"suffix":""},{"dropping-particle":"","family":"Fisher","given":"Mark","non-dropping-particle":"","parse-names":false,"suffix":""},{"dropping-particle":"","family":"Rodriguez","given":"Eduardo D.","non-dropping-particle":"","parse-names":false,"suffix":""}],"container-title":"Plastic and Reconstructive Surgery","id":"ITEM-1","issue":"5","issued":{"date-parts":[["2013"]]},"page":"1219-1228","title":"Computer-assisted versus conventional free fibula flap technique for craniofacial reconstruction: An outcomes comparison","type":"article-journal","volume":"132"},"uris":["http://www.mendeley.com/documents/?uuid=b3ef83ec-730e-4a08-b0c3-74c6caa360d9"]}],"mendeley":{"formattedCitation":"(Seruya et al. 2013)","manualFormatting":"Seruya et al. (2013)","plainTextFormattedCitation":"(Seruya et al. 2013)","previouslyFormattedCitation":"(Seruya et al. 2013)"},"properties":{"noteIndex":0},"schema":"https://github.com/citation-style-language/schema/raw/master/csl-citation.json"}</w:instrText>
            </w:r>
            <w:r w:rsidRPr="005F62F4">
              <w:fldChar w:fldCharType="separate"/>
            </w:r>
            <w:r w:rsidRPr="005F62F4">
              <w:rPr>
                <w:noProof/>
              </w:rPr>
              <w:t>Seruya et al. (2013)</w:t>
            </w:r>
            <w:r w:rsidRPr="005F62F4">
              <w:fldChar w:fldCharType="end"/>
            </w:r>
          </w:p>
        </w:tc>
        <w:tc>
          <w:tcPr>
            <w:tcW w:w="1860" w:type="dxa"/>
          </w:tcPr>
          <w:p w14:paraId="0CECC787"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Retrospective case-control</w:t>
            </w:r>
          </w:p>
        </w:tc>
        <w:tc>
          <w:tcPr>
            <w:tcW w:w="2003" w:type="dxa"/>
          </w:tcPr>
          <w:p w14:paraId="72AF3672"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68 patients who had undergone fibula free flap surgery for craniofacial reconstruction</w:t>
            </w:r>
          </w:p>
        </w:tc>
        <w:tc>
          <w:tcPr>
            <w:tcW w:w="2733" w:type="dxa"/>
          </w:tcPr>
          <w:p w14:paraId="46C89A4A" w14:textId="73E7C8CA"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rPr>
                <w:lang w:val="en-GB"/>
              </w:rPr>
              <w:t xml:space="preserve">Computer-aided surgical technique which included virtual surgical planning using </w:t>
            </w:r>
            <w:proofErr w:type="spellStart"/>
            <w:r w:rsidRPr="005F62F4">
              <w:rPr>
                <w:lang w:val="en-GB"/>
              </w:rPr>
              <w:t>ProPlan</w:t>
            </w:r>
            <w:proofErr w:type="spellEnd"/>
            <w:r w:rsidRPr="005F62F4">
              <w:rPr>
                <w:lang w:val="en-GB"/>
              </w:rPr>
              <w:t xml:space="preserve"> CMF, the fabrication of cutting guides and production of a </w:t>
            </w:r>
            <w:proofErr w:type="spellStart"/>
            <w:r w:rsidRPr="005F62F4">
              <w:rPr>
                <w:lang w:val="en-GB"/>
              </w:rPr>
              <w:t>biomodel</w:t>
            </w:r>
            <w:proofErr w:type="spellEnd"/>
            <w:r w:rsidRPr="005F62F4">
              <w:rPr>
                <w:lang w:val="en-GB"/>
              </w:rPr>
              <w:t xml:space="preserve"> which was used to prebend plates </w:t>
            </w:r>
            <w:r w:rsidRPr="005F62F4">
              <w:t xml:space="preserve">and as an intraoperative reference for frontal bone or maxillary reconstruction. For mandibular </w:t>
            </w:r>
            <w:r w:rsidRPr="005F62F4">
              <w:rPr>
                <w:lang w:val="en-GB"/>
              </w:rPr>
              <w:t xml:space="preserve">reconstructions, a pre-bent titanium plate </w:t>
            </w:r>
            <w:r w:rsidRPr="005F62F4">
              <w:t>was produced.</w:t>
            </w:r>
          </w:p>
          <w:p w14:paraId="18D3F1DC"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rPr>
                <w:lang w:val="en-GB"/>
              </w:rPr>
            </w:pPr>
            <w:r w:rsidRPr="005F62F4">
              <w:rPr>
                <w:lang w:val="en-GB"/>
              </w:rPr>
              <w:t>n = 10</w:t>
            </w:r>
          </w:p>
        </w:tc>
        <w:tc>
          <w:tcPr>
            <w:tcW w:w="1981" w:type="dxa"/>
          </w:tcPr>
          <w:p w14:paraId="15F24AC2"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 xml:space="preserve">Conventional reconstructive surgical technique which was based on a process for mandibular reconstruction which does not use surgical guides and </w:t>
            </w:r>
            <w:proofErr w:type="spellStart"/>
            <w:r w:rsidRPr="005F62F4">
              <w:t>biomodels</w:t>
            </w:r>
            <w:proofErr w:type="spellEnd"/>
            <w:r w:rsidRPr="005F62F4">
              <w:t xml:space="preserve"> and includes the use of miniplates for fixation.</w:t>
            </w:r>
          </w:p>
          <w:p w14:paraId="0B2AB30C"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n = 58</w:t>
            </w:r>
          </w:p>
        </w:tc>
        <w:tc>
          <w:tcPr>
            <w:tcW w:w="4527" w:type="dxa"/>
          </w:tcPr>
          <w:p w14:paraId="00237A2D"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 xml:space="preserve">The </w:t>
            </w:r>
            <w:proofErr w:type="spellStart"/>
            <w:r w:rsidRPr="005F62F4">
              <w:t>ischaemia</w:t>
            </w:r>
            <w:proofErr w:type="spellEnd"/>
            <w:r w:rsidRPr="005F62F4">
              <w:t xml:space="preserve"> time for the computer-aided surgical technique was significantly shorter compared to the conventional method.</w:t>
            </w:r>
          </w:p>
          <w:p w14:paraId="6C12C745"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Perioperative and long-term outcomes were comparable between computer-aided and conventional surgical techniques.</w:t>
            </w:r>
          </w:p>
        </w:tc>
      </w:tr>
      <w:tr w:rsidR="001009B1" w:rsidRPr="005F62F4" w14:paraId="4093AE7A" w14:textId="77777777">
        <w:tc>
          <w:tcPr>
            <w:cnfStyle w:val="001000000000" w:firstRow="0" w:lastRow="0" w:firstColumn="1" w:lastColumn="0" w:oddVBand="0" w:evenVBand="0" w:oddHBand="0" w:evenHBand="0" w:firstRowFirstColumn="0" w:firstRowLastColumn="0" w:lastRowFirstColumn="0" w:lastRowLastColumn="0"/>
            <w:tcW w:w="1497" w:type="dxa"/>
          </w:tcPr>
          <w:p w14:paraId="153729E7" w14:textId="77777777" w:rsidR="001009B1" w:rsidRPr="005F62F4" w:rsidRDefault="001009B1">
            <w:pPr>
              <w:pStyle w:val="Para"/>
            </w:pPr>
            <w:r w:rsidRPr="005F62F4">
              <w:lastRenderedPageBreak/>
              <w:fldChar w:fldCharType="begin" w:fldLock="1"/>
            </w:r>
            <w:r w:rsidRPr="005F62F4">
              <w:instrText>ADDIN CSL_CITATION {"citationItems":[{"id":"ITEM-1","itemData":{"DOI":"10.1016/j.jor.2019.11.040","ISSN":"0972978X","abstract":"Objective: Patient-specific templates promises to be able to increase alignment while decreasing operative time, increasing patient throughput, decreasing instrumentation, reducing risk of fat embolism and intraoperative bleeding, decreasing tissue loss, shortening recovery, reducing post-operative pain and decreasing incidence of infection. However, multiple studies have shown conflicting results regarding these potential benefits. This study serves to critically evaluate the potential advantages and disadvantages of using a patient-specific templating technique through a single-surgeon study. Methods: All patients who underwent primary total knee arthroplasty (TKA) for osteoarthritis of the knee using TruMatch® Personal Solutions total knee replacement by a single surgeon were identified. An age-, gender-, side-, diagnosis- and surgeon-matched cohort who underwent conventional primary TKAs was randomly identified for comparison. Results: The average distal medial femur (p &lt; 0.001), distal lateral femur (p &lt; 0.001), posteromedial femur (p &lt; 0.001), posterolateral femur (p &lt; 0.001), medial tibial (p &lt; 0.001) and lateral tibial (p = 0.12) predicted cuts showed significant difference from the actual corresponding cuts. Three knees also required the need to freehand. There was no significant difference in mechanical (p = 0.96) and anatomical alignments (p = 0.26), as well as the changes in mechanical (p = 0.06) and anatomical (p = 0.39) alignments between the two groups. Duration of surgery (p = 0.26), length of inpatient stay (p = 0.06) and incidence of wound infection (p = 1.00) were similar. Additionally, patients in the TruMatch® Personal Solutions group had a greater decrease drop in hemoglobin levels (p = 0.02), with five transfusions needed while only one patient in the conventional group required transfusion (p = 0.09). Conclusion: Our early experience and results with the CT-based TruMatch® Personal Solutions templates for TKA has not been promising. Despite promised, there were no demonstrable benefits with the technology. Moreover, the disadvantage of having increased blood loss was identified. Further studies are required to recommend the use of this technology.","author":[{"dropping-particle":"","family":"Silva","given":"Amila N.","non-dropping-particle":"","parse-names":false,"suffix":""},{"dropping-particle":"","family":"Tay","given":"You Wei Adriel","non-dropping-particle":"","parse-names":false,"suffix":""},{"dropping-particle":"","family":"Si Heng","given":"Sharon Tan","non-dropping-particle":"","parse-names":false,"suffix":""},{"dropping-particle":"","family":"Foo","given":"Siang Shen Leon","non-dropping-particle":"","parse-names":false,"suffix":""},{"dropping-particle":"","family":"Pang","given":"Hee Nee","non-dropping-particle":"","parse-names":false,"suffix":""},{"dropping-particle":"","family":"Keng Jin","given":"Darren Tay","non-dropping-particle":"","parse-names":false,"suffix":""},{"dropping-particle":"","family":"Lo","given":"Ngai Nung","non-dropping-particle":"","parse-names":false,"suffix":""},{"dropping-particle":"","family":"Yeo","given":"Seng Jin","non-dropping-particle":"","parse-names":false,"suffix":""}],"container-title":"Journal of Orthopaedics","id":"ITEM-1","issue":"November 2019","issued":{"date-parts":[["2020"]]},"page":"17-20","publisher":"Elsevier","title":"CT-based TruMatch® Personal Solutions for knee replacement surgery…Does it really match?","type":"article-journal","volume":"19"},"uris":["http://www.mendeley.com/documents/?uuid=ba9bd76c-cccf-4d86-81f0-0f8aaa8826ff"]}],"mendeley":{"formattedCitation":"(Silva et al. 2020)","manualFormatting":"Silva et al. (2020)","plainTextFormattedCitation":"(Silva et al. 2020)","previouslyFormattedCitation":"(Silva et al. 2020)"},"properties":{"noteIndex":0},"schema":"https://github.com/citation-style-language/schema/raw/master/csl-citation.json"}</w:instrText>
            </w:r>
            <w:r w:rsidRPr="005F62F4">
              <w:fldChar w:fldCharType="separate"/>
            </w:r>
            <w:r w:rsidRPr="005F62F4">
              <w:rPr>
                <w:noProof/>
              </w:rPr>
              <w:t>Silva et al. (2020)</w:t>
            </w:r>
            <w:r w:rsidRPr="005F62F4">
              <w:fldChar w:fldCharType="end"/>
            </w:r>
          </w:p>
        </w:tc>
        <w:tc>
          <w:tcPr>
            <w:tcW w:w="1860" w:type="dxa"/>
          </w:tcPr>
          <w:p w14:paraId="004F3739"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Prospective case-control</w:t>
            </w:r>
          </w:p>
        </w:tc>
        <w:tc>
          <w:tcPr>
            <w:tcW w:w="2003" w:type="dxa"/>
          </w:tcPr>
          <w:p w14:paraId="7A0630F0"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88 patients undergoing primary total knee arthroplasty for osteoarthritis of the knee</w:t>
            </w:r>
          </w:p>
        </w:tc>
        <w:tc>
          <w:tcPr>
            <w:tcW w:w="2733" w:type="dxa"/>
          </w:tcPr>
          <w:p w14:paraId="5A905FF9"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 xml:space="preserve">Primary total knee arthroplasty for osteoarthritis of the knee using </w:t>
            </w:r>
            <w:proofErr w:type="spellStart"/>
            <w:r w:rsidRPr="005F62F4">
              <w:t>ProPlan</w:t>
            </w:r>
            <w:proofErr w:type="spellEnd"/>
            <w:r w:rsidRPr="005F62F4">
              <w:t xml:space="preserve"> Personal Solutions total knee replacement surgery which involved a 3D digital model of the knee and the fabrication of patient-specific templates which had cutting guides embedded.</w:t>
            </w:r>
          </w:p>
          <w:p w14:paraId="6FBEB430"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n = 44</w:t>
            </w:r>
          </w:p>
        </w:tc>
        <w:tc>
          <w:tcPr>
            <w:tcW w:w="1981" w:type="dxa"/>
          </w:tcPr>
          <w:p w14:paraId="02138263" w14:textId="1E0EF42E"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Conventional primary total knee arthroplasty surgery</w:t>
            </w:r>
          </w:p>
          <w:p w14:paraId="417DC7A3"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n = 44</w:t>
            </w:r>
          </w:p>
        </w:tc>
        <w:tc>
          <w:tcPr>
            <w:tcW w:w="4527" w:type="dxa"/>
          </w:tcPr>
          <w:p w14:paraId="1160907C"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 xml:space="preserve">The authors found no difference in the operative time, recovery time, alignment and incidence of infection with the use of patient-specific instrumentation for total knee arthroplasty surgery. Furthermore, they found that there was a significantly greater decrease in haemoglobin in the intervention group. While more of these </w:t>
            </w:r>
            <w:r w:rsidRPr="005F62F4">
              <w:rPr>
                <w:lang w:val="en-GB"/>
              </w:rPr>
              <w:t xml:space="preserve">patients </w:t>
            </w:r>
            <w:r w:rsidRPr="005F62F4">
              <w:t>required transfusions, the difference was not statistically significant.</w:t>
            </w:r>
          </w:p>
        </w:tc>
      </w:tr>
      <w:tr w:rsidR="001009B1" w:rsidRPr="005F62F4" w14:paraId="7B168E45"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7" w:type="dxa"/>
          </w:tcPr>
          <w:p w14:paraId="7C995875" w14:textId="77777777" w:rsidR="001009B1" w:rsidRPr="005F62F4" w:rsidRDefault="001009B1">
            <w:pPr>
              <w:pStyle w:val="Para"/>
            </w:pPr>
            <w:r w:rsidRPr="005F62F4">
              <w:lastRenderedPageBreak/>
              <w:t>Wang, Fan, et al. (2016)</w:t>
            </w:r>
          </w:p>
        </w:tc>
        <w:tc>
          <w:tcPr>
            <w:tcW w:w="1860" w:type="dxa"/>
          </w:tcPr>
          <w:p w14:paraId="21E36E0D"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Retrospective case-control</w:t>
            </w:r>
          </w:p>
        </w:tc>
        <w:tc>
          <w:tcPr>
            <w:tcW w:w="2003" w:type="dxa"/>
          </w:tcPr>
          <w:p w14:paraId="2D01B1C7"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33 patients undergoing maxillary reconstruction surgery</w:t>
            </w:r>
          </w:p>
        </w:tc>
        <w:tc>
          <w:tcPr>
            <w:tcW w:w="2733" w:type="dxa"/>
          </w:tcPr>
          <w:p w14:paraId="350DFCF4" w14:textId="3EBA59DC"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 xml:space="preserve">Surgery assisted by virtual surgical planning using </w:t>
            </w:r>
            <w:proofErr w:type="spellStart"/>
            <w:r w:rsidRPr="005F62F4">
              <w:t>ProPlan</w:t>
            </w:r>
            <w:proofErr w:type="spellEnd"/>
            <w:r w:rsidRPr="005F62F4">
              <w:t xml:space="preserve"> CMF software (including the production of reconstruction models, osteotomy guides and reconstruction templates. Prefabricated cutting guides and titanium miniplates which were pre-bent on the reconstruction model were used during surgery).</w:t>
            </w:r>
          </w:p>
          <w:p w14:paraId="74ADF86D"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n = 18</w:t>
            </w:r>
          </w:p>
        </w:tc>
        <w:tc>
          <w:tcPr>
            <w:tcW w:w="1981" w:type="dxa"/>
          </w:tcPr>
          <w:p w14:paraId="51205AFE"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Conventional surgery based on the surgeon’s experience.</w:t>
            </w:r>
          </w:p>
          <w:p w14:paraId="614FA39B"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n = 15</w:t>
            </w:r>
          </w:p>
        </w:tc>
        <w:tc>
          <w:tcPr>
            <w:tcW w:w="4527" w:type="dxa"/>
          </w:tcPr>
          <w:p w14:paraId="47444946" w14:textId="50611F4F"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rPr>
                <w:lang w:val="en-GB"/>
              </w:rPr>
              <w:t xml:space="preserve">Virtual surgical planning through </w:t>
            </w:r>
            <w:proofErr w:type="spellStart"/>
            <w:r w:rsidRPr="005F62F4">
              <w:rPr>
                <w:lang w:val="en-GB"/>
              </w:rPr>
              <w:t>ProPlan</w:t>
            </w:r>
            <w:proofErr w:type="spellEnd"/>
            <w:r w:rsidRPr="005F62F4">
              <w:rPr>
                <w:lang w:val="en-GB"/>
              </w:rPr>
              <w:t xml:space="preserve"> showed improved results in terms of ischaemia time, total operative time, </w:t>
            </w:r>
            <w:proofErr w:type="gramStart"/>
            <w:r w:rsidRPr="005F62F4">
              <w:t>precision</w:t>
            </w:r>
            <w:proofErr w:type="gramEnd"/>
            <w:r w:rsidRPr="005F62F4">
              <w:t xml:space="preserve"> and facial appearance, when compared to conventional surgery.</w:t>
            </w:r>
          </w:p>
          <w:p w14:paraId="21BBE5B6"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There were comparable results in terms of intelligible speech or consuming a regular diet postoperatively between groups.</w:t>
            </w:r>
          </w:p>
          <w:p w14:paraId="40684472"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 xml:space="preserve">It was concluded that the use of prefabricated cutting guides and plates helps fibular flap moulding and placement and supports maxillary reconstruction with improved accuracy. </w:t>
            </w:r>
          </w:p>
        </w:tc>
      </w:tr>
      <w:tr w:rsidR="001009B1" w:rsidRPr="005F62F4" w14:paraId="6FB7D9EB" w14:textId="77777777">
        <w:tc>
          <w:tcPr>
            <w:cnfStyle w:val="001000000000" w:firstRow="0" w:lastRow="0" w:firstColumn="1" w:lastColumn="0" w:oddVBand="0" w:evenVBand="0" w:oddHBand="0" w:evenHBand="0" w:firstRowFirstColumn="0" w:firstRowLastColumn="0" w:lastRowFirstColumn="0" w:lastRowLastColumn="0"/>
            <w:tcW w:w="1497" w:type="dxa"/>
          </w:tcPr>
          <w:p w14:paraId="2B5CEA7F" w14:textId="77777777" w:rsidR="001009B1" w:rsidRPr="005F62F4" w:rsidRDefault="001009B1">
            <w:pPr>
              <w:pStyle w:val="Para"/>
            </w:pPr>
            <w:r w:rsidRPr="005F62F4">
              <w:lastRenderedPageBreak/>
              <w:t>Wang, Zhang, et al. (2016)</w:t>
            </w:r>
            <w:r w:rsidRPr="005F62F4" w:rsidDel="00D603EC">
              <w:t xml:space="preserve"> </w:t>
            </w:r>
          </w:p>
        </w:tc>
        <w:tc>
          <w:tcPr>
            <w:tcW w:w="1860" w:type="dxa"/>
          </w:tcPr>
          <w:p w14:paraId="269CE6AD"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Prospective case-control</w:t>
            </w:r>
          </w:p>
        </w:tc>
        <w:tc>
          <w:tcPr>
            <w:tcW w:w="2003" w:type="dxa"/>
          </w:tcPr>
          <w:p w14:paraId="6C4A3AD6"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56 patients undergoing mandibular reconstruction</w:t>
            </w:r>
          </w:p>
        </w:tc>
        <w:tc>
          <w:tcPr>
            <w:tcW w:w="2733" w:type="dxa"/>
          </w:tcPr>
          <w:p w14:paraId="76C00239" w14:textId="738644AE"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 xml:space="preserve">Surgery assisted by virtual surgical planning using </w:t>
            </w:r>
            <w:proofErr w:type="spellStart"/>
            <w:r w:rsidRPr="005F62F4">
              <w:t>ProPlan</w:t>
            </w:r>
            <w:proofErr w:type="spellEnd"/>
            <w:r w:rsidRPr="005F62F4">
              <w:t xml:space="preserve"> CMF software including the creation of 3D virtual models from CT scan data, the production of </w:t>
            </w:r>
            <w:proofErr w:type="spellStart"/>
            <w:r w:rsidRPr="005F62F4">
              <w:t>stereomodels</w:t>
            </w:r>
            <w:proofErr w:type="spellEnd"/>
            <w:r w:rsidRPr="005F62F4">
              <w:t xml:space="preserve"> comprising of a reconstruction model, osteotomy guide and reconstruction template and the use of prefabricated guides during surgery. Titanium plates were also </w:t>
            </w:r>
            <w:r w:rsidR="00497A01" w:rsidRPr="005F62F4">
              <w:t>used,</w:t>
            </w:r>
            <w:r w:rsidRPr="005F62F4">
              <w:t xml:space="preserve"> and these were pre-bent using the reconstruction model and the aid of a laser.</w:t>
            </w:r>
          </w:p>
          <w:p w14:paraId="3F2246DC"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n = 21</w:t>
            </w:r>
          </w:p>
        </w:tc>
        <w:tc>
          <w:tcPr>
            <w:tcW w:w="1981" w:type="dxa"/>
          </w:tcPr>
          <w:p w14:paraId="21052D08"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Conventional surgery based on the surgeon’s experience.</w:t>
            </w:r>
          </w:p>
          <w:p w14:paraId="5E9D4DD7"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n = 35</w:t>
            </w:r>
          </w:p>
        </w:tc>
        <w:tc>
          <w:tcPr>
            <w:tcW w:w="4527" w:type="dxa"/>
          </w:tcPr>
          <w:p w14:paraId="53C02B50"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 xml:space="preserve">Virtual surgical planning using </w:t>
            </w:r>
            <w:proofErr w:type="spellStart"/>
            <w:r w:rsidRPr="005F62F4">
              <w:t>ProPlan</w:t>
            </w:r>
            <w:proofErr w:type="spellEnd"/>
            <w:r w:rsidRPr="005F62F4">
              <w:t xml:space="preserve"> CMF showed improved clinical outcomes in terms of </w:t>
            </w:r>
            <w:r w:rsidRPr="005F62F4">
              <w:rPr>
                <w:lang w:val="en-GB"/>
              </w:rPr>
              <w:t xml:space="preserve">shorter ischaemia time and total operative time, </w:t>
            </w:r>
            <w:r w:rsidRPr="005F62F4">
              <w:t>higher precision and good facial appearance when compared to the conventional surgical group.</w:t>
            </w:r>
          </w:p>
          <w:p w14:paraId="0E4A7FB8"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There were comparable results between groups in terms of regular diet and intelligible speech postoperatively.</w:t>
            </w:r>
          </w:p>
          <w:p w14:paraId="5B127FA6"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It was concluded that the use of prefabricated cutting guides and plates facilitates easier fibular flap moulding and placement, reduces operative time and enhances clinical outcomes.</w:t>
            </w:r>
          </w:p>
        </w:tc>
      </w:tr>
      <w:tr w:rsidR="001009B1" w:rsidRPr="005F62F4" w14:paraId="3FD35D7F"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7" w:type="dxa"/>
          </w:tcPr>
          <w:p w14:paraId="7B300BAC" w14:textId="77777777" w:rsidR="001009B1" w:rsidRPr="005F62F4" w:rsidRDefault="001009B1">
            <w:pPr>
              <w:pStyle w:val="Para"/>
            </w:pPr>
            <w:r w:rsidRPr="005F62F4">
              <w:lastRenderedPageBreak/>
              <w:fldChar w:fldCharType="begin" w:fldLock="1"/>
            </w:r>
            <w:r w:rsidRPr="005F62F4">
              <w:instrText>ADDIN CSL_CITATION {"citationItems":[{"id":"ITEM-1","itemData":{"DOI":"10.1016/j.bjoms.2016.01.029","ISSN":"15321940","PMID":"26898519","abstract":"Mandibular reconstruction with a fibular free flap has become standard in specialised centres for head and neck reconstruction, particularly for defects with more than one osteotomy that are challenging even for experienced surgeons. Virtual surgical planning is a potential tool to facilitate harvesting of the fibula and the osteostomy. The purpose of this study was to compare the two methods of mandibular reconstruction - conventionally planned (conventional group) and \"virtually\" planned (virtual group) - with regard to accuracy, bony consolidation, complications, and operating time. Fifty patients who required mandibular reconstruction after segmental mandibulectomy were evaluated retrospectively, 24 virtually planned and 26 conventionally planned. The overall survival of flaps was 92% (46/50). The bony consolidation rate in the virtual group was significantly better than that in the conventional group (p=0.002). The difference between the angle of the mandible before and after was highly significant with a median of 11.5° (range 2°-75°) in the conventional group and 4.5° (range 0-18°) in the virtual group (p=0.0001). Operations were mean (SD) of 34 (21.2) minutes shorter in virtually-planned cases (p=0.12). The overall morbidity did not differ significantly between the groups. The use of virtual surgical planning in mandibular reconstruction by fibular free flap is beneficial for optimising accuracy, consolidation of bony segments, and operating time, while increasing the predictability of results for the surgeon. However, additional costs have to be carefully weighed against the benefits.","author":[{"dropping-particle":"","family":"Weitz","given":"J.","non-dropping-particle":"","parse-names":false,"suffix":""},{"dropping-particle":"","family":"Bauer","given":"F. J.M.","non-dropping-particle":"","parse-names":false,"suffix":""},{"dropping-particle":"","family":"Hapfelmeier","given":"A.","non-dropping-particle":"","parse-names":false,"suffix":""},{"dropping-particle":"","family":"Rohleder","given":"N. H.","non-dropping-particle":"","parse-names":false,"suffix":""},{"dropping-particle":"","family":"Wolff","given":"K. D.","non-dropping-particle":"","parse-names":false,"suffix":""},{"dropping-particle":"","family":"Kesting","given":"M. R.","non-dropping-particle":"","parse-names":false,"suffix":""}],"container-title":"British Journal of Oral and Maxillofacial Surgery","id":"ITEM-1","issue":"5","issued":{"date-parts":[["2016"]]},"page":"506-510","publisher":"British Association of Oral and Maxillofacial Surgeons","title":"Accuracy of mandibular reconstruction by three-dimensional guided vascularised fibular free flap after segmental mandibulectomy","type":"article-journal","volume":"54"},"uris":["http://www.mendeley.com/documents/?uuid=792c5cc4-cb2b-4134-af74-11dfb970df01"]}],"mendeley":{"formattedCitation":"(Weitz et al. 2016)","manualFormatting":"Weitz et al. (2016)","plainTextFormattedCitation":"(Weitz et al. 2016)","previouslyFormattedCitation":"(Weitz et al. 2016)"},"properties":{"noteIndex":0},"schema":"https://github.com/citation-style-language/schema/raw/master/csl-citation.json"}</w:instrText>
            </w:r>
            <w:r w:rsidRPr="005F62F4">
              <w:fldChar w:fldCharType="separate"/>
            </w:r>
            <w:r w:rsidRPr="005F62F4">
              <w:rPr>
                <w:noProof/>
              </w:rPr>
              <w:t>Weitz et al. (2016)</w:t>
            </w:r>
            <w:r w:rsidRPr="005F62F4">
              <w:fldChar w:fldCharType="end"/>
            </w:r>
          </w:p>
        </w:tc>
        <w:tc>
          <w:tcPr>
            <w:tcW w:w="1860" w:type="dxa"/>
          </w:tcPr>
          <w:p w14:paraId="7D3CB6B3"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rPr>
                <w:lang w:val="en-GB"/>
              </w:rPr>
              <w:t>Retrospective case-control</w:t>
            </w:r>
          </w:p>
        </w:tc>
        <w:tc>
          <w:tcPr>
            <w:tcW w:w="2003" w:type="dxa"/>
          </w:tcPr>
          <w:p w14:paraId="1D39DC8D"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50 patients who had undergone mandibular reconstruction after segmental mandibulectomy</w:t>
            </w:r>
          </w:p>
        </w:tc>
        <w:tc>
          <w:tcPr>
            <w:tcW w:w="2733" w:type="dxa"/>
          </w:tcPr>
          <w:p w14:paraId="4FCED9E0"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 xml:space="preserve">Surgery which was virtually planned </w:t>
            </w:r>
            <w:proofErr w:type="gramStart"/>
            <w:r w:rsidRPr="005F62F4">
              <w:t>using</w:t>
            </w:r>
            <w:proofErr w:type="gramEnd"/>
            <w:r w:rsidRPr="005F62F4">
              <w:t xml:space="preserve"> </w:t>
            </w:r>
            <w:proofErr w:type="spellStart"/>
            <w:r w:rsidRPr="005F62F4">
              <w:t>ProPlan</w:t>
            </w:r>
            <w:proofErr w:type="spellEnd"/>
            <w:r w:rsidRPr="005F62F4">
              <w:t xml:space="preserve"> CMF software and which included the production of cutting guides and reconstruction guides for the mandible and fibula.</w:t>
            </w:r>
          </w:p>
          <w:p w14:paraId="4D89393F"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n = 24</w:t>
            </w:r>
          </w:p>
        </w:tc>
        <w:tc>
          <w:tcPr>
            <w:tcW w:w="1981" w:type="dxa"/>
          </w:tcPr>
          <w:p w14:paraId="2465FBAE"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 xml:space="preserve">Conventionally planned surgery, </w:t>
            </w:r>
            <w:proofErr w:type="gramStart"/>
            <w:r w:rsidRPr="005F62F4">
              <w:t>i.e.</w:t>
            </w:r>
            <w:proofErr w:type="gramEnd"/>
            <w:r w:rsidRPr="005F62F4">
              <w:t xml:space="preserve"> freehand surgery performed without cutting guides or any other appliances.</w:t>
            </w:r>
          </w:p>
          <w:p w14:paraId="77751B39"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n = 26</w:t>
            </w:r>
          </w:p>
        </w:tc>
        <w:tc>
          <w:tcPr>
            <w:tcW w:w="4527" w:type="dxa"/>
          </w:tcPr>
          <w:p w14:paraId="62A251D1"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The bony consolidation rate was significantly better for virtual group when compared to the conventional group. The differences between the preoperative and postoperative angle of the mandible (a measure which can impact on the aesthetic outcomes of the lower and side face) was significantly smaller for the virtual group. Overall, there were no significant differences in complications between the two groups.</w:t>
            </w:r>
          </w:p>
          <w:p w14:paraId="08299F5D"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The authors concluded that virtual surgical planning (which included the use of cutting and reconstruction guides) is beneficial for improving accuracy, consolidation of bony segments and operating time. It also enhances the predictability of results for the clinician.</w:t>
            </w:r>
          </w:p>
        </w:tc>
      </w:tr>
      <w:tr w:rsidR="001009B1" w:rsidRPr="005F62F4" w14:paraId="56F43CE5" w14:textId="77777777">
        <w:tc>
          <w:tcPr>
            <w:cnfStyle w:val="001000000000" w:firstRow="0" w:lastRow="0" w:firstColumn="1" w:lastColumn="0" w:oddVBand="0" w:evenVBand="0" w:oddHBand="0" w:evenHBand="0" w:firstRowFirstColumn="0" w:firstRowLastColumn="0" w:lastRowFirstColumn="0" w:lastRowLastColumn="0"/>
            <w:tcW w:w="1497" w:type="dxa"/>
          </w:tcPr>
          <w:p w14:paraId="2AB69925" w14:textId="77777777" w:rsidR="001009B1" w:rsidRPr="005F62F4" w:rsidRDefault="001009B1">
            <w:pPr>
              <w:pStyle w:val="Para"/>
            </w:pPr>
            <w:r w:rsidRPr="005F62F4">
              <w:lastRenderedPageBreak/>
              <w:fldChar w:fldCharType="begin" w:fldLock="1"/>
            </w:r>
            <w:r w:rsidRPr="005F62F4">
              <w:instrText>ADDIN CSL_CITATION {"citationItems":[{"id":"ITEM-1","itemData":{"author":[{"dropping-particle":"","family":"Zhang","given":"WB","non-dropping-particle":"","parse-names":false,"suffix":""},{"dropping-particle":"","family":"Wang","given":"Y","non-dropping-particle":"","parse-names":false,"suffix":""},{"dropping-particle":"","family":"Liu","given":"XJ","non-dropping-particle":"","parse-names":false,"suffix":""},{"dropping-particle":"","family":"C","given":"Mao","non-dropping-particle":"","parse-names":false,"suffix":""},{"dropping-particle":"","family":"GY","given":"Guo","non-dropping-particle":"","parse-names":false,"suffix":""},{"dropping-particle":"","family":"Peng","given":"YX","non-dropping-particle":"","parse-names":false,"suffix":""}],"container-title":"Journal of Cranio-Maxillo-Facial Surgery","id":"ITEM-1","issue":"2015","issued":{"date-parts":[["2015"]]},"page":"630-636","title":"Reconstruction of maxillary defects with free fibula flap assisted by computer techniques","type":"article-journal","volume":"43"},"uris":["http://www.mendeley.com/documents/?uuid=f2b7a9ed-b9a0-4bcd-beb9-bd1cebac59ba"]}],"mendeley":{"formattedCitation":"(Zhang et al. 2015)","manualFormatting":"Zhang et al. (2015)","plainTextFormattedCitation":"(Zhang et al. 2015)","previouslyFormattedCitation":"(Zhang et al. 2015)"},"properties":{"noteIndex":0},"schema":"https://github.com/citation-style-language/schema/raw/master/csl-citation.json"}</w:instrText>
            </w:r>
            <w:r w:rsidRPr="005F62F4">
              <w:fldChar w:fldCharType="separate"/>
            </w:r>
            <w:r w:rsidRPr="005F62F4">
              <w:rPr>
                <w:noProof/>
              </w:rPr>
              <w:t>Zhang et al. (2015)</w:t>
            </w:r>
            <w:r w:rsidRPr="005F62F4">
              <w:fldChar w:fldCharType="end"/>
            </w:r>
          </w:p>
        </w:tc>
        <w:tc>
          <w:tcPr>
            <w:tcW w:w="1860" w:type="dxa"/>
          </w:tcPr>
          <w:p w14:paraId="3A1DE946"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Case-control (unclear if prospective or retrospective)</w:t>
            </w:r>
          </w:p>
        </w:tc>
        <w:tc>
          <w:tcPr>
            <w:tcW w:w="2003" w:type="dxa"/>
          </w:tcPr>
          <w:p w14:paraId="288AEB30"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27 patients with maxillary tumours who underwent maxillectomy and free fibula flap reconstruction</w:t>
            </w:r>
          </w:p>
        </w:tc>
        <w:tc>
          <w:tcPr>
            <w:tcW w:w="2733" w:type="dxa"/>
          </w:tcPr>
          <w:p w14:paraId="746D5239" w14:textId="0E161BE6"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Computer-assisted surgical planning and surgical navigation.</w:t>
            </w:r>
            <w:r w:rsidRPr="005F62F4">
              <w:rPr>
                <w:rStyle w:val="FootnoteReference"/>
              </w:rPr>
              <w:footnoteReference w:id="15"/>
            </w:r>
            <w:r w:rsidRPr="005F62F4">
              <w:t xml:space="preserve"> </w:t>
            </w:r>
            <w:proofErr w:type="spellStart"/>
            <w:r w:rsidRPr="005F62F4">
              <w:t>ProPlan</w:t>
            </w:r>
            <w:proofErr w:type="spellEnd"/>
            <w:r w:rsidRPr="005F62F4">
              <w:t xml:space="preserve"> was used to perform a virtual maxillectomy and for printing a resin </w:t>
            </w:r>
            <w:proofErr w:type="spellStart"/>
            <w:r w:rsidRPr="005F62F4">
              <w:t>biomodel</w:t>
            </w:r>
            <w:proofErr w:type="spellEnd"/>
            <w:r w:rsidRPr="005F62F4" w:rsidDel="0049084A">
              <w:t xml:space="preserve"> </w:t>
            </w:r>
            <w:r w:rsidRPr="005F62F4">
              <w:t>which was used to pre-bend the titanium mesh for restoring the maxillary contour.</w:t>
            </w:r>
          </w:p>
          <w:p w14:paraId="20F840FB"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n = 8</w:t>
            </w:r>
          </w:p>
        </w:tc>
        <w:tc>
          <w:tcPr>
            <w:tcW w:w="1981" w:type="dxa"/>
          </w:tcPr>
          <w:p w14:paraId="6EE1A2CA"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Traditional surgery without preoperative virtual planning.</w:t>
            </w:r>
          </w:p>
          <w:p w14:paraId="612F15C5"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n = 19</w:t>
            </w:r>
          </w:p>
        </w:tc>
        <w:tc>
          <w:tcPr>
            <w:tcW w:w="4527" w:type="dxa"/>
          </w:tcPr>
          <w:p w14:paraId="6663001B" w14:textId="2FBACBC1"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rPr>
                <w:lang w:val="en-GB"/>
              </w:rPr>
              <w:t xml:space="preserve">The accuracy of positioning of fibular </w:t>
            </w:r>
            <w:r w:rsidRPr="005F62F4">
              <w:t>segments in maxillary reconstructions with free fibular flaps is significantly improved by computer-assisted techniques such as virtual planning and surgical navigation when compared to conventional reconstructions.</w:t>
            </w:r>
          </w:p>
          <w:p w14:paraId="7F07E7F8"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Clinical outcomes are significantly improved with the application of computer-assisted techniques. For example, this procedure can enhance functional and aesthetic outcomes.</w:t>
            </w:r>
          </w:p>
          <w:p w14:paraId="6D5AFEF7" w14:textId="38FB03CC"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 xml:space="preserve">It should be noted that the results relate to computer-assisted surgical planning (including the use of a </w:t>
            </w:r>
            <w:proofErr w:type="spellStart"/>
            <w:r w:rsidRPr="005F62F4">
              <w:t>biomodel</w:t>
            </w:r>
            <w:proofErr w:type="spellEnd"/>
            <w:r w:rsidRPr="005F62F4">
              <w:t xml:space="preserve">) as well as surgical navigation, and therefore the results cannot be solely attributed to </w:t>
            </w:r>
            <w:proofErr w:type="spellStart"/>
            <w:r w:rsidRPr="005F62F4">
              <w:t>biomodels</w:t>
            </w:r>
            <w:proofErr w:type="spellEnd"/>
            <w:r w:rsidRPr="005F62F4">
              <w:t xml:space="preserve">. </w:t>
            </w:r>
          </w:p>
        </w:tc>
      </w:tr>
      <w:tr w:rsidR="001009B1" w:rsidRPr="005F62F4" w14:paraId="186FE3B3"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7" w:type="dxa"/>
          </w:tcPr>
          <w:p w14:paraId="72D0FE12" w14:textId="77777777" w:rsidR="001009B1" w:rsidRPr="005F62F4" w:rsidRDefault="001009B1">
            <w:pPr>
              <w:pStyle w:val="Para"/>
            </w:pPr>
            <w:r w:rsidRPr="005F62F4">
              <w:lastRenderedPageBreak/>
              <w:fldChar w:fldCharType="begin" w:fldLock="1"/>
            </w:r>
            <w:r w:rsidRPr="005F62F4">
              <w:instrText>ADDIN CSL_CITATION {"citationItems":[{"id":"ITEM-1","itemData":{"DOI":"10.1016/j.jcms.2016.08.014","ISSN":"18784119","PMID":"27713054","abstract":"While vascularized iliac crest flap is widely used for mandibular reconstruction, it is often challenging to predict the clinical outcome in a conventional operation based solely on the surgeon's experience. Herein, we aimed to improve this procedure by using computer-assisted techniques. We retrospectively reviewed records of 45 patients with mandibular tumor who underwent mandibulectomy and reconstruction with vascularized iliac crest flap from January 2008 to June 2015. Computer-assisted techniques including virtual plan, stereomodel, pre-bending individual reconstruction plate, and surgical navigation were used in 15 patients. The other 30 patients underwent conventional surgery based on the surgeon's experience. Condyle position and reconstructed mandible contour were evaluated based on post-operative computed tomography. Complications were also evaluated during the follow-up. Flap success rate of the patients was 95.6% (43/45). Those in the computer-assisted group presented with better outcomes of the mandibular contour (p = 0.001) and condyle position (p = 0.026). Further, they also experienced beneficial dental restoration (p = 0.011) and postoperative appearance (p = 0.028). The difference between postoperative effect and virtual plan was within the acceptable error margin. There is no significant difference in the incidence of post-operative complications. Thus, computer-assisted techniques can improve the clinical outcomes of mandibular reconstruction with vascularized iliac crest flap.","author":[{"dropping-particle":"","family":"Zhang","given":"Wen Bo","non-dropping-particle":"","parse-names":false,"suffix":""},{"dropping-particle":"","family":"Yu","given":"Yao","non-dropping-particle":"","parse-names":false,"suffix":""},{"dropping-particle":"","family":"Wang","given":"Yang","non-dropping-particle":"","parse-names":false,"suffix":""},{"dropping-particle":"","family":"Mao","given":"Chi","non-dropping-particle":"","parse-names":false,"suffix":""},{"dropping-particle":"","family":"Liu","given":"Xiao Jing","non-dropping-particle":"","parse-names":false,"suffix":""},{"dropping-particle":"Bin","family":"Guo","given":"Chuan","non-dropping-particle":"","parse-names":false,"suffix":""},{"dropping-particle":"","family":"Yu","given":"Guang Yan","non-dropping-particle":"","parse-names":false,"suffix":""},{"dropping-particle":"","family":"Peng","given":"Xin","non-dropping-particle":"","parse-names":false,"suffix":""}],"container-title":"Journal of Cranio-Maxillofacial Surgery","id":"ITEM-1","issue":"11","issued":{"date-parts":[["2016"]]},"page":"1819-1827","publisher":"Elsevier Ltd","title":"Improving the accuracy of mandibular reconstruction with vascularized iliac crest flap: role of computer-assisted techniques","type":"article-journal","volume":"44"},"uris":["http://www.mendeley.com/documents/?uuid=b6c1247a-92eb-4842-a3cd-812e1d7fe7e0"]}],"mendeley":{"formattedCitation":"(Zhang et al. 2016)","manualFormatting":"Zhang et al. (2016)","plainTextFormattedCitation":"(Zhang et al. 2016)","previouslyFormattedCitation":"(Zhang et al. 2016)"},"properties":{"noteIndex":0},"schema":"https://github.com/citation-style-language/schema/raw/master/csl-citation.json"}</w:instrText>
            </w:r>
            <w:r w:rsidRPr="005F62F4">
              <w:fldChar w:fldCharType="separate"/>
            </w:r>
            <w:r w:rsidRPr="005F62F4">
              <w:rPr>
                <w:noProof/>
              </w:rPr>
              <w:t>Zhang et al. (2016)</w:t>
            </w:r>
            <w:r w:rsidRPr="005F62F4">
              <w:fldChar w:fldCharType="end"/>
            </w:r>
          </w:p>
        </w:tc>
        <w:tc>
          <w:tcPr>
            <w:tcW w:w="1860" w:type="dxa"/>
          </w:tcPr>
          <w:p w14:paraId="56AFF36C"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Retrospective case-control</w:t>
            </w:r>
          </w:p>
        </w:tc>
        <w:tc>
          <w:tcPr>
            <w:tcW w:w="2003" w:type="dxa"/>
          </w:tcPr>
          <w:p w14:paraId="371A4BE1"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45 patients with mandibular tumour who underwent mandibulectomy and reconstruction with vascularised crest flap</w:t>
            </w:r>
          </w:p>
        </w:tc>
        <w:tc>
          <w:tcPr>
            <w:tcW w:w="2733" w:type="dxa"/>
          </w:tcPr>
          <w:p w14:paraId="06DDC1D2"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 xml:space="preserve">Surgery which involved virtual surgical planning via </w:t>
            </w:r>
            <w:proofErr w:type="spellStart"/>
            <w:r w:rsidRPr="005F62F4">
              <w:t>ProPlan</w:t>
            </w:r>
            <w:proofErr w:type="spellEnd"/>
            <w:r w:rsidRPr="005F62F4">
              <w:t xml:space="preserve"> CMF software, the production of a </w:t>
            </w:r>
            <w:proofErr w:type="spellStart"/>
            <w:r w:rsidRPr="005F62F4">
              <w:t>biomodel</w:t>
            </w:r>
            <w:proofErr w:type="spellEnd"/>
            <w:r w:rsidRPr="005F62F4">
              <w:t xml:space="preserve"> of the reconstructed mandible, a reconstruction plate which was pre-bent on </w:t>
            </w:r>
            <w:r w:rsidRPr="005F62F4" w:rsidDel="005A0565">
              <w:t xml:space="preserve">the </w:t>
            </w:r>
            <w:proofErr w:type="spellStart"/>
            <w:r w:rsidRPr="005F62F4">
              <w:t>biomodel</w:t>
            </w:r>
            <w:proofErr w:type="spellEnd"/>
            <w:r w:rsidRPr="005F62F4">
              <w:t>, and a cutting template. Intraoperatively, a computerised navigation system was used to guide the tumour resection and mandibulectomy.</w:t>
            </w:r>
          </w:p>
          <w:p w14:paraId="046148EB"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n = 15</w:t>
            </w:r>
          </w:p>
        </w:tc>
        <w:tc>
          <w:tcPr>
            <w:tcW w:w="1981" w:type="dxa"/>
          </w:tcPr>
          <w:p w14:paraId="2337189E"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Conventional surgical treatment based on the surgeon's experience without virtual planning.</w:t>
            </w:r>
          </w:p>
          <w:p w14:paraId="13B8368C"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n = 30</w:t>
            </w:r>
          </w:p>
        </w:tc>
        <w:tc>
          <w:tcPr>
            <w:tcW w:w="4527" w:type="dxa"/>
          </w:tcPr>
          <w:p w14:paraId="1D1167D6"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 xml:space="preserve">Computer-assisted surgical techniques including virtual planning, rapid prototyping (of surgical aids such as surgical guides and </w:t>
            </w:r>
            <w:proofErr w:type="spellStart"/>
            <w:r w:rsidRPr="005F62F4">
              <w:t>biomodels</w:t>
            </w:r>
            <w:proofErr w:type="spellEnd"/>
            <w:r w:rsidRPr="005F62F4">
              <w:t>) and surgical navigation can significantly improve the accuracy of a mandibular reconstruction surgery when compared to conventional techniques.</w:t>
            </w:r>
          </w:p>
          <w:p w14:paraId="3FC94174"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Computer-assisted techniques can improve the clinical outcomes of mandibular reconstructions with vascularised iliac crest. For example, combined with individual reconstruction plates, such surgery could improve functional and aesthetic outcomes.</w:t>
            </w:r>
          </w:p>
          <w:p w14:paraId="26E0C846" w14:textId="77777777" w:rsidR="001009B1" w:rsidRPr="005F62F4" w:rsidRDefault="001009B1">
            <w:pPr>
              <w:pStyle w:val="Para"/>
              <w:cnfStyle w:val="000000010000" w:firstRow="0" w:lastRow="0" w:firstColumn="0" w:lastColumn="0" w:oddVBand="0" w:evenVBand="0" w:oddHBand="0" w:evenHBand="1" w:firstRowFirstColumn="0" w:firstRowLastColumn="0" w:lastRowFirstColumn="0" w:lastRowLastColumn="0"/>
            </w:pPr>
            <w:r w:rsidRPr="005F62F4">
              <w:t xml:space="preserve">It should be noted that the results relate to computer-assisted surgical planning (including the use of a </w:t>
            </w:r>
            <w:proofErr w:type="spellStart"/>
            <w:r w:rsidRPr="005F62F4">
              <w:t>biomodel</w:t>
            </w:r>
            <w:proofErr w:type="spellEnd"/>
            <w:r w:rsidRPr="005F62F4">
              <w:t xml:space="preserve">) as well as surgical navigation, and therefore the results cannot be solely attributed to </w:t>
            </w:r>
            <w:r w:rsidRPr="005F62F4" w:rsidDel="00054BC4">
              <w:t xml:space="preserve">surgical </w:t>
            </w:r>
            <w:r w:rsidRPr="005F62F4">
              <w:t xml:space="preserve">guides and </w:t>
            </w:r>
            <w:proofErr w:type="spellStart"/>
            <w:r w:rsidRPr="005F62F4">
              <w:t>biomodels</w:t>
            </w:r>
            <w:proofErr w:type="spellEnd"/>
            <w:r w:rsidRPr="005F62F4">
              <w:t>.</w:t>
            </w:r>
          </w:p>
        </w:tc>
      </w:tr>
      <w:tr w:rsidR="001009B1" w:rsidRPr="005F62F4" w14:paraId="066683CC" w14:textId="77777777">
        <w:tc>
          <w:tcPr>
            <w:cnfStyle w:val="001000000000" w:firstRow="0" w:lastRow="0" w:firstColumn="1" w:lastColumn="0" w:oddVBand="0" w:evenVBand="0" w:oddHBand="0" w:evenHBand="0" w:firstRowFirstColumn="0" w:firstRowLastColumn="0" w:lastRowFirstColumn="0" w:lastRowLastColumn="0"/>
            <w:tcW w:w="1497" w:type="dxa"/>
          </w:tcPr>
          <w:p w14:paraId="177EFB55" w14:textId="77777777" w:rsidR="001009B1" w:rsidRPr="005F62F4" w:rsidRDefault="001009B1">
            <w:pPr>
              <w:pStyle w:val="Para"/>
            </w:pPr>
            <w:r w:rsidRPr="005F62F4">
              <w:lastRenderedPageBreak/>
              <w:fldChar w:fldCharType="begin" w:fldLock="1"/>
            </w:r>
            <w:r w:rsidRPr="005F62F4">
              <w:instrText>ADDIN CSL_CITATION {"citationItems":[{"id":"ITEM-1","itemData":{"DOI":"10.1016/j.joms.2014.07.038","ISSN":"15315053","PMID":"25443385","abstract":"Purpose Virtual planning and guided surgery with or without prebent or milled plates are becoming more and more common for mandibular reconstruction with fibular free flaps (FFFs). Although this excellent surgical option is being used more widely, the question of the additional cost of planning and cutting-guide production has to be discussed. In capped payment systems such additional costs have to be offset by other savings if there are no special provisions for extra funding. Our study was designed to determine whether using virtual planning and guided surgery resulted in time saved during surgery and whether this time gain resulted in self-funding of such planning through the time saved.\nMaterials and Methods All consecutive cases of FFF surgery were evaluated during a 2-year period. Institutional data were used to determine the price of 1 minute of operative time. The time for fibula molding, plate adaptation, and insetting was recorded.\nResults During the defined period, we performed 20 mandibular reconstructions using FFFs, 9 with virtual planning and guided surgery and 11 freehand cases. One minute of operative time was calculated to cost US $47.50. Multiplying this number by the time saved, we found that the additional cost of virtual planning was reduced from US $5,098 to US $1,231.50 with a prebent plate and from US $6,980 to US $3,113.50 for a milled plate.\nConclusions Even in capped health care systems, virtual planning and guided surgery including prebent or milled plates are financially viable.","author":[{"dropping-particle":"","family":"Zweifel","given":"Daniel Fritz","non-dropping-particle":"","parse-names":false,"suffix":""},{"dropping-particle":"","family":"Simon","given":"Christian","non-dropping-particle":"","parse-names":false,"suffix":""},{"dropping-particle":"","family":"Hoarau","given":"Remy","non-dropping-particle":"","parse-names":false,"suffix":""},{"dropping-particle":"","family":"Pasche","given":"Philippe","non-dropping-particle":"","parse-names":false,"suffix":""},{"dropping-particle":"","family":"Broome","given":"Martin","non-dropping-particle":"","parse-names":false,"suffix":""}],"container-title":"Journal of Oral and Maxillofacial Surgery","id":"ITEM-1","issue":"1","issued":{"date-parts":[["2015"]]},"page":"170-175","publisher":"American Association of Oral and Maxillofacial Surgeons","title":"Are virtual planning and guided surgery for head and neck reconstruction economically viable?","type":"article-journal","volume":"73"},"uris":["http://www.mendeley.com/documents/?uuid=a376aecd-4d58-4b4e-af00-785566907643"]}],"mendeley":{"formattedCitation":"(Zweifel et al. 2015)","manualFormatting":"Zweifel et al. (2015)","plainTextFormattedCitation":"(Zweifel et al. 2015)","previouslyFormattedCitation":"(Zweifel et al. 2015)"},"properties":{"noteIndex":0},"schema":"https://github.com/citation-style-language/schema/raw/master/csl-citation.json"}</w:instrText>
            </w:r>
            <w:r w:rsidRPr="005F62F4">
              <w:fldChar w:fldCharType="separate"/>
            </w:r>
            <w:r w:rsidRPr="005F62F4">
              <w:rPr>
                <w:noProof/>
              </w:rPr>
              <w:t>Zweifel et al. (2015)</w:t>
            </w:r>
            <w:r w:rsidRPr="005F62F4">
              <w:fldChar w:fldCharType="end"/>
            </w:r>
          </w:p>
        </w:tc>
        <w:tc>
          <w:tcPr>
            <w:tcW w:w="1860" w:type="dxa"/>
          </w:tcPr>
          <w:p w14:paraId="7D7CB348"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Prospective case-control</w:t>
            </w:r>
          </w:p>
        </w:tc>
        <w:tc>
          <w:tcPr>
            <w:tcW w:w="2003" w:type="dxa"/>
          </w:tcPr>
          <w:p w14:paraId="33F6D555"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20 patients undergoing mandibular resections with fibular reconstructions</w:t>
            </w:r>
          </w:p>
        </w:tc>
        <w:tc>
          <w:tcPr>
            <w:tcW w:w="2733" w:type="dxa"/>
          </w:tcPr>
          <w:p w14:paraId="1F62E13E"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 xml:space="preserve">Virtual planning and guided surgery where </w:t>
            </w:r>
            <w:proofErr w:type="spellStart"/>
            <w:r w:rsidRPr="005F62F4">
              <w:t>ProPlan</w:t>
            </w:r>
            <w:proofErr w:type="spellEnd"/>
            <w:r w:rsidRPr="005F62F4">
              <w:t xml:space="preserve"> CMF software was used along with Synthes software for the preoperative planning. As part of this virtual planning technique, </w:t>
            </w:r>
            <w:proofErr w:type="spellStart"/>
            <w:r w:rsidRPr="005F62F4">
              <w:t>biomodels</w:t>
            </w:r>
            <w:proofErr w:type="spellEnd"/>
            <w:r w:rsidRPr="005F62F4">
              <w:t xml:space="preserve"> were used to fabricate cutting guides for both the mandible and fibula. A </w:t>
            </w:r>
            <w:proofErr w:type="spellStart"/>
            <w:r w:rsidRPr="005F62F4">
              <w:t>biomodel</w:t>
            </w:r>
            <w:proofErr w:type="spellEnd"/>
            <w:r w:rsidRPr="005F62F4">
              <w:t xml:space="preserve"> of the mandible was also used to adapt the reconstruction plate. Milled plates cut from titanium blocks were used for the fibula.</w:t>
            </w:r>
          </w:p>
          <w:p w14:paraId="2F67C651"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n = 9</w:t>
            </w:r>
          </w:p>
        </w:tc>
        <w:tc>
          <w:tcPr>
            <w:tcW w:w="1981" w:type="dxa"/>
          </w:tcPr>
          <w:p w14:paraId="3B2FCD25"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 xml:space="preserve">Freehand surgery where no virtual planning was </w:t>
            </w:r>
            <w:proofErr w:type="gramStart"/>
            <w:r w:rsidRPr="005F62F4">
              <w:t>conducted</w:t>
            </w:r>
            <w:proofErr w:type="gramEnd"/>
            <w:r w:rsidRPr="005F62F4">
              <w:t xml:space="preserve"> and the reconstruction plates were either pre-adapted to the mandible where possible or bent freehand. The osteotomies of the fibula were conducted freehand.</w:t>
            </w:r>
          </w:p>
          <w:p w14:paraId="33DDD55D" w14:textId="77777777" w:rsidR="001009B1" w:rsidRPr="005F62F4" w:rsidRDefault="001009B1">
            <w:pPr>
              <w:pStyle w:val="Para"/>
              <w:cnfStyle w:val="000000000000" w:firstRow="0" w:lastRow="0" w:firstColumn="0" w:lastColumn="0" w:oddVBand="0" w:evenVBand="0" w:oddHBand="0" w:evenHBand="0" w:firstRowFirstColumn="0" w:firstRowLastColumn="0" w:lastRowFirstColumn="0" w:lastRowLastColumn="0"/>
            </w:pPr>
            <w:r w:rsidRPr="005F62F4">
              <w:t>n = 11</w:t>
            </w:r>
          </w:p>
        </w:tc>
        <w:tc>
          <w:tcPr>
            <w:tcW w:w="4527" w:type="dxa"/>
          </w:tcPr>
          <w:p w14:paraId="604F3137" w14:textId="49DC87A5" w:rsidR="001009B1" w:rsidRPr="005F62F4" w:rsidRDefault="001009B1">
            <w:pPr>
              <w:pStyle w:val="Para"/>
              <w:spacing w:before="120"/>
              <w:cnfStyle w:val="000000000000" w:firstRow="0" w:lastRow="0" w:firstColumn="0" w:lastColumn="0" w:oddVBand="0" w:evenVBand="0" w:oddHBand="0" w:evenHBand="0" w:firstRowFirstColumn="0" w:firstRowLastColumn="0" w:lastRowFirstColumn="0" w:lastRowLastColumn="0"/>
            </w:pPr>
            <w:r w:rsidRPr="005F62F4">
              <w:t>The operative time was found to be shorter for virtually</w:t>
            </w:r>
            <w:r w:rsidR="00BE1EC0">
              <w:t xml:space="preserve"> </w:t>
            </w:r>
            <w:r w:rsidRPr="005F62F4">
              <w:t>planned cases compared to freehand reconstructions, with an average time gain of 67.4 minutes.</w:t>
            </w:r>
          </w:p>
          <w:p w14:paraId="5920026A" w14:textId="77777777" w:rsidR="001009B1" w:rsidRPr="005F62F4" w:rsidRDefault="001009B1">
            <w:pPr>
              <w:pStyle w:val="Para"/>
              <w:spacing w:before="120"/>
              <w:cnfStyle w:val="000000000000" w:firstRow="0" w:lastRow="0" w:firstColumn="0" w:lastColumn="0" w:oddVBand="0" w:evenVBand="0" w:oddHBand="0" w:evenHBand="0" w:firstRowFirstColumn="0" w:firstRowLastColumn="0" w:lastRowFirstColumn="0" w:lastRowLastColumn="0"/>
            </w:pPr>
            <w:r w:rsidRPr="005F62F4">
              <w:t>Relative to the time saved, the additional cost of virtual surgical planning reduced from USD$5,098 to USD$1,231.50 for a pre-bent plate and US$6,980 to US$3,113.50 for a milled plate.</w:t>
            </w:r>
          </w:p>
          <w:p w14:paraId="3C098AE1" w14:textId="77777777" w:rsidR="001009B1" w:rsidRPr="005F62F4" w:rsidRDefault="001009B1">
            <w:pPr>
              <w:pStyle w:val="Para"/>
              <w:spacing w:before="120"/>
              <w:cnfStyle w:val="000000000000" w:firstRow="0" w:lastRow="0" w:firstColumn="0" w:lastColumn="0" w:oddVBand="0" w:evenVBand="0" w:oddHBand="0" w:evenHBand="0" w:firstRowFirstColumn="0" w:firstRowLastColumn="0" w:lastRowFirstColumn="0" w:lastRowLastColumn="0"/>
            </w:pPr>
            <w:r w:rsidRPr="005F62F4">
              <w:t>From the results, it was concluded that virtual planning and guided surgery, are financially feasible even in ‘capped’ health systems (where services or clinicians are paid a lump sum for the case or illness).</w:t>
            </w:r>
          </w:p>
          <w:p w14:paraId="5521A291" w14:textId="77777777" w:rsidR="001009B1" w:rsidRPr="005F62F4" w:rsidRDefault="001009B1">
            <w:pPr>
              <w:pStyle w:val="Para"/>
              <w:keepNext/>
              <w:spacing w:before="120"/>
              <w:cnfStyle w:val="000000000000" w:firstRow="0" w:lastRow="0" w:firstColumn="0" w:lastColumn="0" w:oddVBand="0" w:evenVBand="0" w:oddHBand="0" w:evenHBand="0" w:firstRowFirstColumn="0" w:firstRowLastColumn="0" w:lastRowFirstColumn="0" w:lastRowLastColumn="0"/>
            </w:pPr>
            <w:r w:rsidRPr="005F62F4">
              <w:t xml:space="preserve">It should be noted that software other than </w:t>
            </w:r>
            <w:proofErr w:type="spellStart"/>
            <w:r w:rsidRPr="005F62F4">
              <w:t>ProPlan</w:t>
            </w:r>
            <w:proofErr w:type="spellEnd"/>
            <w:r w:rsidRPr="005F62F4">
              <w:t xml:space="preserve"> was used to simulate both fibular and mandibular surgeries and the resulting models were used to construct cutting guides. These models were also used in early cases to produce </w:t>
            </w:r>
            <w:proofErr w:type="spellStart"/>
            <w:r w:rsidRPr="005F62F4">
              <w:t>biomodels</w:t>
            </w:r>
            <w:proofErr w:type="spellEnd"/>
            <w:r w:rsidRPr="005F62F4">
              <w:t xml:space="preserve"> on which reconstruction plates were adapted and, in later cases, to produce patient-specific, milled plates. </w:t>
            </w:r>
          </w:p>
        </w:tc>
      </w:tr>
    </w:tbl>
    <w:p w14:paraId="25DAEAE6" w14:textId="77777777" w:rsidR="001009B1" w:rsidRPr="005F62F4" w:rsidRDefault="001009B1" w:rsidP="001009B1"/>
    <w:p w14:paraId="5A723F76" w14:textId="77777777" w:rsidR="001009B1" w:rsidRPr="005F62F4" w:rsidRDefault="001009B1" w:rsidP="001009B1">
      <w:pPr>
        <w:sectPr w:rsidR="001009B1" w:rsidRPr="005F62F4" w:rsidSect="00B078BE">
          <w:pgSz w:w="16838" w:h="11906" w:orient="landscape" w:code="9"/>
          <w:pgMar w:top="851" w:right="1134" w:bottom="851" w:left="1134" w:header="454" w:footer="454" w:gutter="0"/>
          <w:cols w:space="708"/>
          <w:docGrid w:linePitch="360"/>
        </w:sectPr>
      </w:pPr>
    </w:p>
    <w:p w14:paraId="1B341D93" w14:textId="01390B45" w:rsidR="002B3A48" w:rsidRPr="005F62F4" w:rsidRDefault="00A9673C" w:rsidP="001009B1">
      <w:pPr>
        <w:pStyle w:val="Heading3"/>
        <w:spacing w:before="0"/>
      </w:pPr>
      <w:r w:rsidRPr="005F62F4">
        <w:lastRenderedPageBreak/>
        <w:t xml:space="preserve">Strength </w:t>
      </w:r>
      <w:r w:rsidR="002B3A48" w:rsidRPr="005F62F4">
        <w:t>of the evidence and risk of bias</w:t>
      </w:r>
    </w:p>
    <w:p w14:paraId="2FFC2F07" w14:textId="018047E0" w:rsidR="002223E1" w:rsidRPr="005F62F4" w:rsidRDefault="008C572F" w:rsidP="00007304">
      <w:pPr>
        <w:pStyle w:val="Para"/>
      </w:pPr>
      <w:r w:rsidRPr="005F62F4">
        <w:t>The included</w:t>
      </w:r>
      <w:r w:rsidR="006321F0" w:rsidRPr="005F62F4">
        <w:t xml:space="preserve"> studies were assessed for </w:t>
      </w:r>
      <w:r w:rsidR="00962B93" w:rsidRPr="005F62F4">
        <w:t>the strength of the</w:t>
      </w:r>
      <w:r w:rsidR="006321F0" w:rsidRPr="005F62F4">
        <w:t>ir</w:t>
      </w:r>
      <w:r w:rsidR="00962B93" w:rsidRPr="005F62F4">
        <w:t xml:space="preserve"> evidence</w:t>
      </w:r>
      <w:r w:rsidR="001F1910" w:rsidRPr="005F62F4">
        <w:t>,</w:t>
      </w:r>
      <w:r w:rsidR="00962B93" w:rsidRPr="005F62F4">
        <w:t xml:space="preserve"> as well as the</w:t>
      </w:r>
      <w:r w:rsidR="006321F0" w:rsidRPr="005F62F4">
        <w:t>ir</w:t>
      </w:r>
      <w:r w:rsidR="00962B93" w:rsidRPr="005F62F4">
        <w:t xml:space="preserve"> risk of bias</w:t>
      </w:r>
      <w:r w:rsidR="00891928" w:rsidRPr="005F62F4">
        <w:t>.</w:t>
      </w:r>
      <w:r w:rsidR="00962B93" w:rsidRPr="005F62F4">
        <w:t xml:space="preserve"> </w:t>
      </w:r>
      <w:r w:rsidR="00306103" w:rsidRPr="005F62F4">
        <w:t xml:space="preserve">A detailed description of the methods and outcomes of these assessments is provided in </w:t>
      </w:r>
      <w:r w:rsidR="002223E1" w:rsidRPr="005F62F4">
        <w:t>Section </w:t>
      </w:r>
      <w:r w:rsidR="002223E1" w:rsidRPr="005F62F4">
        <w:fldChar w:fldCharType="begin"/>
      </w:r>
      <w:r w:rsidR="002223E1" w:rsidRPr="005F62F4">
        <w:instrText xml:space="preserve"> REF _Ref119649441 \w \h </w:instrText>
      </w:r>
      <w:r w:rsidR="005F62F4">
        <w:instrText xml:space="preserve"> \* MERGEFORMAT </w:instrText>
      </w:r>
      <w:r w:rsidR="002223E1" w:rsidRPr="005F62F4">
        <w:fldChar w:fldCharType="separate"/>
      </w:r>
      <w:r w:rsidR="005606BF">
        <w:t>C.4</w:t>
      </w:r>
      <w:r w:rsidR="002223E1" w:rsidRPr="005F62F4">
        <w:fldChar w:fldCharType="end"/>
      </w:r>
      <w:r w:rsidR="002223E1" w:rsidRPr="005F62F4">
        <w:t>.</w:t>
      </w:r>
    </w:p>
    <w:p w14:paraId="60ABBA7C" w14:textId="0471F8D6" w:rsidR="005872D9" w:rsidRPr="005F62F4" w:rsidRDefault="008C572F" w:rsidP="00007304">
      <w:pPr>
        <w:pStyle w:val="Para"/>
      </w:pPr>
      <w:r w:rsidRPr="005F62F4">
        <w:t>A</w:t>
      </w:r>
      <w:r w:rsidR="00E66D22" w:rsidRPr="005F62F4">
        <w:t xml:space="preserve">ll studies were graded as level III-2 </w:t>
      </w:r>
      <w:r w:rsidR="00E86612" w:rsidRPr="005F62F4">
        <w:t xml:space="preserve">according to the NHMRC evidence hierarchy </w:t>
      </w:r>
      <w:r w:rsidR="00601697" w:rsidRPr="005F62F4">
        <w:t xml:space="preserve">(i.e. we did not identify </w:t>
      </w:r>
      <w:r w:rsidR="009E2D23" w:rsidRPr="005F62F4">
        <w:t>any systematic reviews</w:t>
      </w:r>
      <w:r w:rsidR="00523665" w:rsidRPr="005F62F4">
        <w:t>,</w:t>
      </w:r>
      <w:r w:rsidR="009E2D23" w:rsidRPr="005F62F4">
        <w:t xml:space="preserve"> randomised controlled trials</w:t>
      </w:r>
      <w:r w:rsidR="00523665" w:rsidRPr="005F62F4">
        <w:t xml:space="preserve"> or pseudo-randomised controlled trials</w:t>
      </w:r>
      <w:r w:rsidR="009E2D23" w:rsidRPr="005F62F4">
        <w:t>)</w:t>
      </w:r>
      <w:r w:rsidR="00A157FD" w:rsidRPr="005F62F4">
        <w:t>,</w:t>
      </w:r>
      <w:r w:rsidR="009E2D23" w:rsidRPr="005F62F4">
        <w:t xml:space="preserve"> </w:t>
      </w:r>
      <w:r w:rsidR="00E66D22" w:rsidRPr="005F62F4">
        <w:t>and</w:t>
      </w:r>
      <w:r w:rsidR="00891928" w:rsidRPr="005F62F4">
        <w:t xml:space="preserve"> all but 2</w:t>
      </w:r>
      <w:r w:rsidR="00317677" w:rsidRPr="005F62F4">
        <w:t> studies</w:t>
      </w:r>
      <w:r w:rsidR="00891928" w:rsidRPr="005F62F4">
        <w:t xml:space="preserve"> </w:t>
      </w:r>
      <w:r w:rsidR="00E66D22" w:rsidRPr="005F62F4">
        <w:t>had at least a moderate risk of bias</w:t>
      </w:r>
      <w:r w:rsidR="002A42EC" w:rsidRPr="005F62F4">
        <w:t xml:space="preserve"> </w:t>
      </w:r>
      <w:r w:rsidR="007D75E3" w:rsidRPr="005F62F4">
        <w:t>as assessed using</w:t>
      </w:r>
      <w:r w:rsidR="00DE0806" w:rsidRPr="005F62F4">
        <w:t xml:space="preserve"> the Newcastle-Ottawa Scale</w:t>
      </w:r>
      <w:r w:rsidR="005A668A" w:rsidRPr="005F62F4">
        <w:t xml:space="preserve"> (NOS)</w:t>
      </w:r>
      <w:r w:rsidR="00C27629" w:rsidRPr="005F62F4">
        <w:t xml:space="preserve"> </w:t>
      </w:r>
      <w:r w:rsidR="00C27629" w:rsidRPr="005F62F4">
        <w:fldChar w:fldCharType="begin" w:fldLock="1"/>
      </w:r>
      <w:r w:rsidR="007120F3" w:rsidRPr="005F62F4">
        <w:instrText>ADDIN CSL_CITATION {"citationItems":[{"id":"ITEM-1","itemData":{"URL":"https://www.ohri.ca/programs/clinical_epidemiology/oxford.asp","accessed":{"date-parts":[["2022","11","12"]]},"author":[{"dropping-particle":"","family":"Wells","given":"GA","non-dropping-particle":"","parse-names":false,"suffix":""},{"dropping-particle":"","family":"Shea","given":"B","non-dropping-particle":"","parse-names":false,"suffix":""},{"dropping-particle":"","family":"O'Connell","given":"D","non-dropping-particle":"","parse-names":false,"suffix":""},{"dropping-particle":"","family":"Peterson","given":"J","non-dropping-particle":"","parse-names":false,"suffix":""},{"dropping-particle":"","family":"Welch","given":"V","non-dropping-particle":"","parse-names":false,"suffix":""},{"dropping-particle":"","family":"Losos","given":"M","non-dropping-particle":"","parse-names":false,"suffix":""},{"dropping-particle":"","family":"Tugwell","given":"P","non-dropping-particle":"","parse-names":false,"suffix":""}],"container-title":"The Ottowa Hospital Research Institute website","id":"ITEM-1","issued":{"date-parts":[["2021"]]},"title":"The Newcastle-Ottawa Scale (NOS) for assessing the quality of nonrandomised studies in meta-analyses","type":"webpage"},"uris":["http://www.mendeley.com/documents/?uuid=e40d0ebf-89be-43cf-b39b-fe138a810ae1","http://www.mendeley.com/documents/?uuid=8643b740-e149-4d2c-9cfc-d6706ef957ff"]}],"mendeley":{"formattedCitation":"(Wells et al. 2021)","plainTextFormattedCitation":"(Wells et al. 2021)","previouslyFormattedCitation":"(Wells et al. 2021)"},"properties":{"noteIndex":0},"schema":"https://github.com/citation-style-language/schema/raw/master/csl-citation.json"}</w:instrText>
      </w:r>
      <w:r w:rsidR="00C27629" w:rsidRPr="005F62F4">
        <w:fldChar w:fldCharType="separate"/>
      </w:r>
      <w:r w:rsidR="00C27629" w:rsidRPr="005F62F4">
        <w:rPr>
          <w:noProof/>
        </w:rPr>
        <w:t>(Wells et al. 2021)</w:t>
      </w:r>
      <w:r w:rsidR="00C27629" w:rsidRPr="005F62F4">
        <w:fldChar w:fldCharType="end"/>
      </w:r>
      <w:r w:rsidR="00E66D22" w:rsidRPr="005F62F4">
        <w:t>. The main source</w:t>
      </w:r>
      <w:r w:rsidR="004C6872" w:rsidRPr="005F62F4">
        <w:t>s</w:t>
      </w:r>
      <w:r w:rsidR="00E66D22" w:rsidRPr="005F62F4">
        <w:t xml:space="preserve"> of </w:t>
      </w:r>
      <w:r w:rsidR="004C6872" w:rsidRPr="005F62F4">
        <w:t xml:space="preserve">potential </w:t>
      </w:r>
      <w:r w:rsidR="00E66D22" w:rsidRPr="005F62F4">
        <w:t xml:space="preserve">bias </w:t>
      </w:r>
      <w:r w:rsidR="004C6872" w:rsidRPr="005F62F4">
        <w:t>were</w:t>
      </w:r>
      <w:r w:rsidR="00E66D22" w:rsidRPr="005F62F4">
        <w:t xml:space="preserve"> the lack of comparability between patients in the intervention and </w:t>
      </w:r>
      <w:r w:rsidR="00306103" w:rsidRPr="005F62F4">
        <w:t>comparator</w:t>
      </w:r>
      <w:r w:rsidR="00E66D22" w:rsidRPr="005F62F4">
        <w:t xml:space="preserve"> groups and the failure to adjust for important potential confounders, especially surgical complexity.</w:t>
      </w:r>
    </w:p>
    <w:p w14:paraId="4FDDA10F" w14:textId="2363E803" w:rsidR="00F9760C" w:rsidRPr="005F62F4" w:rsidRDefault="00D75872" w:rsidP="00007304">
      <w:pPr>
        <w:pStyle w:val="Para"/>
      </w:pPr>
      <w:r w:rsidRPr="005F62F4">
        <w:t xml:space="preserve">Some stakeholders expressed the view </w:t>
      </w:r>
      <w:r w:rsidR="0027319B" w:rsidRPr="005F62F4">
        <w:t xml:space="preserve">that, in the assessment of new technologies in surgical practice, the classic </w:t>
      </w:r>
      <w:r w:rsidR="00F9760C" w:rsidRPr="005F62F4">
        <w:t xml:space="preserve">hierarchy of evidence </w:t>
      </w:r>
      <w:r w:rsidR="0027319B" w:rsidRPr="005F62F4">
        <w:t xml:space="preserve">may be less practical or applicable than in other contexts, as </w:t>
      </w:r>
      <w:r w:rsidR="0035405D" w:rsidRPr="005F62F4">
        <w:t xml:space="preserve">evidence is generated from the ‘bottom to top’ </w:t>
      </w:r>
      <w:r w:rsidR="006920DA" w:rsidRPr="005F62F4">
        <w:t xml:space="preserve">– i.e. </w:t>
      </w:r>
      <w:r w:rsidR="00366213" w:rsidRPr="005F62F4">
        <w:t xml:space="preserve">from case reports to </w:t>
      </w:r>
      <w:r w:rsidR="0027319B" w:rsidRPr="005F62F4">
        <w:t>randomised controlled trial</w:t>
      </w:r>
      <w:r w:rsidR="00366213" w:rsidRPr="005F62F4">
        <w:t xml:space="preserve">s </w:t>
      </w:r>
      <w:r w:rsidR="00C56710" w:rsidRPr="005F62F4">
        <w:t>to</w:t>
      </w:r>
      <w:r w:rsidR="00366213" w:rsidRPr="005F62F4">
        <w:t xml:space="preserve"> systematic reviews and meta-analys</w:t>
      </w:r>
      <w:r w:rsidR="00C56710" w:rsidRPr="005F62F4">
        <w:t>e</w:t>
      </w:r>
      <w:r w:rsidR="00366213" w:rsidRPr="005F62F4">
        <w:t>s</w:t>
      </w:r>
      <w:r w:rsidR="006920DA" w:rsidRPr="005F62F4">
        <w:t xml:space="preserve"> </w:t>
      </w:r>
      <w:r w:rsidR="00237AA2" w:rsidRPr="005F62F4">
        <w:t>– and that substantial surgical experience is needed before</w:t>
      </w:r>
      <w:r w:rsidR="0035431B" w:rsidRPr="005F62F4">
        <w:t xml:space="preserve"> randomised controlled trials </w:t>
      </w:r>
      <w:r w:rsidR="00237AA2" w:rsidRPr="005F62F4">
        <w:t xml:space="preserve">are contemplated </w:t>
      </w:r>
      <w:r w:rsidR="0027319B" w:rsidRPr="005F62F4">
        <w:fldChar w:fldCharType="begin" w:fldLock="1"/>
      </w:r>
      <w:r w:rsidR="00237AA2" w:rsidRPr="005F62F4">
        <w:instrText>ADDIN CSL_CITATION {"citationItems":[{"id":"ITEM-1","itemData":{"DOI":"10.1007/s12262-019-01939-8","ISSN":"09739793","author":[{"dropping-particle":"","family":"Kumar","given":"Sandeep","non-dropping-particle":"","parse-names":false,"suffix":""}],"container-title":"Indian Journal of Surgery","id":"ITEM-1","issue":"4","issued":{"date-parts":[["2019"]]},"page":"307-316","publisher":"Indian Journal of Surgery","title":"Evidence in surgery—levels and significance","type":"article-journal","volume":"81"},"uris":["http://www.mendeley.com/documents/?uuid=9b977902-342b-401f-8f7a-f8ecf2ed0efe"]}],"mendeley":{"formattedCitation":"(Kumar 2019)","manualFormatting":"(Kumar 2019)","plainTextFormattedCitation":"(Kumar 2019)","previouslyFormattedCitation":"(Kumar 2019)"},"properties":{"noteIndex":0},"schema":"https://github.com/citation-style-language/schema/raw/master/csl-citation.json"}</w:instrText>
      </w:r>
      <w:r w:rsidR="0027319B" w:rsidRPr="005F62F4">
        <w:fldChar w:fldCharType="separate"/>
      </w:r>
      <w:r w:rsidR="0027319B" w:rsidRPr="005F62F4">
        <w:rPr>
          <w:noProof/>
        </w:rPr>
        <w:t>(Kumar 2019)</w:t>
      </w:r>
      <w:r w:rsidR="0027319B" w:rsidRPr="005F62F4">
        <w:fldChar w:fldCharType="end"/>
      </w:r>
      <w:r w:rsidR="00F9760C" w:rsidRPr="005F62F4">
        <w:t>.</w:t>
      </w:r>
      <w:r w:rsidR="00D640A9" w:rsidRPr="005F62F4">
        <w:t xml:space="preserve"> </w:t>
      </w:r>
      <w:r w:rsidR="0035431B" w:rsidRPr="005F62F4">
        <w:t>Other</w:t>
      </w:r>
      <w:r w:rsidR="002869DD" w:rsidRPr="005F62F4">
        <w:t xml:space="preserve"> stakeholders</w:t>
      </w:r>
      <w:r w:rsidR="00D640A9" w:rsidRPr="005F62F4">
        <w:t xml:space="preserve"> suggested that the applicability of randomised controlled trials in reviewing</w:t>
      </w:r>
      <w:r w:rsidRPr="005F62F4">
        <w:t xml:space="preserve"> surgical guides and </w:t>
      </w:r>
      <w:proofErr w:type="spellStart"/>
      <w:r w:rsidRPr="005F62F4">
        <w:t>biomodels</w:t>
      </w:r>
      <w:proofErr w:type="spellEnd"/>
      <w:r w:rsidRPr="005F62F4">
        <w:t xml:space="preserve"> </w:t>
      </w:r>
      <w:r w:rsidR="00CA3CFF" w:rsidRPr="005F62F4">
        <w:t>is limited</w:t>
      </w:r>
      <w:r w:rsidR="0035431B" w:rsidRPr="005F62F4">
        <w:t xml:space="preserve"> because of</w:t>
      </w:r>
      <w:r w:rsidR="00CA3CFF" w:rsidRPr="005F62F4">
        <w:t xml:space="preserve"> the personalised nature of each device</w:t>
      </w:r>
      <w:r w:rsidR="0035431B" w:rsidRPr="005F62F4">
        <w:t>,</w:t>
      </w:r>
      <w:r w:rsidR="00CA3CFF" w:rsidRPr="005F62F4">
        <w:t xml:space="preserve"> the potential for selection and detection bias</w:t>
      </w:r>
      <w:r w:rsidR="002869DD" w:rsidRPr="005F62F4">
        <w:t xml:space="preserve">, and the </w:t>
      </w:r>
      <w:r w:rsidR="009B68AC" w:rsidRPr="005F62F4">
        <w:t>unsuitability of patients undergoing complex CMF procedures for randomisation</w:t>
      </w:r>
      <w:r w:rsidR="00163ECD" w:rsidRPr="005F62F4">
        <w:t>.</w:t>
      </w:r>
    </w:p>
    <w:p w14:paraId="1B58E63A" w14:textId="0DDB6029" w:rsidR="00343AFC" w:rsidRPr="005F62F4" w:rsidRDefault="00343AFC" w:rsidP="004F2931">
      <w:pPr>
        <w:pStyle w:val="Heading3"/>
      </w:pPr>
      <w:bookmarkStart w:id="131" w:name="Limitations"/>
      <w:bookmarkStart w:id="132" w:name="_Ref120189717"/>
      <w:bookmarkEnd w:id="131"/>
      <w:r w:rsidRPr="005F62F4">
        <w:t>Limitations</w:t>
      </w:r>
      <w:bookmarkEnd w:id="132"/>
    </w:p>
    <w:p w14:paraId="15F209B9" w14:textId="31685033" w:rsidR="00531F8E" w:rsidRPr="005F62F4" w:rsidRDefault="00C6448B" w:rsidP="00531F8E">
      <w:pPr>
        <w:pStyle w:val="Para"/>
      </w:pPr>
      <w:r w:rsidRPr="005F62F4">
        <w:t xml:space="preserve">In addition to </w:t>
      </w:r>
      <w:r w:rsidR="006E3509" w:rsidRPr="005F62F4">
        <w:t xml:space="preserve">the </w:t>
      </w:r>
      <w:r w:rsidR="00306103" w:rsidRPr="005F62F4">
        <w:t>sources of bias</w:t>
      </w:r>
      <w:r w:rsidR="006E3509" w:rsidRPr="005F62F4">
        <w:t xml:space="preserve"> described above,</w:t>
      </w:r>
      <w:r w:rsidR="00A64868" w:rsidRPr="005F62F4">
        <w:t xml:space="preserve"> </w:t>
      </w:r>
      <w:r w:rsidR="006E3509" w:rsidRPr="005F62F4">
        <w:t xml:space="preserve">authors of </w:t>
      </w:r>
      <w:r w:rsidR="00A64868" w:rsidRPr="005F62F4">
        <w:t>many</w:t>
      </w:r>
      <w:r w:rsidR="006E3509" w:rsidRPr="005F62F4">
        <w:t xml:space="preserve"> </w:t>
      </w:r>
      <w:r w:rsidR="00477A06" w:rsidRPr="005F62F4">
        <w:t>of the</w:t>
      </w:r>
      <w:r w:rsidR="006E3509" w:rsidRPr="005F62F4">
        <w:t xml:space="preserve"> included st</w:t>
      </w:r>
      <w:r w:rsidR="00A94898" w:rsidRPr="005F62F4">
        <w:t>u</w:t>
      </w:r>
      <w:r w:rsidR="006E3509" w:rsidRPr="005F62F4">
        <w:t xml:space="preserve">dies </w:t>
      </w:r>
      <w:r w:rsidR="00A94898" w:rsidRPr="005F62F4">
        <w:t>identified</w:t>
      </w:r>
      <w:r w:rsidR="001932E4" w:rsidRPr="005F62F4">
        <w:t xml:space="preserve"> limitations</w:t>
      </w:r>
      <w:r w:rsidR="00C321F0" w:rsidRPr="005F62F4">
        <w:t xml:space="preserve"> su</w:t>
      </w:r>
      <w:r w:rsidR="00BC4567" w:rsidRPr="005F62F4">
        <w:t>ch as</w:t>
      </w:r>
      <w:r w:rsidR="00201A02" w:rsidRPr="005F62F4">
        <w:t xml:space="preserve"> </w:t>
      </w:r>
      <w:r w:rsidR="00A0425A" w:rsidRPr="005F62F4">
        <w:t xml:space="preserve">small sample sizes, </w:t>
      </w:r>
      <w:r w:rsidR="00C61FA9" w:rsidRPr="005F62F4">
        <w:t xml:space="preserve">retrospective </w:t>
      </w:r>
      <w:r w:rsidR="00250735" w:rsidRPr="005F62F4">
        <w:t>study design</w:t>
      </w:r>
      <w:r w:rsidR="00C61FA9" w:rsidRPr="005F62F4">
        <w:t xml:space="preserve">, </w:t>
      </w:r>
      <w:r w:rsidR="00913958" w:rsidRPr="005F62F4">
        <w:t xml:space="preserve">the potential </w:t>
      </w:r>
      <w:r w:rsidR="00250735" w:rsidRPr="005F62F4">
        <w:t xml:space="preserve">for </w:t>
      </w:r>
      <w:r w:rsidR="00913958" w:rsidRPr="005F62F4">
        <w:t>selection bias</w:t>
      </w:r>
      <w:r w:rsidR="00250735" w:rsidRPr="005F62F4">
        <w:t xml:space="preserve">, </w:t>
      </w:r>
      <w:r w:rsidR="00AF7D7A" w:rsidRPr="005F62F4">
        <w:t xml:space="preserve">and virtual planning being </w:t>
      </w:r>
      <w:r w:rsidR="00A94898" w:rsidRPr="005F62F4">
        <w:t>‘</w:t>
      </w:r>
      <w:r w:rsidR="00AF7D7A" w:rsidRPr="005F62F4">
        <w:t>subjective and experience-based’</w:t>
      </w:r>
      <w:r w:rsidR="005212A9" w:rsidRPr="005F62F4">
        <w:t xml:space="preserve"> </w:t>
      </w:r>
      <w:r w:rsidR="00414617" w:rsidRPr="005F62F4">
        <w:fldChar w:fldCharType="begin" w:fldLock="1"/>
      </w:r>
      <w:r w:rsidR="00426819" w:rsidRPr="005F62F4">
        <w:instrText>ADDIN CSL_CITATION {"citationItems":[{"id":"ITEM-1","itemData":{"DOI":"10.1016/j.jcms.2016.08.014","ISSN":"18784119","PMID":"27713054","abstract":"While vascularized iliac crest flap is widely used for mandibular reconstruction, it is often challenging to predict the clinical outcome in a conventional operation based solely on the surgeon's experience. Herein, we aimed to improve this procedure by using computer-assisted techniques. We retrospectively reviewed records of 45 patients with mandibular tumor who underwent mandibulectomy and reconstruction with vascularized iliac crest flap from January 2008 to June 2015. Computer-assisted techniques including virtual plan, stereomodel, pre-bending individual reconstruction plate, and surgical navigation were used in 15 patients. The other 30 patients underwent conventional surgery based on the surgeon's experience. Condyle position and reconstructed mandible contour were evaluated based on post-operative computed tomography. Complications were also evaluated during the follow-up. Flap success rate of the patients was 95.6% (43/45). Those in the computer-assisted group presented with better outcomes of the mandibular contour (p = 0.001) and condyle position (p = 0.026). Further, they also experienced beneficial dental restoration (p = 0.011) and postoperative appearance (p = 0.028). The difference between postoperative effect and virtual plan was within the acceptable error margin. There is no significant difference in the incidence of post-operative complications. Thus, computer-assisted techniques can improve the clinical outcomes of mandibular reconstruction with vascularized iliac crest flap.","author":[{"dropping-particle":"","family":"Zhang","given":"Wen Bo","non-dropping-particle":"","parse-names":false,"suffix":""},{"dropping-particle":"","family":"Yu","given":"Yao","non-dropping-particle":"","parse-names":false,"suffix":""},{"dropping-particle":"","family":"Wang","given":"Yang","non-dropping-particle":"","parse-names":false,"suffix":""},{"dropping-particle":"","family":"Mao","given":"Chi","non-dropping-particle":"","parse-names":false,"suffix":""},{"dropping-particle":"","family":"Liu","given":"Xiao Jing","non-dropping-particle":"","parse-names":false,"suffix":""},{"dropping-particle":"Bin","family":"Guo","given":"Chuan","non-dropping-particle":"","parse-names":false,"suffix":""},{"dropping-particle":"","family":"Yu","given":"Guang Yan","non-dropping-particle":"","parse-names":false,"suffix":""},{"dropping-particle":"","family":"Peng","given":"Xin","non-dropping-particle":"","parse-names":false,"suffix":""}],"container-title":"Journal of Cranio-Maxillofacial Surgery","id":"ITEM-1","issue":"11","issued":{"date-parts":[["2016"]]},"page":"1819-1827","publisher":"Elsevier Ltd","title":"Improving the accuracy of mandibular reconstruction with vascularized iliac crest flap: role of computer-assisted techniques","type":"article-journal","volume":"44"},"uris":["http://www.mendeley.com/documents/?uuid=b6c1247a-92eb-4842-a3cd-812e1d7fe7e0"]}],"mendeley":{"formattedCitation":"(Zhang et al. 2016)","manualFormatting":"(Zhang et al. 2016, p. 1826)","plainTextFormattedCitation":"(Zhang et al. 2016)","previouslyFormattedCitation":"(Zhang et al. 2016)"},"properties":{"noteIndex":0},"schema":"https://github.com/citation-style-language/schema/raw/master/csl-citation.json"}</w:instrText>
      </w:r>
      <w:r w:rsidR="00414617" w:rsidRPr="005F62F4">
        <w:fldChar w:fldCharType="separate"/>
      </w:r>
      <w:r w:rsidR="00414617" w:rsidRPr="005F62F4">
        <w:rPr>
          <w:noProof/>
        </w:rPr>
        <w:t>(Zhang et al. 2016</w:t>
      </w:r>
      <w:r w:rsidR="00641D0E" w:rsidRPr="005F62F4">
        <w:rPr>
          <w:noProof/>
        </w:rPr>
        <w:t>, p. 1826</w:t>
      </w:r>
      <w:r w:rsidR="00414617" w:rsidRPr="005F62F4">
        <w:rPr>
          <w:noProof/>
        </w:rPr>
        <w:t>)</w:t>
      </w:r>
      <w:r w:rsidR="00414617" w:rsidRPr="005F62F4">
        <w:fldChar w:fldCharType="end"/>
      </w:r>
      <w:r w:rsidR="00AF7D7A" w:rsidRPr="005F62F4">
        <w:t xml:space="preserve"> </w:t>
      </w:r>
      <w:r w:rsidR="0033796F" w:rsidRPr="005F62F4">
        <w:t>meaning the</w:t>
      </w:r>
      <w:r w:rsidR="00AF7D7A" w:rsidRPr="005F62F4">
        <w:t xml:space="preserve"> results may not be generalisable to </w:t>
      </w:r>
      <w:r w:rsidR="00D319DA" w:rsidRPr="005F62F4">
        <w:t xml:space="preserve">other </w:t>
      </w:r>
      <w:r w:rsidR="00AF7D7A" w:rsidRPr="005F62F4">
        <w:t>surgeons</w:t>
      </w:r>
      <w:r w:rsidR="00201A02" w:rsidRPr="005F62F4">
        <w:t xml:space="preserve">. </w:t>
      </w:r>
      <w:r w:rsidR="004778CB" w:rsidRPr="005F62F4">
        <w:t>Other</w:t>
      </w:r>
      <w:r w:rsidR="006061FE" w:rsidRPr="005F62F4">
        <w:t xml:space="preserve"> </w:t>
      </w:r>
      <w:r w:rsidR="0076496A" w:rsidRPr="005F62F4">
        <w:t>authors</w:t>
      </w:r>
      <w:r w:rsidR="006061FE" w:rsidRPr="005F62F4">
        <w:t xml:space="preserve"> did not </w:t>
      </w:r>
      <w:r w:rsidR="00E76163" w:rsidRPr="005F62F4">
        <w:t xml:space="preserve">acknowledge </w:t>
      </w:r>
      <w:r w:rsidR="002F4AE1" w:rsidRPr="005F62F4">
        <w:t>any limitations to their research</w:t>
      </w:r>
      <w:r w:rsidR="00306103" w:rsidRPr="005F62F4">
        <w:t>, making it difficult to place</w:t>
      </w:r>
      <w:r w:rsidR="00AB5E3D" w:rsidRPr="005F62F4">
        <w:t xml:space="preserve"> findings </w:t>
      </w:r>
      <w:r w:rsidR="00C57081" w:rsidRPr="005F62F4">
        <w:t>‘</w:t>
      </w:r>
      <w:r w:rsidR="00AB5E3D" w:rsidRPr="005F62F4">
        <w:t>within their proper context to ensure readers are fully able to discern the credibility of a study’s conclusions, and generali</w:t>
      </w:r>
      <w:r w:rsidR="0050412F" w:rsidRPr="005F62F4">
        <w:t>s</w:t>
      </w:r>
      <w:r w:rsidR="009A32AC" w:rsidRPr="005F62F4">
        <w:t>e</w:t>
      </w:r>
      <w:r w:rsidR="00AB5E3D" w:rsidRPr="005F62F4">
        <w:t xml:space="preserve"> findings appropriately</w:t>
      </w:r>
      <w:r w:rsidR="00C57081" w:rsidRPr="005F62F4">
        <w:t>’</w:t>
      </w:r>
      <w:r w:rsidR="00460671" w:rsidRPr="005F62F4">
        <w:t xml:space="preserve"> </w:t>
      </w:r>
      <w:r w:rsidR="00460671" w:rsidRPr="005F62F4">
        <w:fldChar w:fldCharType="begin" w:fldLock="1"/>
      </w:r>
      <w:r w:rsidR="00FA54E2" w:rsidRPr="005F62F4">
        <w:instrText>ADDIN CSL_CITATION {"citationItems":[{"id":"ITEM-1","itemData":{"DOI":"10.1007/S40037-019-00530-X","ISSN":"2212277X","PMID":"31347033","abstract":"Study limitations represent weaknesses within a research design that may influence outcomes and conclusions of the research. Researchers have an obligation to the academic community to present complete and honest limitations of a presented study. Too often, authors use generic descriptions to describe study limitations. Including redundant or irrelevant limitations is an ineffective use of the already limited word count. A meaningful presentation of study limitations should describe the potential limitation, explain the implication of the limitation, provide possible alternative approaches, and describe steps taken to mitigate the limitation. This includes placing research findings within their proper context to ensure readers do not overemphasize or minimize findings. A more complete presentation will enrich the readers’ understanding of the study’s limitations and support future investigation.","author":[{"dropping-particle":"","family":"Ross","given":"Paula T.","non-dropping-particle":"","parse-names":false,"suffix":""},{"dropping-particle":"","family":"Bibler Zaidi","given":"Nikki L.","non-dropping-particle":"","parse-names":false,"suffix":""}],"container-title":"Perspectives on Medical Education","id":"ITEM-1","issue":"4","issued":{"date-parts":[["2019","8","1"]]},"page":"261","publisher":"Springer","title":"Limited by our limitations","type":"article-journal","volume":"8"},"uris":["http://www.mendeley.com/documents/?uuid=ff23157c-8243-38dc-a649-382d692ac6ff","http://www.mendeley.com/documents/?uuid=1fb6bc49-80fc-4a64-89b1-f08bfe6bb5fa"]}],"mendeley":{"formattedCitation":"(Ross and Bibler Zaidi 2019)","manualFormatting":"(Ross and Bibler Zaidi 2019, p. 261-262)","plainTextFormattedCitation":"(Ross and Bibler Zaidi 2019)","previouslyFormattedCitation":"(Ross and Bibler Zaidi 2019)"},"properties":{"noteIndex":0},"schema":"https://github.com/citation-style-language/schema/raw/master/csl-citation.json"}</w:instrText>
      </w:r>
      <w:r w:rsidR="00460671" w:rsidRPr="005F62F4">
        <w:fldChar w:fldCharType="separate"/>
      </w:r>
      <w:r w:rsidR="00460671" w:rsidRPr="005F62F4">
        <w:rPr>
          <w:noProof/>
        </w:rPr>
        <w:t>(Ross and Bibler Zaidi 2019</w:t>
      </w:r>
      <w:r w:rsidR="009A32AC" w:rsidRPr="005F62F4">
        <w:rPr>
          <w:noProof/>
        </w:rPr>
        <w:t>, p. 261-262</w:t>
      </w:r>
      <w:r w:rsidR="00460671" w:rsidRPr="005F62F4">
        <w:rPr>
          <w:noProof/>
        </w:rPr>
        <w:t>)</w:t>
      </w:r>
      <w:r w:rsidR="00460671" w:rsidRPr="005F62F4">
        <w:fldChar w:fldCharType="end"/>
      </w:r>
      <w:r w:rsidR="00A0655C" w:rsidRPr="005F62F4">
        <w:t xml:space="preserve">. </w:t>
      </w:r>
      <w:r w:rsidR="00531F8E" w:rsidRPr="005F62F4">
        <w:t xml:space="preserve">Further details on the author-identified limitations of their studies are </w:t>
      </w:r>
      <w:r w:rsidR="000F36A9" w:rsidRPr="005F62F4">
        <w:t>provided</w:t>
      </w:r>
      <w:r w:rsidR="00531F8E" w:rsidRPr="005F62F4">
        <w:t xml:space="preserve"> in </w:t>
      </w:r>
      <w:r w:rsidR="000F36A9" w:rsidRPr="005F62F4">
        <w:t>Section </w:t>
      </w:r>
      <w:r w:rsidR="00531F8E" w:rsidRPr="005F62F4">
        <w:fldChar w:fldCharType="begin"/>
      </w:r>
      <w:r w:rsidR="00531F8E" w:rsidRPr="005F62F4">
        <w:instrText xml:space="preserve"> REF _Ref119843079 \w \h </w:instrText>
      </w:r>
      <w:r w:rsidR="005F62F4">
        <w:instrText xml:space="preserve"> \* MERGEFORMAT </w:instrText>
      </w:r>
      <w:r w:rsidR="00531F8E" w:rsidRPr="005F62F4">
        <w:fldChar w:fldCharType="separate"/>
      </w:r>
      <w:r w:rsidR="005606BF">
        <w:t>C.6.3</w:t>
      </w:r>
      <w:r w:rsidR="00531F8E" w:rsidRPr="005F62F4">
        <w:fldChar w:fldCharType="end"/>
      </w:r>
      <w:r w:rsidR="00531F8E" w:rsidRPr="005F62F4">
        <w:t>.</w:t>
      </w:r>
    </w:p>
    <w:p w14:paraId="08AF8F21" w14:textId="67D956CF" w:rsidR="007E1F14" w:rsidRPr="005F62F4" w:rsidRDefault="007418C0" w:rsidP="00343AFC">
      <w:pPr>
        <w:pStyle w:val="Para"/>
      </w:pPr>
      <w:r w:rsidRPr="005F62F4">
        <w:t>In terms of future research, s</w:t>
      </w:r>
      <w:r w:rsidR="007E1F14" w:rsidRPr="005F62F4">
        <w:t xml:space="preserve">ome authors identified the need for more prospective studies </w:t>
      </w:r>
      <w:r w:rsidR="00306103" w:rsidRPr="005F62F4">
        <w:t xml:space="preserve">(including randomised controlled trials) </w:t>
      </w:r>
      <w:proofErr w:type="gramStart"/>
      <w:r w:rsidR="007E1F14" w:rsidRPr="005F62F4">
        <w:t>in order to</w:t>
      </w:r>
      <w:proofErr w:type="gramEnd"/>
      <w:r w:rsidR="007E1F14" w:rsidRPr="005F62F4">
        <w:t xml:space="preserve"> draw more definitive conclusions, </w:t>
      </w:r>
      <w:r w:rsidR="00306103" w:rsidRPr="005F62F4">
        <w:t xml:space="preserve">and for </w:t>
      </w:r>
      <w:r w:rsidR="007E1F14" w:rsidRPr="005F62F4">
        <w:t xml:space="preserve">follow-up to investigate the long-term </w:t>
      </w:r>
      <w:r w:rsidR="000B6F38" w:rsidRPr="005F62F4">
        <w:t xml:space="preserve">outcomes </w:t>
      </w:r>
      <w:r w:rsidR="00306103" w:rsidRPr="005F62F4">
        <w:t>of the interventions</w:t>
      </w:r>
      <w:r w:rsidR="007E1F14" w:rsidRPr="005F62F4">
        <w:t>.</w:t>
      </w:r>
    </w:p>
    <w:p w14:paraId="0CDA015C" w14:textId="4AC877E4" w:rsidR="00A76959" w:rsidRPr="005F62F4" w:rsidRDefault="008B664B" w:rsidP="00B716B6">
      <w:pPr>
        <w:pStyle w:val="Para"/>
      </w:pPr>
      <w:r w:rsidRPr="005F62F4">
        <w:t xml:space="preserve">Most studies assessed </w:t>
      </w:r>
      <w:r w:rsidR="0073415A" w:rsidRPr="005F62F4">
        <w:t>vi</w:t>
      </w:r>
      <w:r w:rsidR="002F77A9" w:rsidRPr="005F62F4">
        <w:t>rtu</w:t>
      </w:r>
      <w:r w:rsidR="0073415A" w:rsidRPr="005F62F4">
        <w:t xml:space="preserve">al surgical planning or computer-assisted planning </w:t>
      </w:r>
      <w:r w:rsidR="00197D6D" w:rsidRPr="005F62F4">
        <w:t xml:space="preserve">that </w:t>
      </w:r>
      <w:r w:rsidR="0073415A" w:rsidRPr="005F62F4">
        <w:t xml:space="preserve">included the use of surgical guides and/or </w:t>
      </w:r>
      <w:proofErr w:type="spellStart"/>
      <w:r w:rsidR="0073415A" w:rsidRPr="005F62F4">
        <w:t>biomodels</w:t>
      </w:r>
      <w:proofErr w:type="spellEnd"/>
      <w:r w:rsidR="00C01FC9" w:rsidRPr="005F62F4">
        <w:t xml:space="preserve"> (as well as</w:t>
      </w:r>
      <w:r w:rsidR="00A6782D" w:rsidRPr="005F62F4">
        <w:t>, in some cases</w:t>
      </w:r>
      <w:r w:rsidR="003B3DF4" w:rsidRPr="005F62F4">
        <w:t>,</w:t>
      </w:r>
      <w:r w:rsidR="00A6782D" w:rsidRPr="005F62F4">
        <w:t xml:space="preserve"> patient-specific implants)</w:t>
      </w:r>
      <w:r w:rsidR="0073415A" w:rsidRPr="005F62F4">
        <w:t xml:space="preserve">, rather than looking at the impacts of surgical guides and </w:t>
      </w:r>
      <w:proofErr w:type="spellStart"/>
      <w:r w:rsidR="0073415A" w:rsidRPr="005F62F4">
        <w:t>biomodels</w:t>
      </w:r>
      <w:proofErr w:type="spellEnd"/>
      <w:r w:rsidR="0073415A" w:rsidRPr="005F62F4">
        <w:t xml:space="preserve"> </w:t>
      </w:r>
      <w:r w:rsidR="00090A05" w:rsidRPr="005F62F4">
        <w:t>specifically</w:t>
      </w:r>
      <w:r w:rsidR="00882666" w:rsidRPr="005F62F4">
        <w:t>. As</w:t>
      </w:r>
      <w:r w:rsidR="0073415A" w:rsidRPr="005F62F4">
        <w:t xml:space="preserve"> such</w:t>
      </w:r>
      <w:r w:rsidR="00090A05" w:rsidRPr="005F62F4">
        <w:t>,</w:t>
      </w:r>
      <w:r w:rsidR="00882666" w:rsidRPr="005F62F4">
        <w:t xml:space="preserve"> </w:t>
      </w:r>
      <w:r w:rsidR="00090A05" w:rsidRPr="005F62F4">
        <w:t xml:space="preserve">outcomes </w:t>
      </w:r>
      <w:r w:rsidR="00882666" w:rsidRPr="005F62F4">
        <w:t xml:space="preserve">cannot be solely attributed to surgical guides and </w:t>
      </w:r>
      <w:proofErr w:type="spellStart"/>
      <w:r w:rsidR="00882666" w:rsidRPr="005F62F4">
        <w:t>biomodels</w:t>
      </w:r>
      <w:proofErr w:type="spellEnd"/>
      <w:r w:rsidR="00306103" w:rsidRPr="005F62F4">
        <w:t>, limiting our</w:t>
      </w:r>
      <w:r w:rsidR="0073415A" w:rsidRPr="005F62F4">
        <w:t xml:space="preserve"> ability to </w:t>
      </w:r>
      <w:r w:rsidR="0073415A" w:rsidRPr="005F62F4">
        <w:lastRenderedPageBreak/>
        <w:t>make definitive conclusions about the</w:t>
      </w:r>
      <w:r w:rsidR="00882666" w:rsidRPr="005F62F4">
        <w:t>ir</w:t>
      </w:r>
      <w:r w:rsidR="0073415A" w:rsidRPr="005F62F4">
        <w:t xml:space="preserve"> comparative </w:t>
      </w:r>
      <w:r w:rsidR="00882666" w:rsidRPr="005F62F4">
        <w:t xml:space="preserve">benefits and </w:t>
      </w:r>
      <w:r w:rsidR="0073415A" w:rsidRPr="005F62F4">
        <w:t>effectiveness</w:t>
      </w:r>
      <w:r w:rsidR="00A6782D" w:rsidRPr="005F62F4">
        <w:t xml:space="preserve"> in the absence of these other factors</w:t>
      </w:r>
      <w:r w:rsidR="00882666" w:rsidRPr="005F62F4">
        <w:t>.</w:t>
      </w:r>
    </w:p>
    <w:p w14:paraId="3153D816" w14:textId="33DCF53E" w:rsidR="00B716B6" w:rsidRPr="005F62F4" w:rsidRDefault="00E34B04" w:rsidP="00B716B6">
      <w:pPr>
        <w:pStyle w:val="Para"/>
      </w:pPr>
      <w:r w:rsidRPr="005F62F4">
        <w:t xml:space="preserve">As this review aimed to examine the comparable clinical evidence for in-scope products listed on the PL, the eligibility criteria and search terms used were specific to these products. </w:t>
      </w:r>
      <w:r w:rsidR="00A76959" w:rsidRPr="005F62F4">
        <w:t>However, t</w:t>
      </w:r>
      <w:r w:rsidR="00B716B6" w:rsidRPr="005F62F4">
        <w:t xml:space="preserve">he inherent role of virtual surgical planning in the production of surgical guides and </w:t>
      </w:r>
      <w:proofErr w:type="spellStart"/>
      <w:r w:rsidR="00B716B6" w:rsidRPr="005F62F4">
        <w:t>biomodels</w:t>
      </w:r>
      <w:proofErr w:type="spellEnd"/>
      <w:r w:rsidR="00B716B6" w:rsidRPr="005F62F4">
        <w:t xml:space="preserve">, the various protocols and software products used and the extent to which these are explicitly reported in the literature make it difficult to ‘match’ the available evidence with products listed on the PL. For example, one study identified </w:t>
      </w:r>
      <w:r w:rsidR="002D0E22" w:rsidRPr="005F62F4">
        <w:t>through</w:t>
      </w:r>
      <w:r w:rsidR="00B716B6" w:rsidRPr="005F62F4">
        <w:t xml:space="preserve"> the systematic review was excluded because, while </w:t>
      </w:r>
      <w:proofErr w:type="spellStart"/>
      <w:r w:rsidR="00B716B6" w:rsidRPr="005F62F4">
        <w:t>ProPlan</w:t>
      </w:r>
      <w:proofErr w:type="spellEnd"/>
      <w:r w:rsidR="00B716B6" w:rsidRPr="005F62F4">
        <w:t xml:space="preserve"> CMF was used </w:t>
      </w:r>
      <w:r w:rsidR="00044B2A" w:rsidRPr="005F62F4">
        <w:t>as part of the</w:t>
      </w:r>
      <w:r w:rsidR="00B716B6" w:rsidRPr="005F62F4">
        <w:t xml:space="preserve"> workflow described, a different software package was used to conduct the virtual surgical planning </w:t>
      </w:r>
      <w:r w:rsidR="00B716B6" w:rsidRPr="005F62F4">
        <w:fldChar w:fldCharType="begin" w:fldLock="1"/>
      </w:r>
      <w:r w:rsidR="00B716B6" w:rsidRPr="005F62F4">
        <w:instrText>ADDIN CSL_CITATION {"citationItems":[{"id":"ITEM-1","itemData":{"DOI":"10.1016/j.joms.2022.01.006","ISSN":"15315053","PMID":"35151639","abstract":"Purpose: An extension of digital technology is to provide patient-specific hardware to reposition the first jaw in a bimaxillary case without the use of an intermediate splint. The purpose of our study was to determine if there were significant differences in maxillary repositioning using interim splints versus patient-specific guides and implants (PSIs) in executing a bimaxillary virtual surgical plan (VSP). Materials and Methods: This is a retrospective cohort study of patients who underwent bimaxillary orthognathic surgery with interim splints or PSIs planned with VSP at our institution. The difference in maxillary positions from the VSP to the postoperative cone-beam computed tomography (CBCT) was evaluated in both groups. The primary predictor variable was the method by which the maxilla was repositioned (interim splint vs PSI). The primary outcome variable was the postoperative 3D position of the maxillary incisors and right and left first molars in the anteroposterior, transverse, and vertical dimensions. Differences in the planned and postoperative positions of the above landmarks in all three planes of space between the two groups were statistically analyzed. Results: A total of 82 patients were included. 13 patients had their maxillae repositioned with an interim splint between the unoperated mandible and the mobile maxilla, and 69 patients had their maxilla repositioned using custom drill/cutting guides and a PSI. The mean difference between the planned and actual position of the maxilla in the PSI group was smaller than in the splint group. In the PSI group alone, vertical changes were accurate whether the maxilla was being superiorly or inferiorly repositioned. Conclusion: The use of a PSI provides more accurate maxillary repositioning during bimaxillary surgery than the use of an interim splint.","author":[{"dropping-particle":"","family":"Jones","given":"Jason P.","non-dropping-particle":"","parse-names":false,"suffix":""},{"dropping-particle":"","family":"Amarista","given":"Felix J.","non-dropping-particle":"","parse-names":false,"suffix":""},{"dropping-particle":"","family":"Jeske","given":"Nathaniel A.","non-dropping-particle":"","parse-names":false,"suffix":""},{"dropping-particle":"","family":"Szalay","given":"David","non-dropping-particle":"","parse-names":false,"suffix":""},{"dropping-particle":"","family":"Ellis","given":"Edward","non-dropping-particle":"","parse-names":false,"suffix":""}],"container-title":"Journal of Oral and Maxillofacial Surgery","id":"ITEM-1","issue":"5","issued":{"date-parts":[["2022"]]},"page":"827-837","title":"Comparison of the accuracy of maxillary positioning with interim splints versus patient-specific guides and plates in executing a virtual bimaxillary surgical plan","type":"article-journal","volume":"80"},"uris":["http://www.mendeley.com/documents/?uuid=48a3dcdb-531c-4fd5-aad7-c12c168dfb93"]}],"mendeley":{"formattedCitation":"(Jones et al. 2022)","plainTextFormattedCitation":"(Jones et al. 2022)","previouslyFormattedCitation":"(Jones et al. 2022)"},"properties":{"noteIndex":0},"schema":"https://github.com/citation-style-language/schema/raw/master/csl-citation.json"}</w:instrText>
      </w:r>
      <w:r w:rsidR="00B716B6" w:rsidRPr="005F62F4">
        <w:fldChar w:fldCharType="separate"/>
      </w:r>
      <w:r w:rsidR="00B716B6" w:rsidRPr="005F62F4">
        <w:rPr>
          <w:noProof/>
        </w:rPr>
        <w:t>(Jones et al. 2022)</w:t>
      </w:r>
      <w:r w:rsidR="00B716B6" w:rsidRPr="005F62F4">
        <w:fldChar w:fldCharType="end"/>
      </w:r>
      <w:r w:rsidR="00B716B6" w:rsidRPr="005F62F4">
        <w:t xml:space="preserve">. Another study used </w:t>
      </w:r>
      <w:proofErr w:type="spellStart"/>
      <w:r w:rsidR="00B716B6" w:rsidRPr="005F62F4">
        <w:t>ProPlan</w:t>
      </w:r>
      <w:proofErr w:type="spellEnd"/>
      <w:r w:rsidR="00B716B6" w:rsidRPr="005F62F4">
        <w:t xml:space="preserve"> software for the virtual surgical planning but then another software product for the design of the surgical guide </w:t>
      </w:r>
      <w:r w:rsidR="00B716B6" w:rsidRPr="005F62F4">
        <w:fldChar w:fldCharType="begin" w:fldLock="1"/>
      </w:r>
      <w:r w:rsidR="00B343BB" w:rsidRPr="005F62F4">
        <w:instrText>ADDIN CSL_CITATION {"citationItems":[{"id":"ITEM-1","itemData":{"DOI":"10.1186/1745-6215-15-114","ISSN":"17456215","PMID":"24716651","abstract":"Background: Computer-assisted surgery plays an increasingly important role in mandibular reconstruction, ensuring the best possible masticatory function and aesthetic outcome.Methods: Twenty patients were randomly assigned to computer-assisted or conventional mandibular reconstruction with vascularized iliac crest bone graft in a prospective study design.Virtual surgical planning was based on preoperative CT-data using specific surgical planning software. A rapid prototyping guide transferred the virtual surgery plan to the operation site. During surgery the transplant ischemic time, reconstruction time, time for shaping the transplant and amount of bone removed were measured. Additionally, the difference in the intercondylar distance before and after surgery was calculated.Results: Computer-assisted surgery shortened the time of transplant ischemia (P &lt; 0.005) and defect reconstruction (P &lt; 0.001) compared to conventional surgery. The time to saw and shape the transplant at the donor site was shorter using conventional surgery (P &lt; 0.005); therefore, the overall time for surgery didn't change (P = 0.527). In the computer-assisted group, the amount of bone harvested equaled the defect size, whereas the transplant size in the conventional group exceeded the defect site by 16.8 ± 5.6 mm (P &lt; 0.001) on average. The intercondylar distance before compared to after surgery was less affected in the computer-assisted than in the conventional group (P &lt; 0.001).Conclusions: The presented study shows that computer-assisted surgery can help reduce the time for mandibular defect reconstruction and consequently the transplant ischemic time. In the computer-assisted group, the iliac crest donor site defect was downsized and the postoperative condyle position was less altered, reducing possible risks of postoperative complications and donor site morbidity.Trial Registration: DRKS00005181. © 2014 Ayoub et al.; licensee BioMed Central Ltd.","author":[{"dropping-particle":"","family":"Ayoub","given":"Nassim","non-dropping-particle":"","parse-names":false,"suffix":""},{"dropping-particle":"","family":"Ghassemi","given":"Alireza","non-dropping-particle":"","parse-names":false,"suffix":""},{"dropping-particle":"","family":"Rana","given":"Majeed","non-dropping-particle":"","parse-names":false,"suffix":""},{"dropping-particle":"","family":"Gerressen","given":"Marcus","non-dropping-particle":"","parse-names":false,"suffix":""},{"dropping-particle":"","family":"Riediger","given":"Dieter","non-dropping-particle":"","parse-names":false,"suffix":""},{"dropping-particle":"","family":"Hölzle","given":"Frank","non-dropping-particle":"","parse-names":false,"suffix":""},{"dropping-particle":"","family":"Modabber","given":"Ali","non-dropping-particle":"","parse-names":false,"suffix":""}],"container-title":"Trials","id":"ITEM-1","issue":"1","issued":{"date-parts":[["2014"]]},"title":"Evaluation of computer-assisted mandibular reconstruction with vascularized iliac crest bone graft compared to conventional surgery: A randomized prospective clinical trial","type":"article-journal","volume":"15"},"uris":["http://www.mendeley.com/documents/?uuid=58a8d700-4aa1-447d-8d4f-6caf016dec6d"]}],"mendeley":{"formattedCitation":"(Ayoub et al. 2014)","plainTextFormattedCitation":"(Ayoub et al. 2014)","previouslyFormattedCitation":"(Ayoub et al. 2014)"},"properties":{"noteIndex":0},"schema":"https://github.com/citation-style-language/schema/raw/master/csl-citation.json"}</w:instrText>
      </w:r>
      <w:r w:rsidR="00B716B6" w:rsidRPr="005F62F4">
        <w:fldChar w:fldCharType="separate"/>
      </w:r>
      <w:r w:rsidR="00B716B6" w:rsidRPr="005F62F4">
        <w:rPr>
          <w:noProof/>
        </w:rPr>
        <w:t>(Ayoub et al. 2014)</w:t>
      </w:r>
      <w:r w:rsidR="00B716B6" w:rsidRPr="005F62F4">
        <w:fldChar w:fldCharType="end"/>
      </w:r>
      <w:r w:rsidR="00B716B6" w:rsidRPr="005F62F4">
        <w:t>.</w:t>
      </w:r>
    </w:p>
    <w:p w14:paraId="21DFE35F" w14:textId="6AA9F1A0" w:rsidR="002732BA" w:rsidRPr="005F62F4" w:rsidRDefault="00B716B6" w:rsidP="00B716B6">
      <w:pPr>
        <w:pStyle w:val="Para"/>
      </w:pPr>
      <w:r w:rsidRPr="005F62F4">
        <w:t xml:space="preserve">Conversely, some stakeholders argued that there is no need to differentiate evidence for the </w:t>
      </w:r>
      <w:r w:rsidR="006744EF" w:rsidRPr="005F62F4">
        <w:t>specific</w:t>
      </w:r>
      <w:r w:rsidRPr="005F62F4">
        <w:t xml:space="preserve"> products listed on the PL from </w:t>
      </w:r>
      <w:r w:rsidR="00A041D0" w:rsidRPr="005F62F4">
        <w:t xml:space="preserve">the broader </w:t>
      </w:r>
      <w:r w:rsidRPr="005F62F4">
        <w:t xml:space="preserve">evidence for </w:t>
      </w:r>
      <w:r w:rsidR="00A041D0" w:rsidRPr="005F62F4">
        <w:t xml:space="preserve">surgical guides and </w:t>
      </w:r>
      <w:proofErr w:type="spellStart"/>
      <w:r w:rsidR="00A041D0" w:rsidRPr="005F62F4">
        <w:t>biomodels</w:t>
      </w:r>
      <w:proofErr w:type="spellEnd"/>
      <w:r w:rsidRPr="005F62F4">
        <w:t xml:space="preserve">, as many utilise the same </w:t>
      </w:r>
      <w:r w:rsidR="00BD5903" w:rsidRPr="005F62F4">
        <w:t xml:space="preserve">or similar </w:t>
      </w:r>
      <w:r w:rsidRPr="005F62F4">
        <w:t>back-end software for virtual surgical planning</w:t>
      </w:r>
      <w:r w:rsidR="004759DE" w:rsidRPr="005F62F4">
        <w:t>,</w:t>
      </w:r>
      <w:r w:rsidRPr="005F62F4">
        <w:t xml:space="preserve"> design </w:t>
      </w:r>
      <w:r w:rsidR="00547EA6" w:rsidRPr="005F62F4">
        <w:t>and production</w:t>
      </w:r>
      <w:r w:rsidRPr="005F62F4">
        <w:t xml:space="preserve">. </w:t>
      </w:r>
      <w:r w:rsidR="00A94641" w:rsidRPr="005F62F4">
        <w:t xml:space="preserve">To address this, </w:t>
      </w:r>
      <w:r w:rsidR="00547EA6" w:rsidRPr="005F62F4">
        <w:t xml:space="preserve">we </w:t>
      </w:r>
      <w:r w:rsidR="007D0CC4" w:rsidRPr="005F62F4">
        <w:t>conducted a desktop review of the broader evidence (see</w:t>
      </w:r>
      <w:r w:rsidR="005959F4">
        <w:t xml:space="preserve"> Section </w:t>
      </w:r>
      <w:r w:rsidR="005959F4">
        <w:fldChar w:fldCharType="begin"/>
      </w:r>
      <w:r w:rsidR="005959F4">
        <w:instrText xml:space="preserve"> REF _Ref129954036 \n \h </w:instrText>
      </w:r>
      <w:r w:rsidR="005959F4">
        <w:fldChar w:fldCharType="separate"/>
      </w:r>
      <w:r w:rsidR="005959F4">
        <w:t>2.4</w:t>
      </w:r>
      <w:r w:rsidR="005959F4">
        <w:fldChar w:fldCharType="end"/>
      </w:r>
      <w:r w:rsidR="007D0CC4" w:rsidRPr="005F62F4">
        <w:t>)</w:t>
      </w:r>
      <w:r w:rsidR="00DE5A91" w:rsidRPr="005F62F4">
        <w:t>.</w:t>
      </w:r>
    </w:p>
    <w:p w14:paraId="208950EC" w14:textId="421D4F39" w:rsidR="00427611" w:rsidRPr="005F62F4" w:rsidRDefault="00427611" w:rsidP="004F2931">
      <w:pPr>
        <w:pStyle w:val="Heading3"/>
      </w:pPr>
      <w:r w:rsidRPr="005F62F4">
        <w:t>Conclusions</w:t>
      </w:r>
    </w:p>
    <w:p w14:paraId="50D08BD5" w14:textId="07AC343F" w:rsidR="00EF190C" w:rsidRPr="005F62F4" w:rsidRDefault="00427611" w:rsidP="001136CE">
      <w:pPr>
        <w:pStyle w:val="Para"/>
      </w:pPr>
      <w:r w:rsidRPr="005F62F4">
        <w:t xml:space="preserve">Overall, the </w:t>
      </w:r>
      <w:r w:rsidR="00306103" w:rsidRPr="005F62F4">
        <w:t>findings of this</w:t>
      </w:r>
      <w:r w:rsidR="008C7BC3" w:rsidRPr="005F62F4">
        <w:t xml:space="preserve"> systematic review</w:t>
      </w:r>
      <w:r w:rsidRPr="005F62F4">
        <w:t xml:space="preserve"> indicate that</w:t>
      </w:r>
      <w:r w:rsidR="00E942A2" w:rsidRPr="005F62F4">
        <w:t>,</w:t>
      </w:r>
      <w:r w:rsidRPr="005F62F4">
        <w:t xml:space="preserve"> in the </w:t>
      </w:r>
      <w:r w:rsidR="00AE58AB" w:rsidRPr="005F62F4">
        <w:t xml:space="preserve">CMF </w:t>
      </w:r>
      <w:r w:rsidRPr="005F62F4">
        <w:t xml:space="preserve">context, </w:t>
      </w:r>
      <w:r w:rsidR="00125E55" w:rsidRPr="005F62F4">
        <w:t>guided implant surgery</w:t>
      </w:r>
      <w:r w:rsidRPr="005F62F4">
        <w:t xml:space="preserve"> </w:t>
      </w:r>
      <w:r w:rsidR="00306103" w:rsidRPr="005F62F4">
        <w:t xml:space="preserve">– </w:t>
      </w:r>
      <w:r w:rsidRPr="005F62F4">
        <w:t xml:space="preserve">including the use of surgical guides and </w:t>
      </w:r>
      <w:proofErr w:type="spellStart"/>
      <w:r w:rsidRPr="005F62F4">
        <w:t>biomodels</w:t>
      </w:r>
      <w:proofErr w:type="spellEnd"/>
      <w:r w:rsidRPr="005F62F4">
        <w:t xml:space="preserve"> </w:t>
      </w:r>
      <w:r w:rsidR="00306103" w:rsidRPr="005F62F4">
        <w:t xml:space="preserve">– </w:t>
      </w:r>
      <w:r w:rsidR="002D77FF" w:rsidRPr="005F62F4">
        <w:t>is associated with</w:t>
      </w:r>
      <w:r w:rsidRPr="005F62F4">
        <w:t xml:space="preserve"> comparable or better </w:t>
      </w:r>
      <w:r w:rsidR="00771461" w:rsidRPr="005F62F4">
        <w:t xml:space="preserve">clinical outcomes </w:t>
      </w:r>
      <w:r w:rsidRPr="005F62F4">
        <w:t>than the relevant comparators.</w:t>
      </w:r>
    </w:p>
    <w:p w14:paraId="5E0A4DAE" w14:textId="57CEDD25" w:rsidR="00427611" w:rsidRPr="005F62F4" w:rsidRDefault="00427611" w:rsidP="00560E50">
      <w:pPr>
        <w:pStyle w:val="Para"/>
      </w:pPr>
      <w:r w:rsidRPr="005F62F4">
        <w:t xml:space="preserve">These findings only relate to </w:t>
      </w:r>
      <w:proofErr w:type="spellStart"/>
      <w:r w:rsidRPr="005F62F4">
        <w:t>ProPlan</w:t>
      </w:r>
      <w:proofErr w:type="spellEnd"/>
      <w:r w:rsidRPr="005F62F4">
        <w:t xml:space="preserve">. There were no studies </w:t>
      </w:r>
      <w:r w:rsidR="00B61320" w:rsidRPr="005F62F4">
        <w:t xml:space="preserve">identified </w:t>
      </w:r>
      <w:r w:rsidRPr="005F62F4">
        <w:t xml:space="preserve">for the other products listed on the PL </w:t>
      </w:r>
      <w:r w:rsidR="00F42869" w:rsidRPr="005F62F4">
        <w:t xml:space="preserve">that </w:t>
      </w:r>
      <w:r w:rsidR="00221665" w:rsidRPr="005F62F4">
        <w:t>met the inclusion criteria for the systematic review</w:t>
      </w:r>
      <w:r w:rsidR="003A0F93" w:rsidRPr="005F62F4">
        <w:t>. As</w:t>
      </w:r>
      <w:r w:rsidRPr="005F62F4">
        <w:t xml:space="preserve"> such, there is insufficient evidence to comment on their comparative clinical effectiveness and benefits.</w:t>
      </w:r>
    </w:p>
    <w:p w14:paraId="115DC777" w14:textId="7E1620E9" w:rsidR="00641EB5" w:rsidRPr="005F62F4" w:rsidRDefault="004003FC" w:rsidP="00560E50">
      <w:pPr>
        <w:pStyle w:val="Para"/>
      </w:pPr>
      <w:r w:rsidRPr="005F62F4">
        <w:t xml:space="preserve">In addition, </w:t>
      </w:r>
      <w:r w:rsidR="00734A93" w:rsidRPr="005F62F4">
        <w:t xml:space="preserve">the </w:t>
      </w:r>
      <w:r w:rsidR="00C57081" w:rsidRPr="005F62F4">
        <w:t>2</w:t>
      </w:r>
      <w:r w:rsidR="00BC092B" w:rsidRPr="005F62F4">
        <w:t> </w:t>
      </w:r>
      <w:r w:rsidR="00734A93" w:rsidRPr="005F62F4">
        <w:t xml:space="preserve">studies where </w:t>
      </w:r>
      <w:proofErr w:type="spellStart"/>
      <w:r w:rsidR="00734A93" w:rsidRPr="005F62F4">
        <w:t>ProPlan</w:t>
      </w:r>
      <w:proofErr w:type="spellEnd"/>
      <w:r w:rsidR="00734A93" w:rsidRPr="005F62F4">
        <w:t xml:space="preserve"> </w:t>
      </w:r>
      <w:r w:rsidR="00FD3A59" w:rsidRPr="005F62F4">
        <w:t>virtual surgical planning</w:t>
      </w:r>
      <w:r w:rsidR="00734A93" w:rsidRPr="005F62F4">
        <w:t xml:space="preserve"> </w:t>
      </w:r>
      <w:r w:rsidR="00966630" w:rsidRPr="005F62F4">
        <w:t>was compared to alternative methods</w:t>
      </w:r>
      <w:r w:rsidR="00C75FF6" w:rsidRPr="005F62F4">
        <w:t xml:space="preserve"> found no meaningful difference between </w:t>
      </w:r>
      <w:proofErr w:type="spellStart"/>
      <w:r w:rsidR="00C75FF6" w:rsidRPr="005F62F4">
        <w:t>ProPlan</w:t>
      </w:r>
      <w:proofErr w:type="spellEnd"/>
      <w:r w:rsidR="00C75FF6" w:rsidRPr="005F62F4">
        <w:t xml:space="preserve"> and these other approaches</w:t>
      </w:r>
      <w:r w:rsidR="00523ED9" w:rsidRPr="005F62F4">
        <w:t>.</w:t>
      </w:r>
    </w:p>
    <w:p w14:paraId="18939B53" w14:textId="14A82300" w:rsidR="00ED6936" w:rsidRPr="005F62F4" w:rsidRDefault="00306103" w:rsidP="00560E50">
      <w:pPr>
        <w:pStyle w:val="Para"/>
      </w:pPr>
      <w:bookmarkStart w:id="133" w:name="_Ref119397998"/>
      <w:r w:rsidRPr="005F62F4">
        <w:t>Importantly</w:t>
      </w:r>
      <w:r w:rsidR="00EF071E" w:rsidRPr="005F62F4">
        <w:t>,</w:t>
      </w:r>
      <w:r w:rsidR="00587C4B" w:rsidRPr="005F62F4">
        <w:t xml:space="preserve"> </w:t>
      </w:r>
      <w:r w:rsidR="00ED6936" w:rsidRPr="005F62F4">
        <w:t>the</w:t>
      </w:r>
      <w:r w:rsidRPr="005F62F4">
        <w:t>se</w:t>
      </w:r>
      <w:r w:rsidR="00ED6936" w:rsidRPr="005F62F4">
        <w:t xml:space="preserve"> findings should be considered </w:t>
      </w:r>
      <w:proofErr w:type="gramStart"/>
      <w:r w:rsidR="00ED6936" w:rsidRPr="005F62F4">
        <w:t>in light of</w:t>
      </w:r>
      <w:proofErr w:type="gramEnd"/>
      <w:r w:rsidR="00ED6936" w:rsidRPr="005F62F4">
        <w:t xml:space="preserve"> the </w:t>
      </w:r>
      <w:r w:rsidR="00A853FE" w:rsidRPr="005F62F4">
        <w:t xml:space="preserve">strength </w:t>
      </w:r>
      <w:r w:rsidR="00ED6936" w:rsidRPr="005F62F4">
        <w:t>of the evidence</w:t>
      </w:r>
      <w:r w:rsidR="00502465" w:rsidRPr="005F62F4">
        <w:t xml:space="preserve">, </w:t>
      </w:r>
      <w:r w:rsidRPr="005F62F4">
        <w:t>including the po</w:t>
      </w:r>
      <w:r w:rsidR="00AD01F7" w:rsidRPr="005F62F4">
        <w:t>tential for</w:t>
      </w:r>
      <w:r w:rsidR="00267D51" w:rsidRPr="005F62F4">
        <w:t xml:space="preserve"> bias</w:t>
      </w:r>
      <w:bookmarkEnd w:id="133"/>
      <w:r w:rsidR="00376370" w:rsidRPr="005F62F4">
        <w:t>.</w:t>
      </w:r>
    </w:p>
    <w:p w14:paraId="52825FDD" w14:textId="77777777" w:rsidR="00014E20" w:rsidRPr="005F62F4" w:rsidRDefault="00014E20" w:rsidP="00014E20">
      <w:bookmarkStart w:id="134" w:name="_Ref119398078"/>
      <w:bookmarkStart w:id="135" w:name="_Toc120178314"/>
      <w:bookmarkStart w:id="136" w:name="_Ref127185953"/>
      <w:r w:rsidRPr="005F62F4">
        <w:br w:type="page"/>
      </w:r>
    </w:p>
    <w:p w14:paraId="28C067C7" w14:textId="1153732C" w:rsidR="000C5CFF" w:rsidRPr="005F62F4" w:rsidRDefault="00BF2CD2" w:rsidP="004F2931">
      <w:pPr>
        <w:pStyle w:val="Heading2"/>
      </w:pPr>
      <w:bookmarkStart w:id="137" w:name="_Ref129954036"/>
      <w:bookmarkStart w:id="138" w:name="_Toc129954606"/>
      <w:r w:rsidRPr="005F62F4">
        <w:lastRenderedPageBreak/>
        <w:t>Desktop review of b</w:t>
      </w:r>
      <w:r w:rsidR="00CD4389" w:rsidRPr="005F62F4">
        <w:t xml:space="preserve">roader evidence for surgical guides and </w:t>
      </w:r>
      <w:proofErr w:type="spellStart"/>
      <w:r w:rsidR="00CD4389" w:rsidRPr="005F62F4">
        <w:t>biomodels</w:t>
      </w:r>
      <w:bookmarkEnd w:id="134"/>
      <w:bookmarkEnd w:id="135"/>
      <w:bookmarkEnd w:id="136"/>
      <w:bookmarkEnd w:id="137"/>
      <w:bookmarkEnd w:id="138"/>
      <w:proofErr w:type="spellEnd"/>
    </w:p>
    <w:p w14:paraId="22918DA5" w14:textId="745CF88D" w:rsidR="008A7E6E" w:rsidRPr="005F62F4" w:rsidRDefault="00122A59" w:rsidP="00700307">
      <w:pPr>
        <w:pStyle w:val="ParaKeep"/>
        <w:keepLines/>
      </w:pPr>
      <w:r w:rsidRPr="005F62F4">
        <w:t>To supplement the evidence</w:t>
      </w:r>
      <w:r w:rsidR="00E946E0" w:rsidRPr="005F62F4">
        <w:t xml:space="preserve"> presented in</w:t>
      </w:r>
      <w:r w:rsidR="00E434EC" w:rsidRPr="005F62F4">
        <w:t xml:space="preserve"> </w:t>
      </w:r>
      <w:r w:rsidR="002958CB" w:rsidRPr="005F62F4">
        <w:t>S</w:t>
      </w:r>
      <w:r w:rsidR="00E434EC" w:rsidRPr="005F62F4">
        <w:t>ection</w:t>
      </w:r>
      <w:r w:rsidR="00E946E0" w:rsidRPr="005F62F4">
        <w:t xml:space="preserve"> </w:t>
      </w:r>
      <w:r w:rsidR="005867BF" w:rsidRPr="005F62F4">
        <w:fldChar w:fldCharType="begin"/>
      </w:r>
      <w:r w:rsidR="005867BF" w:rsidRPr="005F62F4">
        <w:instrText xml:space="preserve"> REF _Ref120694984 \r \h </w:instrText>
      </w:r>
      <w:r w:rsidR="005F62F4">
        <w:instrText xml:space="preserve"> \* MERGEFORMAT </w:instrText>
      </w:r>
      <w:r w:rsidR="005867BF" w:rsidRPr="005F62F4">
        <w:fldChar w:fldCharType="separate"/>
      </w:r>
      <w:r w:rsidR="005606BF">
        <w:t>2.2</w:t>
      </w:r>
      <w:r w:rsidR="005867BF" w:rsidRPr="005F62F4">
        <w:fldChar w:fldCharType="end"/>
      </w:r>
      <w:r w:rsidR="00E946E0" w:rsidRPr="005F62F4">
        <w:t xml:space="preserve"> above, </w:t>
      </w:r>
      <w:r w:rsidR="003A69C9" w:rsidRPr="005F62F4">
        <w:t xml:space="preserve">we conducted </w:t>
      </w:r>
      <w:r w:rsidR="00C123C0" w:rsidRPr="005F62F4">
        <w:t xml:space="preserve">a desktop review </w:t>
      </w:r>
      <w:r w:rsidR="00B4599F" w:rsidRPr="005F62F4">
        <w:t xml:space="preserve">to </w:t>
      </w:r>
      <w:r w:rsidR="005945C9" w:rsidRPr="005F62F4">
        <w:t>identif</w:t>
      </w:r>
      <w:r w:rsidR="00B4599F" w:rsidRPr="005F62F4">
        <w:t>y</w:t>
      </w:r>
      <w:r w:rsidR="00C123C0" w:rsidRPr="005F62F4">
        <w:t xml:space="preserve"> </w:t>
      </w:r>
      <w:r w:rsidR="005945C9" w:rsidRPr="005F62F4">
        <w:t>recent, synthesised, high-quality and peer-reviewed evidence</w:t>
      </w:r>
      <w:r w:rsidR="008D4EE3" w:rsidRPr="005F62F4">
        <w:t xml:space="preserve"> relevant to </w:t>
      </w:r>
      <w:r w:rsidR="009A572A" w:rsidRPr="005F62F4">
        <w:t xml:space="preserve">the broader category of </w:t>
      </w:r>
      <w:r w:rsidR="008D4EE3" w:rsidRPr="005F62F4">
        <w:t xml:space="preserve">surgical guides and </w:t>
      </w:r>
      <w:proofErr w:type="spellStart"/>
      <w:r w:rsidR="008D4EE3" w:rsidRPr="005F62F4">
        <w:t>biomodels</w:t>
      </w:r>
      <w:proofErr w:type="spellEnd"/>
      <w:r w:rsidR="009A572A" w:rsidRPr="005F62F4">
        <w:t xml:space="preserve"> </w:t>
      </w:r>
      <w:r w:rsidR="00C80131" w:rsidRPr="005F62F4">
        <w:t>in the context of prosthes</w:t>
      </w:r>
      <w:r w:rsidR="00967638" w:rsidRPr="005F62F4">
        <w:t>i</w:t>
      </w:r>
      <w:r w:rsidR="00C80131" w:rsidRPr="005F62F4">
        <w:t xml:space="preserve">s </w:t>
      </w:r>
      <w:r w:rsidR="00EE15F8" w:rsidRPr="005F62F4">
        <w:t xml:space="preserve">implantation </w:t>
      </w:r>
      <w:r w:rsidR="009A572A" w:rsidRPr="005F62F4">
        <w:t>(i.e. not limited to specific products</w:t>
      </w:r>
      <w:r w:rsidR="00EB31CA" w:rsidRPr="005F62F4">
        <w:t xml:space="preserve"> on the PL</w:t>
      </w:r>
      <w:r w:rsidR="009A572A" w:rsidRPr="005F62F4">
        <w:t xml:space="preserve">). </w:t>
      </w:r>
      <w:r w:rsidR="00967638" w:rsidRPr="005F62F4">
        <w:t>This review</w:t>
      </w:r>
      <w:r w:rsidR="00B17CF9" w:rsidRPr="005F62F4">
        <w:t xml:space="preserve"> was</w:t>
      </w:r>
      <w:r w:rsidR="008A7E6E" w:rsidRPr="005F62F4">
        <w:t xml:space="preserve"> designed to provide a snapshot of current knowledge and trends in the evidence for </w:t>
      </w:r>
      <w:r w:rsidR="00286835" w:rsidRPr="005F62F4">
        <w:t xml:space="preserve">surgical guides and </w:t>
      </w:r>
      <w:proofErr w:type="spellStart"/>
      <w:r w:rsidR="00286835" w:rsidRPr="005F62F4">
        <w:t>biomodels</w:t>
      </w:r>
      <w:proofErr w:type="spellEnd"/>
      <w:r w:rsidR="008A7E6E" w:rsidRPr="005F62F4">
        <w:t xml:space="preserve">, including the contexts in which they are </w:t>
      </w:r>
      <w:proofErr w:type="gramStart"/>
      <w:r w:rsidR="008A7E6E" w:rsidRPr="005F62F4">
        <w:t>used</w:t>
      </w:r>
      <w:proofErr w:type="gramEnd"/>
      <w:r w:rsidR="008A7E6E" w:rsidRPr="005F62F4">
        <w:t xml:space="preserve"> and the outcomes commonly reported in the evidence base. It </w:t>
      </w:r>
      <w:r w:rsidR="00B17CF9" w:rsidRPr="005F62F4">
        <w:t>wa</w:t>
      </w:r>
      <w:r w:rsidR="008A7E6E" w:rsidRPr="005F62F4">
        <w:t>s not intended to be</w:t>
      </w:r>
      <w:r w:rsidR="00B17CF9" w:rsidRPr="005F62F4">
        <w:t xml:space="preserve"> </w:t>
      </w:r>
      <w:r w:rsidR="008A7E6E" w:rsidRPr="005F62F4">
        <w:t>a systematic review of published literature and does not represent a complete or comprehensive summary of the literature available.</w:t>
      </w:r>
    </w:p>
    <w:p w14:paraId="7610CE37" w14:textId="57A01996" w:rsidR="00A42D92" w:rsidRPr="005F62F4" w:rsidRDefault="00885F02" w:rsidP="00603830">
      <w:pPr>
        <w:pStyle w:val="ParaKeep"/>
      </w:pPr>
      <w:r w:rsidRPr="005F62F4">
        <w:t>We searched for</w:t>
      </w:r>
      <w:r w:rsidR="002D74E3" w:rsidRPr="005F62F4">
        <w:t xml:space="preserve"> s</w:t>
      </w:r>
      <w:r w:rsidR="00A42D92" w:rsidRPr="005F62F4">
        <w:t xml:space="preserve">ystematic reviews and meta-analyses </w:t>
      </w:r>
      <w:r w:rsidR="001A2989" w:rsidRPr="005F62F4">
        <w:t xml:space="preserve">that met specific </w:t>
      </w:r>
      <w:r w:rsidR="0026174A" w:rsidRPr="005F62F4">
        <w:t>inclusion criteria</w:t>
      </w:r>
      <w:r w:rsidR="002D74E3" w:rsidRPr="005F62F4">
        <w:t>, and</w:t>
      </w:r>
      <w:r w:rsidR="0026174A" w:rsidRPr="005F62F4">
        <w:t xml:space="preserve"> </w:t>
      </w:r>
      <w:r w:rsidR="00A42D92" w:rsidRPr="005F62F4">
        <w:t xml:space="preserve">identified </w:t>
      </w:r>
      <w:r w:rsidR="008413FD" w:rsidRPr="005F62F4">
        <w:t>23</w:t>
      </w:r>
      <w:r w:rsidR="004657E7" w:rsidRPr="005F62F4">
        <w:t> articles</w:t>
      </w:r>
      <w:r w:rsidR="005B3E99" w:rsidRPr="005F62F4">
        <w:t xml:space="preserve"> </w:t>
      </w:r>
      <w:r w:rsidR="001F4D82" w:rsidRPr="005F62F4">
        <w:t xml:space="preserve">that </w:t>
      </w:r>
      <w:r w:rsidR="00E55531" w:rsidRPr="005F62F4">
        <w:t>reviewed</w:t>
      </w:r>
      <w:r w:rsidR="007D34C2" w:rsidRPr="005F62F4">
        <w:t xml:space="preserve"> </w:t>
      </w:r>
      <w:r w:rsidR="00EB0460" w:rsidRPr="005F62F4">
        <w:t xml:space="preserve">surgical guides and </w:t>
      </w:r>
      <w:proofErr w:type="spellStart"/>
      <w:r w:rsidR="00EB0460" w:rsidRPr="005F62F4">
        <w:t>biomodels</w:t>
      </w:r>
      <w:proofErr w:type="spellEnd"/>
      <w:r w:rsidR="004657E7" w:rsidRPr="005F62F4">
        <w:t xml:space="preserve"> </w:t>
      </w:r>
      <w:r w:rsidR="00A42D92" w:rsidRPr="005F62F4">
        <w:t>in the following contexts:</w:t>
      </w:r>
    </w:p>
    <w:p w14:paraId="0999A2D4" w14:textId="0A9D4F0F" w:rsidR="00850329" w:rsidRPr="005F62F4" w:rsidRDefault="00603830" w:rsidP="007C4445">
      <w:pPr>
        <w:pStyle w:val="Bullet1"/>
      </w:pPr>
      <w:r w:rsidRPr="005F62F4">
        <w:t>d</w:t>
      </w:r>
      <w:r w:rsidR="00850329" w:rsidRPr="005F62F4">
        <w:t>ental implants</w:t>
      </w:r>
    </w:p>
    <w:p w14:paraId="24148530" w14:textId="78AD9057" w:rsidR="00A42D92" w:rsidRPr="005F62F4" w:rsidRDefault="00603830" w:rsidP="007C4445">
      <w:pPr>
        <w:pStyle w:val="Bullet1"/>
      </w:pPr>
      <w:r w:rsidRPr="005F62F4">
        <w:t>o</w:t>
      </w:r>
      <w:r w:rsidR="00724B25" w:rsidRPr="005F62F4">
        <w:t xml:space="preserve">ral and </w:t>
      </w:r>
      <w:r w:rsidR="00671F20" w:rsidRPr="005F62F4">
        <w:t>CMF</w:t>
      </w:r>
      <w:r w:rsidR="00724B25" w:rsidRPr="005F62F4">
        <w:t xml:space="preserve"> </w:t>
      </w:r>
      <w:r w:rsidR="00422888" w:rsidRPr="005F62F4">
        <w:t>surgeries</w:t>
      </w:r>
    </w:p>
    <w:p w14:paraId="767B24D3" w14:textId="13AAAC64" w:rsidR="00594619" w:rsidRPr="005F62F4" w:rsidRDefault="00603830" w:rsidP="007C4445">
      <w:pPr>
        <w:pStyle w:val="Bullet1"/>
      </w:pPr>
      <w:r w:rsidRPr="005F62F4">
        <w:t>o</w:t>
      </w:r>
      <w:r w:rsidR="00DD7BDD" w:rsidRPr="005F62F4">
        <w:t>rthopaedic surgery</w:t>
      </w:r>
    </w:p>
    <w:p w14:paraId="50BA43BE" w14:textId="0AC854E9" w:rsidR="00974043" w:rsidRPr="005F62F4" w:rsidRDefault="00603830" w:rsidP="007C4445">
      <w:pPr>
        <w:pStyle w:val="Bullet1"/>
      </w:pPr>
      <w:r w:rsidRPr="005F62F4">
        <w:t>c</w:t>
      </w:r>
      <w:r w:rsidR="00974043" w:rsidRPr="005F62F4">
        <w:t>ardiovascular surgery</w:t>
      </w:r>
    </w:p>
    <w:p w14:paraId="05883773" w14:textId="6A43874E" w:rsidR="006928E9" w:rsidRPr="005F62F4" w:rsidRDefault="003C6926" w:rsidP="008E7151">
      <w:pPr>
        <w:pStyle w:val="Para"/>
      </w:pPr>
      <w:proofErr w:type="gramStart"/>
      <w:r w:rsidRPr="005F62F4">
        <w:t>A brief summary</w:t>
      </w:r>
      <w:proofErr w:type="gramEnd"/>
      <w:r w:rsidRPr="005F62F4">
        <w:t xml:space="preserve"> of the key fundings is provided below, with full details in Appendix C</w:t>
      </w:r>
      <w:r w:rsidR="008413FD" w:rsidRPr="005F62F4">
        <w:t>.</w:t>
      </w:r>
    </w:p>
    <w:p w14:paraId="3F437F6F" w14:textId="2D34695A" w:rsidR="00B463E7" w:rsidRPr="005F62F4" w:rsidRDefault="00B463E7" w:rsidP="004F2931">
      <w:pPr>
        <w:pStyle w:val="Heading3"/>
      </w:pPr>
      <w:r w:rsidRPr="005F62F4">
        <w:t>Findings</w:t>
      </w:r>
    </w:p>
    <w:p w14:paraId="559A3397" w14:textId="6BEE4BC9" w:rsidR="001F3741" w:rsidRPr="005F62F4" w:rsidRDefault="00730C86" w:rsidP="001F575B">
      <w:pPr>
        <w:pStyle w:val="Para"/>
      </w:pPr>
      <w:r w:rsidRPr="005F62F4">
        <w:t>T</w:t>
      </w:r>
      <w:r w:rsidR="001F575B" w:rsidRPr="005F62F4">
        <w:t xml:space="preserve">he literature </w:t>
      </w:r>
      <w:r w:rsidRPr="005F62F4">
        <w:t xml:space="preserve">generally </w:t>
      </w:r>
      <w:r w:rsidR="001473C9" w:rsidRPr="005F62F4">
        <w:t>supports</w:t>
      </w:r>
      <w:r w:rsidR="001F575B" w:rsidRPr="005F62F4">
        <w:t xml:space="preserve"> </w:t>
      </w:r>
      <w:r w:rsidR="00FF1A81" w:rsidRPr="005F62F4">
        <w:t>guided implant surgery</w:t>
      </w:r>
      <w:r w:rsidR="00BD2A7F" w:rsidRPr="005F62F4">
        <w:t xml:space="preserve"> (including </w:t>
      </w:r>
      <w:r w:rsidR="001F575B" w:rsidRPr="005F62F4">
        <w:t xml:space="preserve">the use of surgical guides and </w:t>
      </w:r>
      <w:proofErr w:type="spellStart"/>
      <w:r w:rsidR="001F575B" w:rsidRPr="005F62F4">
        <w:t>biomodels</w:t>
      </w:r>
      <w:proofErr w:type="spellEnd"/>
      <w:r w:rsidR="00BD2A7F" w:rsidRPr="005F62F4">
        <w:t>)</w:t>
      </w:r>
      <w:r w:rsidR="001F575B" w:rsidRPr="005F62F4">
        <w:t xml:space="preserve"> </w:t>
      </w:r>
      <w:r w:rsidR="001473C9" w:rsidRPr="005F62F4">
        <w:t>for implanting prostheses</w:t>
      </w:r>
      <w:r w:rsidR="001F575B" w:rsidRPr="005F62F4">
        <w:t xml:space="preserve"> in a range of surgical contexts.</w:t>
      </w:r>
    </w:p>
    <w:p w14:paraId="716D1B49" w14:textId="2FDE5442" w:rsidR="001F575B" w:rsidRPr="005F62F4" w:rsidRDefault="001F575B" w:rsidP="001F575B">
      <w:pPr>
        <w:pStyle w:val="Para"/>
      </w:pPr>
      <w:r w:rsidRPr="005F62F4">
        <w:t xml:space="preserve">The systematic reviews </w:t>
      </w:r>
      <w:r w:rsidR="001F3741" w:rsidRPr="005F62F4">
        <w:t xml:space="preserve">we </w:t>
      </w:r>
      <w:r w:rsidRPr="005F62F4">
        <w:t>identified highlighted the large number of current and emerging applications of 3D-printing technologies in implant procedures.</w:t>
      </w:r>
    </w:p>
    <w:p w14:paraId="01BCB35D" w14:textId="2387741E" w:rsidR="001F575B" w:rsidRPr="005F62F4" w:rsidRDefault="00B76078" w:rsidP="001F575B">
      <w:pPr>
        <w:pStyle w:val="Para"/>
      </w:pPr>
      <w:r w:rsidRPr="005F62F4">
        <w:t xml:space="preserve">Overall, </w:t>
      </w:r>
      <w:r w:rsidR="001F575B" w:rsidRPr="005F62F4">
        <w:t xml:space="preserve">the literature suggests that </w:t>
      </w:r>
      <w:r w:rsidR="003E4FB2" w:rsidRPr="005F62F4">
        <w:t>guided implant surgery</w:t>
      </w:r>
      <w:r w:rsidR="001F575B" w:rsidRPr="005F62F4">
        <w:t xml:space="preserve"> produces results that are not inferior to conventional techniques, and may </w:t>
      </w:r>
      <w:r w:rsidR="005F0841" w:rsidRPr="005F62F4">
        <w:t>increase</w:t>
      </w:r>
      <w:r w:rsidR="001F575B" w:rsidRPr="005F62F4">
        <w:t xml:space="preserve"> accuracy of implant placement, decrease operative and/or ischaemic time, reduce interoperative fluoroscopy and </w:t>
      </w:r>
      <w:r w:rsidR="003525C3" w:rsidRPr="005F62F4">
        <w:t xml:space="preserve">reduce </w:t>
      </w:r>
      <w:r w:rsidR="001F575B" w:rsidRPr="005F62F4">
        <w:t>complication rates.</w:t>
      </w:r>
    </w:p>
    <w:p w14:paraId="00971CAA" w14:textId="2912A025" w:rsidR="00A60C83" w:rsidRPr="005F62F4" w:rsidRDefault="001F575B" w:rsidP="00A60C83">
      <w:pPr>
        <w:pStyle w:val="Para"/>
      </w:pPr>
      <w:r w:rsidRPr="005F62F4">
        <w:t>Despite these findings, the outcomes depende</w:t>
      </w:r>
      <w:r w:rsidR="00683148" w:rsidRPr="005F62F4">
        <w:t>d</w:t>
      </w:r>
      <w:r w:rsidRPr="005F62F4">
        <w:t xml:space="preserve"> on a number of factors</w:t>
      </w:r>
      <w:r w:rsidR="00683148" w:rsidRPr="005F62F4">
        <w:t>,</w:t>
      </w:r>
      <w:r w:rsidRPr="005F62F4">
        <w:t xml:space="preserve"> includ</w:t>
      </w:r>
      <w:r w:rsidR="00683148" w:rsidRPr="005F62F4">
        <w:t>ing</w:t>
      </w:r>
      <w:r w:rsidRPr="005F62F4">
        <w:t xml:space="preserve"> the choice of software and manufacturing technique </w:t>
      </w:r>
      <w:r w:rsidRPr="005F62F4">
        <w:fldChar w:fldCharType="begin" w:fldLock="1"/>
      </w:r>
      <w:r w:rsidR="00F7188B" w:rsidRPr="005F62F4">
        <w:instrText>ADDIN CSL_CITATION {"citationItems":[{"id":"ITEM-1","itemData":{"DOI":"10.1016/j.joms.2020.09.005","ISSN":"15315053","PMID":"33031773","abstract":"Purpose: To explore the advantages of virtual surgical planning (VSP) and traditional surgical planning (TSP) to determine whether the current VSP technique is superior to the TSP technique for orthognathic surgery. Methods: An electronic search was carried out in the CENTRAL, PubMed, and Embase databases to identify randomized clinical trials (RCTs) that compared the VSP and TSP techniques regarding their surgical accuracy for hard tissue, prediction precision for soft tissue, required time for planning and surgery, cost and patient-reported outcomes. Results: Eight articles from 5 RCTs, involving 199 patients, were identified. The findings showed that the VSP and TSP techniques were similar in surgical accuracy for hard tissue in the sagittal plane, although the VSP technique was significantly more accurate in certain reference areas, especially in the anterior area of the maxilla. Both the VSP and TSP techniques had significantly better surgical accuracy for the maxilla than for the mandible. The VSP technique showed clinically significantly greater precision for soft tissue prediction in the sagittal plane. Patients who were treated via the VSP technique presented a more symmetrical frontal view, regardless of whether hard or soft tissue was involved. The VSP technique required more time for software planning, but it showed an advantage in time savings when considering the entire preoperative process. Accompanied by the use of an accurate computer-aided splint, the VSP technique could effectively reduce the operative time. Apart from the initial financial investment of software and hardware, the total cost of the VSP technique was similar to that of the TSP technique. Patients who were treated via the VSP or TSP technique showed similar improvements in quality-of-life. Conclusions: Currently, the VSP technique has become a good alternative to the TSP technique for orthognathic surgery, especially regarding frontal-esthetic considerations. Studies reporting indicators with good representativeness and sensitivity using an identical comparative method are recommended.","author":[{"dropping-particle":"","family":"Chen","given":"Zhixing","non-dropping-particle":"","parse-names":false,"suffix":""},{"dropping-particle":"","family":"Mo","given":"Shuixue","non-dropping-particle":"","parse-names":false,"suffix":""},{"dropping-particle":"","family":"Fan","given":"Xuemin","non-dropping-particle":"","parse-names":false,"suffix":""},{"dropping-particle":"","family":"You","given":"Yuting","non-dropping-particle":"","parse-names":false,"suffix":""},{"dropping-particle":"","family":"Ye","given":"Guangrong","non-dropping-particle":"","parse-names":false,"suffix":""},{"dropping-particle":"","family":"Zhou","given":"Nuo","non-dropping-particle":"","parse-names":false,"suffix":""}],"container-title":"Journal of Oral and Maxillofacial Surgery","id":"ITEM-1","issue":"2","issued":{"date-parts":[["2021"]]},"page":"471.e1-471.e19","publisher":"American Association of Oral and Maxillofacial Surgeons","title":"A meta-analysis and systematic review comparing the effectiveness of traditional and virtual surgical planning for orthognathic surgery: based on randomized clinical trials","type":"article-journal","volume":"79"},"uris":["http://www.mendeley.com/documents/?uuid=1f2ad3b5-f004-4feb-a5bb-9950fe63cf4d"]},{"id":"ITEM-2","itemData":{"DOI":"10.2186/jpr.JPR_D_20_00184","ISSN":"18831958","PMID":"33504723","abstract":"Purpose: To review the current clinical studies regarding the accuracy of implant computer-guided surgery in partially edentulous patients and investigate potential influencing factors. Study selection: Electronic searches on the PubMed and Cochrane Central Register of Controlled Trials databases, and subsequent manual searches were performed. Two reviewers selected the studies following our inclusion and exclusion criteria. Qualitative review and meta-analysis of the implant placement accuracy were performed to analyze potential influencing factors. Angular deviation, coronal deviation, apical deviation, and depth deviation were evaluated as the accuracy outcomes. Results: Eighteen studies were included in this systematic review, including six randomized controlled trials, nine prospective studies, and three retrospective clinical studies. A total of 1317 implants placed in 642 partially edentulous patients were reviewed. Eight studies were evaluated using meta-analysis. Fully guided surgery showed statistically higher accuracy in angular (P &lt;0.001), coronal (P &lt;0.001), and apical deviation (P &lt;0.05) compared with pilot-drill guided surgery. A statistically significant difference (P &lt;0.001) was also observed in coronal deviation between the bounded edentulous (BES) and distal extension spaces (DES). A significantly lower angular deviation (P &lt;0.001) was found in implants placed using computer-aided design/computer-aided manufacturing (CAD/CAM) compared to the conventional surgical guides. Conclusion: The edentulous space type, surgical guide manufacturing procedure, and guided surgery protocol can influence the accuracy of computer-guided surgery in partially edentulous patients. Higher accuracy was found when the implants were placed in BES, with CAD/CAM manufactured surgical guides, using a fully guided surgery protocol.","author":[{"dropping-particle":"","family":"Putra","given":"Ramadhan Hardani","non-dropping-particle":"","parse-names":false,"suffix":""},{"dropping-particle":"","family":"Yoda","given":"Nobuhiro","non-dropping-particle":"","parse-names":false,"suffix":""},{"dropping-particle":"","family":"Astuti","given":"Eha Renwi","non-dropping-particle":"","parse-names":false,"suffix":""},{"dropping-particle":"","family":"Sasaki","given":"Keiichi","non-dropping-particle":"","parse-names":false,"suffix":""}],"container-title":"Journal of Prosthodontic Research","id":"ITEM-2","issue":"1","issued":{"date-parts":[["2022"]]},"page":"29-39","title":"The accuracy of implant placement with computer-guided surgery in partially edentulous patients and possible influencing factors: a systematic review and meta-analysis","type":"article-journal","volume":"66"},"uris":["http://www.mendeley.com/documents/?uuid=f03441fa-f49b-4a95-972a-b4edc6c98154"]},{"id":"ITEM-3","itemData":{"DOI":"10.1016/j.bjoms.2019.12.007","author":[{"dropping-particle":"","family":"Walker-Finch","given":"K","non-dropping-particle":"","parse-names":false,"suffix":""},{"dropping-particle":"","family":"Ucer","given":"C","non-dropping-particle":"","parse-names":false,"suffix":""}],"container-title":"British Journal of Oral and Maxillofacial Surgery","id":"ITEM-3","issued":{"date-parts":[["2020"]]},"page":"268-276","title":"Five-year survival rates for implants placed using digitally-designed static surgical guides: a systematic review","type":"article-journal","volume":"58"},"uris":["http://www.mendeley.com/documents/?uuid=ba3a127d-bef5-40b4-b9ed-76d38719b539"]}],"mendeley":{"formattedCitation":"(Chen et al. 2021; Putra et al. 2022; Walker-Finch and Ucer 2020)","plainTextFormattedCitation":"(Chen et al. 2021; Putra et al. 2022; Walker-Finch and Ucer 2020)","previouslyFormattedCitation":"(Chen et al. 2021; Putra et al. 2022; Walker-Finch and Ucer 2020)"},"properties":{"noteIndex":0},"schema":"https://github.com/citation-style-language/schema/raw/master/csl-citation.json"}</w:instrText>
      </w:r>
      <w:r w:rsidRPr="005F62F4">
        <w:fldChar w:fldCharType="separate"/>
      </w:r>
      <w:r w:rsidRPr="005F62F4">
        <w:rPr>
          <w:noProof/>
        </w:rPr>
        <w:t>(Chen et al. 2021; Putra et al. 2022; Walker-Finch and Ucer 2020)</w:t>
      </w:r>
      <w:r w:rsidRPr="005F62F4">
        <w:fldChar w:fldCharType="end"/>
      </w:r>
      <w:r w:rsidRPr="005F62F4">
        <w:t xml:space="preserve">. It is important to note, therefore, that while </w:t>
      </w:r>
      <w:r w:rsidR="004F5014" w:rsidRPr="005F62F4">
        <w:t xml:space="preserve">the literature </w:t>
      </w:r>
      <w:r w:rsidRPr="005F62F4">
        <w:t xml:space="preserve">supplements our </w:t>
      </w:r>
      <w:r w:rsidR="00575CE6" w:rsidRPr="005F62F4">
        <w:t xml:space="preserve">own </w:t>
      </w:r>
      <w:r w:rsidRPr="005F62F4">
        <w:t xml:space="preserve">systematic review, the findings cannot necessarily be </w:t>
      </w:r>
      <w:r w:rsidR="00AB5E83" w:rsidRPr="005F62F4">
        <w:t xml:space="preserve">generalised </w:t>
      </w:r>
      <w:r w:rsidRPr="005F62F4">
        <w:t>to th</w:t>
      </w:r>
      <w:r w:rsidR="00E43F43" w:rsidRPr="005F62F4">
        <w:t>e</w:t>
      </w:r>
      <w:r w:rsidRPr="005F62F4">
        <w:t xml:space="preserve"> products</w:t>
      </w:r>
      <w:r w:rsidR="00E43F43" w:rsidRPr="005F62F4">
        <w:t xml:space="preserve"> currently listed on the </w:t>
      </w:r>
      <w:r w:rsidR="00FA73D1" w:rsidRPr="005F62F4">
        <w:t>PL</w:t>
      </w:r>
      <w:r w:rsidRPr="005F62F4">
        <w:t>.</w:t>
      </w:r>
    </w:p>
    <w:p w14:paraId="40334587" w14:textId="0AB6FA18" w:rsidR="00A60C83" w:rsidRPr="005F62F4" w:rsidRDefault="00A60C83" w:rsidP="001D22B5">
      <w:pPr>
        <w:pStyle w:val="IntenseQuote"/>
      </w:pPr>
      <w:r w:rsidRPr="005F62F4">
        <w:lastRenderedPageBreak/>
        <w:t xml:space="preserve">The advantages and disadvantages of different 3D virtual software systems on the market should be further explored…the comparative advantages of different software programs have not been clarified </w:t>
      </w:r>
      <w:r w:rsidRPr="005F62F4">
        <w:fldChar w:fldCharType="begin" w:fldLock="1"/>
      </w:r>
      <w:r w:rsidR="00107910" w:rsidRPr="005F62F4">
        <w:instrText>ADDIN CSL_CITATION {"citationItems":[{"id":"ITEM-1","itemData":{"DOI":"10.1016/j.joms.2020.09.005","ISSN":"15315053","PMID":"33031773","abstract":"Purpose: To explore the advantages of virtual surgical planning (VSP) and traditional surgical planning (TSP) to determine whether the current VSP technique is superior to the TSP technique for orthognathic surgery. Methods: An electronic search was carried out in the CENTRAL, PubMed, and Embase databases to identify randomized clinical trials (RCTs) that compared the VSP and TSP techniques regarding their surgical accuracy for hard tissue, prediction precision for soft tissue, required time for planning and surgery, cost and patient-reported outcomes. Results: Eight articles from 5 RCTs, involving 199 patients, were identified. The findings showed that the VSP and TSP techniques were similar in surgical accuracy for hard tissue in the sagittal plane, although the VSP technique was significantly more accurate in certain reference areas, especially in the anterior area of the maxilla. Both the VSP and TSP techniques had significantly better surgical accuracy for the maxilla than for the mandible. The VSP technique showed clinically significantly greater precision for soft tissue prediction in the sagittal plane. Patients who were treated via the VSP technique presented a more symmetrical frontal view, regardless of whether hard or soft tissue was involved. The VSP technique required more time for software planning, but it showed an advantage in time savings when considering the entire preoperative process. Accompanied by the use of an accurate computer-aided splint, the VSP technique could effectively reduce the operative time. Apart from the initial financial investment of software and hardware, the total cost of the VSP technique was similar to that of the TSP technique. Patients who were treated via the VSP or TSP technique showed similar improvements in quality-of-life. Conclusions: Currently, the VSP technique has become a good alternative to the TSP technique for orthognathic surgery, especially regarding frontal-esthetic considerations. Studies reporting indicators with good representativeness and sensitivity using an identical comparative method are recommended.","author":[{"dropping-particle":"","family":"Chen","given":"Zhixing","non-dropping-particle":"","parse-names":false,"suffix":""},{"dropping-particle":"","family":"Mo","given":"Shuixue","non-dropping-particle":"","parse-names":false,"suffix":""},{"dropping-particle":"","family":"Fan","given":"Xuemin","non-dropping-particle":"","parse-names":false,"suffix":""},{"dropping-particle":"","family":"You","given":"Yuting","non-dropping-particle":"","parse-names":false,"suffix":""},{"dropping-particle":"","family":"Ye","given":"Guangrong","non-dropping-particle":"","parse-names":false,"suffix":""},{"dropping-particle":"","family":"Zhou","given":"Nuo","non-dropping-particle":"","parse-names":false,"suffix":""}],"container-title":"Journal of Oral and Maxillofacial Surgery","id":"ITEM-1","issue":"2","issued":{"date-parts":[["2021"]]},"page":"471.e1-471.e19","publisher":"American Association of Oral and Maxillofacial Surgeons","title":"A meta-analysis and systematic review comparing the effectiveness of traditional and virtual surgical planning for orthognathic surgery: based on randomized clinical trials","type":"article-journal","volume":"79"},"uris":["http://www.mendeley.com/documents/?uuid=1f2ad3b5-f004-4feb-a5bb-9950fe63cf4d"]}],"mendeley":{"formattedCitation":"(Chen et al. 2021)","manualFormatting":"(Chen et al. 2021, p. e17)","plainTextFormattedCitation":"(Chen et al. 2021)","previouslyFormattedCitation":"(Chen et al. 2021)"},"properties":{"noteIndex":0},"schema":"https://github.com/citation-style-language/schema/raw/master/csl-citation.json"}</w:instrText>
      </w:r>
      <w:r w:rsidRPr="005F62F4">
        <w:fldChar w:fldCharType="separate"/>
      </w:r>
      <w:r w:rsidRPr="005F62F4">
        <w:rPr>
          <w:noProof/>
        </w:rPr>
        <w:t>(Chen et al. 2021</w:t>
      </w:r>
      <w:r w:rsidR="00107910" w:rsidRPr="005F62F4">
        <w:rPr>
          <w:noProof/>
        </w:rPr>
        <w:t>, p. e17</w:t>
      </w:r>
      <w:r w:rsidRPr="005F62F4">
        <w:rPr>
          <w:noProof/>
        </w:rPr>
        <w:t>)</w:t>
      </w:r>
      <w:r w:rsidRPr="005F62F4">
        <w:fldChar w:fldCharType="end"/>
      </w:r>
    </w:p>
    <w:p w14:paraId="09FF267C" w14:textId="0B77B79B" w:rsidR="00A60C83" w:rsidRPr="005F62F4" w:rsidRDefault="00CA4E13" w:rsidP="00A60C83">
      <w:pPr>
        <w:pStyle w:val="Para"/>
      </w:pPr>
      <w:proofErr w:type="gramStart"/>
      <w:r w:rsidRPr="005F62F4">
        <w:t>A</w:t>
      </w:r>
      <w:r w:rsidR="00A60C83" w:rsidRPr="005F62F4">
        <w:t xml:space="preserve"> number of</w:t>
      </w:r>
      <w:proofErr w:type="gramEnd"/>
      <w:r w:rsidR="00A60C83" w:rsidRPr="005F62F4">
        <w:t xml:space="preserve"> studies noted that surgical guide</w:t>
      </w:r>
      <w:r w:rsidR="00E7127D" w:rsidRPr="005F62F4">
        <w:t>s</w:t>
      </w:r>
      <w:r w:rsidR="009F45C0" w:rsidRPr="005F62F4">
        <w:t xml:space="preserve"> may</w:t>
      </w:r>
      <w:r w:rsidR="00A60C83" w:rsidRPr="005F62F4">
        <w:t xml:space="preserve"> not always be used intraoperatively as planned. In some cases, surgical guides </w:t>
      </w:r>
      <w:r w:rsidR="00872D08" w:rsidRPr="005F62F4">
        <w:t xml:space="preserve">were </w:t>
      </w:r>
      <w:r w:rsidR="00A60C83" w:rsidRPr="005F62F4">
        <w:t xml:space="preserve">unsuitable or </w:t>
      </w:r>
      <w:r w:rsidR="00872D08" w:rsidRPr="005F62F4">
        <w:t>broke</w:t>
      </w:r>
      <w:r w:rsidR="000A0B47" w:rsidRPr="005F62F4">
        <w:t>n</w:t>
      </w:r>
      <w:r w:rsidR="00A60C83" w:rsidRPr="005F62F4">
        <w:t xml:space="preserve">, and planned protocols </w:t>
      </w:r>
      <w:r w:rsidR="00C03174" w:rsidRPr="005F62F4">
        <w:t>had</w:t>
      </w:r>
      <w:r w:rsidR="00A60C83" w:rsidRPr="005F62F4">
        <w:t xml:space="preserve"> to be abandoned </w:t>
      </w:r>
      <w:r w:rsidR="00A60C83" w:rsidRPr="005F62F4">
        <w:fldChar w:fldCharType="begin" w:fldLock="1"/>
      </w:r>
      <w:r w:rsidR="00F7188B" w:rsidRPr="005F62F4">
        <w:instrText>ADDIN CSL_CITATION {"citationItems":[{"id":"ITEM-1","itemData":{"DOI":"10.1111/clr.13635","ISBN":"4201913139","ISSN":"16000501","PMID":"32654230","abstract":"Objective: To analyze the outcomes of static computer-aided implant placement (sCAIP) compared to partially guided (PGIP) and free-handed (FHIP) implant placement. Material and Methods: This study was registered in PROSPERO (CRD42019131397). A comprehensive literature search was performed by two independent examiners. Only randomized controlled trials (RCTs) were selected. Treatment modalities included sCAIP, PGIP, and FHIP. Data pertaining to the outcomes of interest were extracted. Random-effects meta-analyses were feasible for a subset of outcomes. Results: From an initial list of 2,870 records, fourteen articles for a total of ten RCTs were selected. Data from 7 of these studies allowed for the conduction of three meta-analyses comparing accuracy of implant placement across modalities. Survival rate up to 12 months post-loading was high (&gt;98%) and comparable between treatments (low-quality evidence). No tangible differences in terms of patient perception of intra- or postoperative discomfort were observed (low-quality evidence). Quantitative analyses revealed significantly lower angular (MD = 4.41°, 95% CI 3.99–4.83, p &lt;.00001), coronal (MD = 0.65 mm, 95% CI 0.50–0.79, p &lt;.00001), and apical (MD = 1.13 mm, 95% CI 0.92–1.34, p &lt;.00001) deviation values for sCAIP as compared to FHIP (8 studies, 383 patients, 878 implants, high-quality evidence). A similar discrepancy, in favor of sCAIP, was observed for angular deviation only as compared to PGIP (MD = 2.11°, 95% CI 1.06–3.16, p &lt;.00001). Conclusions: sCAIP is associated with superior accuracy compared to PGIP and FHIP.","author":[{"dropping-particle":"","family":"Tattan","given":"Mustafa","non-dropping-particle":"","parse-names":false,"suffix":""},{"dropping-particle":"","family":"Chambrone","given":"Leandro","non-dropping-particle":"","parse-names":false,"suffix":""},{"dropping-particle":"","family":"González-Martín","given":"Oscar","non-dropping-particle":"","parse-names":false,"suffix":""},{"dropping-particle":"","family":"Avila-Ortiz","given":"Gustavo","non-dropping-particle":"","parse-names":false,"suffix":""}],"container-title":"Clinical Oral Implants Research","id":"ITEM-1","issue":"10","issued":{"date-parts":[["2020"]]},"page":"889-916","title":"Static computer-aided, partially guided, and free-handed implant placement: A systematic review and meta-analysis of randomized controlled trials","type":"article-journal","volume":"31"},"uris":["http://www.mendeley.com/documents/?uuid=4da4b88c-20de-4290-a950-8b6bfb8008ca"]},{"id":"ITEM-2","itemData":{"DOI":"10.1111/prd.12440","ISSN":"16000757","PMID":"35906928","abstract":"Flapless and fully guided implant placement has the potential to maximize efficacy outcomes and at the same time to minimize surgical invasiveness. The aim of the current systematic review was to answer the following PICO question: “In adult human subjects undergoing dental implant placement (P), is minimally invasive flapless computer-aided fully guided (either dynamic or static computer-aided implant placement (sCAIP)) (I) superior to flapped conventional (free-handed implant placement (FHIP) or cast-based/drill partially guided implant placement (dPGIP)) surgery (C), in terms of efficacy, patient morbidity, long-term prognosis, and costs (O)?” Randomized clinical trials (RCTs) fulfilling specific inclusion criteria established to answer the PICO question were included. Two review authors independently searched for eligible studies, screened the titles and abstracts, performed full-text analysis, extracted the data from the published reports, and performed the risk of bias assessment. In cases of disagreement, a third review author took the final decision during ad hoc consensus meetings. The study results were summarized using random effects meta-analyses, which were based (wherever possible) on individual patient data (IPD). A total of 10 manuscripts reporting on five RCTs, involving a total of 124 participants and 449 implants, and comparing flapless sCAIP with flapped FHIP/cast-based partially guided implant placement (cPGIP), were included. There was no RCT analyzing flapless dynamic computer-aided implant placement (dCAIP) or flapped dPGIP. Intergroup meta-analyses indicated less depth deviation (difference in means (MD) = −0.28 mm; 95% confidence interval (CI): −0.59 to 0.03; moderate certainty), angular deviation (MD = −3.88 degrees; 95% CI: −7.00 to −0.77; high certainty), coronal (MD = −0.6 mm; 95% CI: −1.21 to 0.01; low certainty) and apical (MD = −0.75 mm; 95% CI: −1.43 to −0.07; moderate certainty) three-dimensional bodily deviations, postoperative pain (MD = −17.09 mm on the visual analogue scale (VAS); 95% CI: −33.38 to −0.80; low certainty), postoperative swelling (MD = −6.59 mm on the VAS; 95% CI: −19.03 to 5.85; very low certainty), intraoperative discomfort (MD = −9.36 mm on the VAS; 95% CI: −17.10 to −1.61) and surgery duration (MD = −24.28 minutes; 95% CI: −28.62 to −19.95) in flapless sCAIP than in flapped FHIP/cPGIP. Despite being more accurate than flapped FHIP/cPGIP, flapless sCAIP still resulted in deviations with respect to …","author":[{"dropping-particle":"","family":"Romandini","given":"Mario","non-dropping-particle":"","parse-names":false,"suffix":""},{"dropping-particle":"","family":"Ruales-Carrera","given":"Edwin","non-dropping-particle":"","parse-names":false,"suffix":""},{"dropping-particle":"","family":"Sadilina","given":"Sofya","non-dropping-particle":"","parse-names":false,"suffix":""},{"dropping-particle":"","family":"Hämmerle","given":"Christoph H.F.","non-dropping-particle":"","parse-names":false,"suffix":""},{"dropping-particle":"","family":"Sanz","given":"Mariano","non-dropping-particle":"","parse-names":false,"suffix":""}],"container-title":"Periodontology 2000","id":"ITEM-2","issued":{"date-parts":[["2022"]]},"page":"1-24","title":"Minimal invasiveness at dental implant placement: a systematic review with meta-analyses on flapless fully guided surgery","type":"article-journal","volume":"00"},"uris":["http://www.mendeley.com/documents/?uuid=55d04839-3cc0-4adf-948e-9760d3fa95e6"]},{"id":"ITEM-3","itemData":{"DOI":"10.1016/j.jormas.2020.10.010","ISSN":"24687855","PMID":"33161170","abstract":"In the present study, we tried to review the current literature, focusing on the effect of different guide systems on the accuracy of the digital surgical guides. A search in PubMed's database, without any date restriction, was performed using keywords based on the PICO question. 54 of the 2378 articles’ were chosen for full-text assessment. Articles were screened using predetermined inclusion and exclusion criteria. 21 articles were included in the qualitative assessment. Descriptive analysis was performed for numeric parameters using mean ± standard deviation. Six types of guide systems were used in the included articles. The commonest guide system was SimPlant (45.64%) followed by NobleGuide (23.00%). The pooled mean angle deviation, global coronal deviation, and global apical deviation were 3.43 mm (95% CI = 2.96, 3.90), 1.16 mm (95% CI = 0.98, 1.24) and 1.35 mm (95% CI = 1.11, 1.59), respectively. The maximum mean(SD) of angle deviation, global coronal deviation, and global apical deviation happened in Stent Cad 4.1(1.86) degrees, NobleGuide 1.86(0.56) mm, and OnDemend3d 1.56(1.48) mm, respectively. Although a final statement could not be made on which system is better, it is certain that the software affects the deviation and could be as important as the implant itself. Clinical significance: The choice of guide systems used for the production of static guide systems which was studied in this article could affect the accuracy of the implant placement procedure.","author":[{"dropping-particle":"","family":"Eftekhar Ashtiani","given":"R.","non-dropping-particle":"","parse-names":false,"suffix":""},{"dropping-particle":"","family":"Ghasemi","given":"Z.","non-dropping-particle":"","parse-names":false,"suffix":""},{"dropping-particle":"","family":"Nami","given":"M.","non-dropping-particle":"","parse-names":false,"suffix":""},{"dropping-particle":"","family":"Mighani","given":"F.","non-dropping-particle":"","parse-names":false,"suffix":""},{"dropping-particle":"","family":"Namdari","given":"M.","non-dropping-particle":"","parse-names":false,"suffix":""}],"container-title":"Journal of Stomatology, Oral and Maxillofacial Surgery","id":"ITEM-3","issue":"6","issued":{"date-parts":[["2021"]]},"page":"600-607","publisher":"Elsevier Masson SAS","title":"Accuracy of static digital surgical guides for dental implants based on the guide system: A systematic review","type":"article-journal","volume":"122"},"uris":["http://www.mendeley.com/documents/?uuid=c2fbc0a1-1580-4807-b300-7b1cde962270"]},{"id":"ITEM-4","itemData":{"DOI":"10.1007/s00405-022-07291-0","ISBN":"0123456789","ISSN":"14344726","PMID":"35166908","abstract":"Purpose: 3D-printing (three-dimensional printing) is an emerging technology with promising applications for patient-specific interventions. Nonetheless, knowledge on the clinical applicability of 3D-printing in otology and research on its use remains scattered. Understanding these new treatment options is a prerequisite for clinical implementation, which could improve patient outcomes. This review aims to explore current applications of 3D-printed patient-specific otologic interventions, including state of the evidence, strengths, limitations, and future possibilities. Methods: Following the PRISMA statement, relevant studies were identified through Pubmed, EMBASE, the Cochrane Library, and Web of Science. Data on the manufacturing process and interventions were extracted by two reviewers. Study quality was assessed using Joanna Briggs Institute’s critical appraisal tools. Results: Screening yielded 590 studies; 63 were found eligible and included for analysis. 3D-printed models were used as guides, templates, implants, and devices. Outer ear interventions comprised 73% of the studies. Overall, optimistic sentiments on 3D-printed models were reported, including increased surgical precision/confidence, faster manufacturing/operation time, and reduced costs/complications. Nevertheless, study quality was low as most studies failed to use relevant objective outcomes, compare new interventions with conventional treatment, and sufficiently describe manufacturing. Conclusion: Several clinical interventions using patient-specific 3D-printing in otology are considered promising. However, it remains unclear whether these interventions actually improve patient outcomes due to lack of comparison with conventional methods and low levels of evidence. Further, the reproducibility of the 3D-printed interventions is compromised by insufficient reporting. Future efforts should focus on objective, comparative outcomes evaluated in large-scale studies.","author":[{"dropping-particle":"","family":"Omari","given":"Adam","non-dropping-particle":"","parse-names":false,"suffix":""},{"dropping-particle":"","family":"Frendø","given":"Martin","non-dropping-particle":"","parse-names":false,"suffix":""},{"dropping-particle":"","family":"Sørensen","given":"Mads Sølvsten","non-dropping-particle":"","parse-names":false,"suffix":""},{"dropping-particle":"","family":"Andersen","given":"Steven Arild Wuyts","non-dropping-particle":"","parse-names":false,"suffix":""},{"dropping-particle":"","family":"Frithioff","given":"Andreas","non-dropping-particle":"","parse-names":false,"suffix":""}],"container-title":"European Archives of Oto-Rhino-Laryngology","id":"ITEM-4","issue":"7","issued":{"date-parts":[["2022"]]},"page":"3269-3288","publisher":"Springer Berlin Heidelberg","title":"The cutting edge of customized surgery: 3D-printed models for patient-specific interventions in otology and auricular management—a systematic review","type":"article-journal","volume":"279"},"uris":["http://www.mendeley.com/documents/?uuid=b0b8c197-04a3-43fd-ab61-353169bacc38"]},{"id":"ITEM-5","itemData":{"DOI":"10.1016/j.bjoms.2019.12.007","author":[{"dropping-particle":"","family":"Walker-Finch","given":"K","non-dropping-particle":"","parse-names":false,"suffix":""},{"dropping-particle":"","family":"Ucer","given":"C","non-dropping-particle":"","parse-names":false,"suffix":""}],"container-title":"British Journal of Oral and Maxillofacial Surgery","id":"ITEM-5","issued":{"date-parts":[["2020"]]},"page":"268-276","title":"Five-year survival rates for implants placed using digitally-designed static surgical guides: a systematic review","type":"article-journal","volume":"58"},"uris":["http://www.mendeley.com/documents/?uuid=ba3a127d-bef5-40b4-b9ed-76d38719b539"]}],"mendeley":{"formattedCitation":"(Eftekhar Ashtiani et al. 2021; Omari et al. 2022; Romandini et al. 2022; Tattan et al. 2020; Walker-Finch and Ucer 2020)","plainTextFormattedCitation":"(Eftekhar Ashtiani et al. 2021; Omari et al. 2022; Romandini et al. 2022; Tattan et al. 2020; Walker-Finch and Ucer 2020)","previouslyFormattedCitation":"(Eftekhar Ashtiani et al. 2021; Omari et al. 2022; Romandini et al. 2022; Tattan et al. 2020; Walker-Finch and Ucer 2020)"},"properties":{"noteIndex":0},"schema":"https://github.com/citation-style-language/schema/raw/master/csl-citation.json"}</w:instrText>
      </w:r>
      <w:r w:rsidR="00A60C83" w:rsidRPr="005F62F4">
        <w:fldChar w:fldCharType="separate"/>
      </w:r>
      <w:r w:rsidR="00A60C83" w:rsidRPr="005F62F4">
        <w:rPr>
          <w:noProof/>
        </w:rPr>
        <w:t>(Eftekhar Ashtiani et al. 2021; Omari et al. 2022; Romandini et al. 2022; Tattan et al. 2020; Walker-Finch and Ucer 2020)</w:t>
      </w:r>
      <w:r w:rsidR="00A60C83" w:rsidRPr="005F62F4">
        <w:fldChar w:fldCharType="end"/>
      </w:r>
      <w:r w:rsidR="00A60C83" w:rsidRPr="005F62F4">
        <w:t>.</w:t>
      </w:r>
    </w:p>
    <w:p w14:paraId="1C742B35" w14:textId="36CA3881" w:rsidR="00A60C83" w:rsidRPr="005F62F4" w:rsidRDefault="00A60C83" w:rsidP="001D22B5">
      <w:pPr>
        <w:pStyle w:val="IntenseQuote"/>
      </w:pPr>
      <w:r w:rsidRPr="005F62F4">
        <w:t>The template-derived surgical plans are frequently abandoned, putting their utility into question</w:t>
      </w:r>
      <w:r w:rsidR="00D15630" w:rsidRPr="005F62F4">
        <w:t>.</w:t>
      </w:r>
      <w:r w:rsidRPr="005F62F4">
        <w:t xml:space="preserve"> </w:t>
      </w:r>
      <w:r w:rsidRPr="005F62F4">
        <w:fldChar w:fldCharType="begin" w:fldLock="1"/>
      </w:r>
      <w:r w:rsidR="00107910" w:rsidRPr="005F62F4">
        <w:instrText>ADDIN CSL_CITATION {"citationItems":[{"id":"ITEM-1","itemData":{"DOI":"10.1007/s00405-022-07291-0","ISBN":"0123456789","ISSN":"14344726","PMID":"35166908","abstract":"Purpose: 3D-printing (three-dimensional printing) is an emerging technology with promising applications for patient-specific interventions. Nonetheless, knowledge on the clinical applicability of 3D-printing in otology and research on its use remains scattered. Understanding these new treatment options is a prerequisite for clinical implementation, which could improve patient outcomes. This review aims to explore current applications of 3D-printed patient-specific otologic interventions, including state of the evidence, strengths, limitations, and future possibilities. Methods: Following the PRISMA statement, relevant studies were identified through Pubmed, EMBASE, the Cochrane Library, and Web of Science. Data on the manufacturing process and interventions were extracted by two reviewers. Study quality was assessed using Joanna Briggs Institute’s critical appraisal tools. Results: Screening yielded 590 studies; 63 were found eligible and included for analysis. 3D-printed models were used as guides, templates, implants, and devices. Outer ear interventions comprised 73% of the studies. Overall, optimistic sentiments on 3D-printed models were reported, including increased surgical precision/confidence, faster manufacturing/operation time, and reduced costs/complications. Nevertheless, study quality was low as most studies failed to use relevant objective outcomes, compare new interventions with conventional treatment, and sufficiently describe manufacturing. Conclusion: Several clinical interventions using patient-specific 3D-printing in otology are considered promising. However, it remains unclear whether these interventions actually improve patient outcomes due to lack of comparison with conventional methods and low levels of evidence. Further, the reproducibility of the 3D-printed interventions is compromised by insufficient reporting. Future efforts should focus on objective, comparative outcomes evaluated in large-scale studies.","author":[{"dropping-particle":"","family":"Omari","given":"Adam","non-dropping-particle":"","parse-names":false,"suffix":""},{"dropping-particle":"","family":"Frendø","given":"Martin","non-dropping-particle":"","parse-names":false,"suffix":""},{"dropping-particle":"","family":"Sørensen","given":"Mads Sølvsten","non-dropping-particle":"","parse-names":false,"suffix":""},{"dropping-particle":"","family":"Andersen","given":"Steven Arild Wuyts","non-dropping-particle":"","parse-names":false,"suffix":""},{"dropping-particle":"","family":"Frithioff","given":"Andreas","non-dropping-particle":"","parse-names":false,"suffix":""}],"container-title":"European Archives of Oto-Rhino-Laryngology","id":"ITEM-1","issue":"7","issued":{"date-parts":[["2022"]]},"page":"3269-3288","publisher":"Springer Berlin Heidelberg","title":"The cutting edge of customized surgery: 3D-printed models for patient-specific interventions in otology and auricular management—a systematic review","type":"article-journal","volume":"279"},"uris":["http://www.mendeley.com/documents/?uuid=b0b8c197-04a3-43fd-ab61-353169bacc38"]}],"mendeley":{"formattedCitation":"(Omari et al. 2022)","manualFormatting":"(Omari et al. 2022, p. 3284)","plainTextFormattedCitation":"(Omari et al. 2022)","previouslyFormattedCitation":"(Omari et al. 2022)"},"properties":{"noteIndex":0},"schema":"https://github.com/citation-style-language/schema/raw/master/csl-citation.json"}</w:instrText>
      </w:r>
      <w:r w:rsidRPr="005F62F4">
        <w:fldChar w:fldCharType="separate"/>
      </w:r>
      <w:r w:rsidRPr="005F62F4">
        <w:rPr>
          <w:noProof/>
        </w:rPr>
        <w:t>(Omari et al. 2022</w:t>
      </w:r>
      <w:r w:rsidR="00107910" w:rsidRPr="005F62F4">
        <w:rPr>
          <w:noProof/>
        </w:rPr>
        <w:t>, p. 3284</w:t>
      </w:r>
      <w:r w:rsidRPr="005F62F4">
        <w:rPr>
          <w:noProof/>
        </w:rPr>
        <w:t>)</w:t>
      </w:r>
      <w:r w:rsidRPr="005F62F4">
        <w:fldChar w:fldCharType="end"/>
      </w:r>
    </w:p>
    <w:p w14:paraId="2FAA40A9" w14:textId="10578FC4" w:rsidR="00A60C83" w:rsidRPr="005F62F4" w:rsidRDefault="00297F02" w:rsidP="00A60C83">
      <w:pPr>
        <w:pStyle w:val="Para"/>
      </w:pPr>
      <w:proofErr w:type="gramStart"/>
      <w:r w:rsidRPr="005F62F4">
        <w:t>A</w:t>
      </w:r>
      <w:r w:rsidR="00A60C83" w:rsidRPr="005F62F4">
        <w:t xml:space="preserve"> number of</w:t>
      </w:r>
      <w:proofErr w:type="gramEnd"/>
      <w:r w:rsidR="00A60C83" w:rsidRPr="005F62F4">
        <w:t xml:space="preserve"> studies </w:t>
      </w:r>
      <w:r w:rsidRPr="005F62F4">
        <w:t xml:space="preserve">looked at </w:t>
      </w:r>
      <w:r w:rsidR="00A60C83" w:rsidRPr="005F62F4">
        <w:t xml:space="preserve">the cost of </w:t>
      </w:r>
      <w:r w:rsidR="001251DA" w:rsidRPr="005F62F4">
        <w:t>guided imp</w:t>
      </w:r>
      <w:r w:rsidR="005D467C" w:rsidRPr="005F62F4">
        <w:t>l</w:t>
      </w:r>
      <w:r w:rsidR="001251DA" w:rsidRPr="005F62F4">
        <w:t>ant surgery</w:t>
      </w:r>
      <w:r w:rsidR="005D467C" w:rsidRPr="005F62F4" w:rsidDel="005D467C">
        <w:t xml:space="preserve"> </w:t>
      </w:r>
      <w:r w:rsidR="00D562C6" w:rsidRPr="005F62F4">
        <w:t>and how th</w:t>
      </w:r>
      <w:r w:rsidR="007676CF" w:rsidRPr="005F62F4">
        <w:t>is</w:t>
      </w:r>
      <w:r w:rsidR="00D562C6" w:rsidRPr="005F62F4">
        <w:t xml:space="preserve"> </w:t>
      </w:r>
      <w:r w:rsidR="00933BA9" w:rsidRPr="005F62F4">
        <w:t>might be offset by</w:t>
      </w:r>
      <w:r w:rsidR="00346511" w:rsidRPr="005F62F4">
        <w:t xml:space="preserve"> benefits such as</w:t>
      </w:r>
      <w:r w:rsidR="00A60C83" w:rsidRPr="005F62F4">
        <w:t xml:space="preserve"> surgical time savings</w:t>
      </w:r>
      <w:r w:rsidR="00346511" w:rsidRPr="005F62F4">
        <w:t xml:space="preserve">. However, </w:t>
      </w:r>
      <w:r w:rsidR="00FA2154" w:rsidRPr="005F62F4">
        <w:t>th</w:t>
      </w:r>
      <w:r w:rsidR="00C10642" w:rsidRPr="005F62F4">
        <w:t>e</w:t>
      </w:r>
      <w:r w:rsidR="00026A03" w:rsidRPr="005F62F4">
        <w:t xml:space="preserve">re were too many </w:t>
      </w:r>
      <w:r w:rsidR="00725A65" w:rsidRPr="005F62F4">
        <w:t>variable</w:t>
      </w:r>
      <w:r w:rsidR="00D833E4" w:rsidRPr="005F62F4">
        <w:t>s</w:t>
      </w:r>
      <w:r w:rsidR="009549B3" w:rsidRPr="005F62F4">
        <w:t xml:space="preserve"> (including the </w:t>
      </w:r>
      <w:r w:rsidR="00A60C83" w:rsidRPr="005F62F4">
        <w:t>costs and cost structures in any given healthcare setting</w:t>
      </w:r>
      <w:r w:rsidR="00DE148E" w:rsidRPr="005F62F4">
        <w:t xml:space="preserve">) to </w:t>
      </w:r>
      <w:r w:rsidR="001649E6" w:rsidRPr="005F62F4">
        <w:t>rea</w:t>
      </w:r>
      <w:r w:rsidR="0076270F" w:rsidRPr="005F62F4">
        <w:t>ch a definitive conclusion</w:t>
      </w:r>
      <w:r w:rsidR="00A60C83" w:rsidRPr="005F62F4">
        <w:t>.</w:t>
      </w:r>
    </w:p>
    <w:p w14:paraId="317F53E9" w14:textId="56191110" w:rsidR="00A60C83" w:rsidRPr="005F62F4" w:rsidRDefault="00A60C83" w:rsidP="001D22B5">
      <w:pPr>
        <w:pStyle w:val="IntenseQuote"/>
      </w:pPr>
      <w:r w:rsidRPr="005F62F4">
        <w:t xml:space="preserve">Expenses related to the operating room and inpatient services vary among different </w:t>
      </w:r>
      <w:r w:rsidRPr="005F62F4" w:rsidDel="007B03C8">
        <w:t>cent</w:t>
      </w:r>
      <w:r w:rsidR="00671E99">
        <w:t>re</w:t>
      </w:r>
      <w:r w:rsidRPr="005F62F4" w:rsidDel="007B03C8">
        <w:t>s</w:t>
      </w:r>
      <w:r w:rsidRPr="005F62F4">
        <w:t xml:space="preserve"> and countries. Health insurance coverage also varies in different areas. Therefore, the economic viability of computer-assisted mandibular reconstruction remains an open question</w:t>
      </w:r>
      <w:r w:rsidR="00D15630" w:rsidRPr="005F62F4">
        <w:t>.</w:t>
      </w:r>
      <w:r w:rsidRPr="005F62F4">
        <w:t xml:space="preserve"> </w:t>
      </w:r>
      <w:r w:rsidRPr="005F62F4">
        <w:fldChar w:fldCharType="begin" w:fldLock="1"/>
      </w:r>
      <w:r w:rsidRPr="005F62F4">
        <w:instrText>ADDIN CSL_CITATION {"citationItems":[{"id":"ITEM-1","itemData":{"DOI":"10.1097/PRS.0000000000006261","ISBN":"0000000000","ISSN":"15294242","PMID":"31764662","abstract":"BACKGROUND: Computer-assisted mandibular reconstruction facilitates preoperative surgery simulation and transfers the virtual plan to a real operation. This systematic review and meta-analysis aimed to compare the accuracy, efficiency, postoperative complications, and economic viability between computer-assisted mandibular reconstruction and conventional freehand mandibular reconstruction. METHODS: The PubMed, Embase, Cochrane Library, and Google Scholar databases were searched up to November of 2018. The accuracy, efficiency, postoperative complications, and economic viability of computer-assisted mandibular reconstruction compared to conventional freehand mandibular reconstruction were systematically reviewed. Continuous and dichotomous data were pooled in mean difference (or standardized mean difference if necessary) and odds ratio, subsequently, with 95 percent confidence interval. RESULTS: A total of 12 studies were included in the systematic review, and data extracted from 11 of them were combined in meta-analysis. The accuracy of computer-assisted mandibular reconstruction was better than or equal to that of conventional freehand mandibular reconstruction according to qualitative analysis, although the quantitative comparison from meta-analysis was excluded because of the diversity of measurements. As for efficiency, computer-assisted mandibular reconstruction, when compared to conventional freehand mandibular reconstruction, revealed a shorter ischemic time, reconstructive time, total operative time, and length of stay. There was no difference in postoperative complication rate. CONCLUSIONS: Computer-assisted mandibular reconstruction showed increased efficiency considering the reduced ischemic time, total operative time, reconstructive time, and length of stay. However, the accuracy, reconstruction outcomes, and perioperative cost should be further elucidated because of diverse measurements and the lack of included studies.","author":[{"dropping-particle":"","family":"Powcharoen","given":"Warit","non-dropping-particle":"","parse-names":false,"suffix":""},{"dropping-particle":"","family":"Yang","given":"Wei Fa","non-dropping-particle":"","parse-names":false,"suffix":""},{"dropping-particle":"","family":"Yan Li","given":"Kar","non-dropping-particle":"","parse-names":false,"suffix":""},{"dropping-particle":"","family":"Zhu","given":"Wangyong","non-dropping-particle":"","parse-names":false,"suffix":""},{"dropping-particle":"","family":"Su","given":"Yu Xiong","non-dropping-particle":"","parse-names":false,"suffix":""}],"container-title":"Plastic and reconstructive surgery","id":"ITEM-1","issue":"6","issued":{"date-parts":[["2019"]]},"page":"1417-1428","title":"Computer-assisted versus conventional freehand mandibular reconstruction with fibula free flap: a systematic review and meta-analysis","type":"article-journal","volume":"144"},"uris":["http://www.mendeley.com/documents/?uuid=dee362cd-8e98-4424-b1dd-024c1574dfa8"]}],"mendeley":{"formattedCitation":"(Powcharoen et al. 2019)","manualFormatting":"(Powcharoen et al. 2019, p. 1426)","plainTextFormattedCitation":"(Powcharoen et al. 2019)","previouslyFormattedCitation":"(Powcharoen et al. 2019)"},"properties":{"noteIndex":0},"schema":"https://github.com/citation-style-language/schema/raw/master/csl-citation.json"}</w:instrText>
      </w:r>
      <w:r w:rsidRPr="005F62F4">
        <w:fldChar w:fldCharType="separate"/>
      </w:r>
      <w:r w:rsidRPr="005F62F4">
        <w:rPr>
          <w:noProof/>
        </w:rPr>
        <w:t>(Powcharoen et al. 2019, p. 1426)</w:t>
      </w:r>
      <w:r w:rsidRPr="005F62F4">
        <w:fldChar w:fldCharType="end"/>
      </w:r>
    </w:p>
    <w:p w14:paraId="7CC2D42D" w14:textId="50FB9E7D" w:rsidR="00A60C83" w:rsidRPr="005F62F4" w:rsidRDefault="008F06D6" w:rsidP="00A60C83">
      <w:pPr>
        <w:pStyle w:val="Para"/>
      </w:pPr>
      <w:r w:rsidRPr="005F62F4">
        <w:t xml:space="preserve">One study </w:t>
      </w:r>
      <w:r w:rsidR="00A60C83" w:rsidRPr="005F62F4">
        <w:t>modelling</w:t>
      </w:r>
      <w:r w:rsidRPr="005F62F4">
        <w:t xml:space="preserve"> </w:t>
      </w:r>
      <w:r w:rsidR="005528ED" w:rsidRPr="005F62F4">
        <w:t xml:space="preserve">the cost of </w:t>
      </w:r>
      <w:r w:rsidR="00E227A6" w:rsidRPr="005F62F4">
        <w:t>point-of-care manufacturing</w:t>
      </w:r>
      <w:r w:rsidR="00DD6B89" w:rsidRPr="005F62F4">
        <w:t xml:space="preserve"> </w:t>
      </w:r>
      <w:r w:rsidR="00EB4D4B" w:rsidRPr="005F62F4">
        <w:t>(</w:t>
      </w:r>
      <w:r w:rsidRPr="005F62F4">
        <w:t>see Section </w:t>
      </w:r>
      <w:r w:rsidRPr="005F62F4">
        <w:fldChar w:fldCharType="begin"/>
      </w:r>
      <w:r w:rsidRPr="005F62F4">
        <w:instrText xml:space="preserve"> REF _Ref128731584 \n \h </w:instrText>
      </w:r>
      <w:r w:rsidR="005F62F4">
        <w:instrText xml:space="preserve"> \* MERGEFORMAT </w:instrText>
      </w:r>
      <w:r w:rsidRPr="005F62F4">
        <w:fldChar w:fldCharType="separate"/>
      </w:r>
      <w:r w:rsidR="005606BF">
        <w:t>1.3</w:t>
      </w:r>
      <w:r w:rsidRPr="005F62F4">
        <w:fldChar w:fldCharType="end"/>
      </w:r>
      <w:r w:rsidR="00EB4D4B" w:rsidRPr="005F62F4">
        <w:t>)</w:t>
      </w:r>
      <w:r w:rsidR="00A60C83" w:rsidRPr="005F62F4">
        <w:t xml:space="preserve"> </w:t>
      </w:r>
      <w:r w:rsidR="00871DE4" w:rsidRPr="005F62F4">
        <w:t>estimated</w:t>
      </w:r>
      <w:r w:rsidR="00A60C83" w:rsidRPr="005F62F4">
        <w:t xml:space="preserve"> that, in the context of oral and maxillofacial and orthopaedic surgeries</w:t>
      </w:r>
      <w:r w:rsidR="000E1CA2" w:rsidRPr="005F62F4">
        <w:t xml:space="preserve"> in the United States</w:t>
      </w:r>
      <w:r w:rsidR="00A60C83" w:rsidRPr="005F62F4">
        <w:t xml:space="preserve">, </w:t>
      </w:r>
      <w:r w:rsidR="00E958E2" w:rsidRPr="005F62F4">
        <w:t xml:space="preserve">a </w:t>
      </w:r>
      <w:r w:rsidR="006939B1" w:rsidRPr="005F62F4">
        <w:t xml:space="preserve">hospital </w:t>
      </w:r>
      <w:r w:rsidR="00E958E2" w:rsidRPr="005F62F4">
        <w:t>would need to</w:t>
      </w:r>
      <w:r w:rsidR="00A60C83" w:rsidRPr="005F62F4">
        <w:t xml:space="preserve"> produc</w:t>
      </w:r>
      <w:r w:rsidR="00E958E2" w:rsidRPr="005F62F4">
        <w:t>e</w:t>
      </w:r>
      <w:r w:rsidR="00A60C83" w:rsidRPr="005F62F4">
        <w:t xml:space="preserve"> at least 63</w:t>
      </w:r>
      <w:r w:rsidR="007A1141" w:rsidRPr="005F62F4">
        <w:t> </w:t>
      </w:r>
      <w:r w:rsidR="00A60C83" w:rsidRPr="005F62F4">
        <w:t>models or guides per year to offset</w:t>
      </w:r>
      <w:r w:rsidR="000E7D0B" w:rsidRPr="005F62F4">
        <w:t xml:space="preserve"> the</w:t>
      </w:r>
      <w:r w:rsidR="00A60C83" w:rsidRPr="005F62F4">
        <w:t xml:space="preserve"> annual fixed costs of maintaining a 3D printing lab</w:t>
      </w:r>
      <w:r w:rsidR="006939B1" w:rsidRPr="005F62F4">
        <w:t xml:space="preserve"> </w:t>
      </w:r>
      <w:r w:rsidR="0087097B" w:rsidRPr="005F62F4">
        <w:t>(</w:t>
      </w:r>
      <w:r w:rsidR="00DD6B89" w:rsidRPr="005F62F4">
        <w:fldChar w:fldCharType="begin" w:fldLock="1"/>
      </w:r>
      <w:r w:rsidR="00EB5748" w:rsidRPr="005F62F4">
        <w:instrText>ADDIN CSL_CITATION {"citationItems":[{"id":"ITEM-1","itemData":{"DOI":"10.1016/j.acra.2019.08.011","ISSN":"18784046","PMID":"31542197","abstract":"RATIONALE AND OBJECTIVE: Three-dimensional (3D) printed anatomic models and surgical guides have been shown to reduce operative time. The purpose of this study was to generate an economic analysis of the cost-saving potential of 3D printed anatomic models and surgical guides in orthopedic and maxillofacial surgical applications. MATERIALS AND METHODS: A targeted literature search identified operating room cost-per-minute and studies that quantified time saved using 3D printed constructs. Studies that reported operative time differences due to 3D printed anatomic models or surgical guides were reviewed and cataloged. A mean of $62 per operating room minute (range of $22–$133 per minute) was used as the reference standard for operating room time cost. Different financial scenarios were modeled with the provided cost-per-minute of operating room time (using high, mean, and low values) and mean time saved using 3D printed constructs. RESULTS: Seven studies using 3D printed anatomic models in surgical care demonstrated a mean 62 minutes ($3720/case saved from reduced time) of time saved, and 25 studies of 3D printed surgical guides demonstrated a mean 23 minutes time saved ($1488/case saved from reduced time). An estimated 63 models or guides per year (or 1.2/week) were predicted to be the minimum number to breakeven and account for annual fixed costs. CONCLUSION: Based on the literature-based financial analyses, medical 3D printing appears to reduce operating room costs secondary to shortening procedure times. While resource-intensive, 3D printed constructs used in patients’ operative care provides considerable downstream value to health systems.","author":[{"dropping-particle":"","family":"Ballard","given":"David H.","non-dropping-particle":"","parse-names":false,"suffix":""},{"dropping-particle":"","family":"Mills","given":"Patrick","non-dropping-particle":"","parse-names":false,"suffix":""},{"dropping-particle":"","family":"Duszak","given":"Richard","non-dropping-particle":"","parse-names":false,"suffix":""},{"dropping-particle":"","family":"Weisman","given":"Jeffery A.","non-dropping-particle":"","parse-names":false,"suffix":""},{"dropping-particle":"","family":"Rybicki","given":"Frank J.","non-dropping-particle":"","parse-names":false,"suffix":""},{"dropping-particle":"","family":"Woodard","given":"Pamela K.","non-dropping-particle":"","parse-names":false,"suffix":""}],"container-title":"Academic Radiology","id":"ITEM-1","issue":"8","issued":{"date-parts":[["2020"]]},"page":"1103-1113","publisher":"Elsevier Inc.","title":"Medical 3D printing cost-savings in orthopedic and maxillofacial surgery: cost analysis of operating room time saved with 3D printed anatomic models and surgical guides","type":"article-journal","volume":"27"},"uris":["http://www.mendeley.com/documents/?uuid=dd63fa1e-4562-407f-a955-e571eae74dff"]}],"mendeley":{"formattedCitation":"(Ballard et al. 2020)","manualFormatting":"Ballard et al. 2020)","plainTextFormattedCitation":"(Ballard et al. 2020)","previouslyFormattedCitation":"(Ballard et al. 2020)"},"properties":{"noteIndex":0},"schema":"https://github.com/citation-style-language/schema/raw/master/csl-citation.json"}</w:instrText>
      </w:r>
      <w:r w:rsidR="00DD6B89" w:rsidRPr="005F62F4">
        <w:fldChar w:fldCharType="separate"/>
      </w:r>
      <w:r w:rsidR="00DD6B89" w:rsidRPr="005F62F4">
        <w:rPr>
          <w:noProof/>
        </w:rPr>
        <w:t>Ballard et al. 2020)</w:t>
      </w:r>
      <w:r w:rsidR="00DD6B89" w:rsidRPr="005F62F4">
        <w:fldChar w:fldCharType="end"/>
      </w:r>
      <w:r w:rsidR="00A60C83" w:rsidRPr="005F62F4">
        <w:t>.</w:t>
      </w:r>
    </w:p>
    <w:p w14:paraId="048B941C" w14:textId="5151CFF1" w:rsidR="00D32557" w:rsidRPr="005F62F4" w:rsidRDefault="00D32557" w:rsidP="004F2931">
      <w:pPr>
        <w:pStyle w:val="Heading3"/>
      </w:pPr>
      <w:r w:rsidRPr="005F62F4">
        <w:t>Limitations</w:t>
      </w:r>
    </w:p>
    <w:p w14:paraId="5952CDF0" w14:textId="200CFF0E" w:rsidR="00A60C83" w:rsidRPr="005F62F4" w:rsidRDefault="0023749E" w:rsidP="00DA330B">
      <w:pPr>
        <w:pStyle w:val="ParaKeep"/>
      </w:pPr>
      <w:r w:rsidRPr="005F62F4">
        <w:t>T</w:t>
      </w:r>
      <w:r w:rsidR="00A60C83" w:rsidRPr="005F62F4" w:rsidDel="00C40782">
        <w:t>he authors of the systematic reviews and meta-analyses</w:t>
      </w:r>
      <w:r w:rsidR="00B26AF3" w:rsidRPr="005F62F4">
        <w:t xml:space="preserve"> in</w:t>
      </w:r>
      <w:r w:rsidR="00F201CB" w:rsidRPr="005F62F4">
        <w:t>c</w:t>
      </w:r>
      <w:r w:rsidR="00B26AF3" w:rsidRPr="005F62F4">
        <w:t xml:space="preserve">luded in this desktop review </w:t>
      </w:r>
      <w:r w:rsidR="000D436E" w:rsidRPr="005F62F4">
        <w:t xml:space="preserve">identified </w:t>
      </w:r>
      <w:proofErr w:type="gramStart"/>
      <w:r w:rsidR="000D436E" w:rsidRPr="005F62F4">
        <w:t>a number of</w:t>
      </w:r>
      <w:proofErr w:type="gramEnd"/>
      <w:r w:rsidR="000D436E" w:rsidRPr="005F62F4">
        <w:t xml:space="preserve"> limi</w:t>
      </w:r>
      <w:r w:rsidR="00AD3570" w:rsidRPr="005F62F4">
        <w:t>tations</w:t>
      </w:r>
      <w:r w:rsidR="00CF7DA1" w:rsidRPr="005F62F4">
        <w:t xml:space="preserve">, </w:t>
      </w:r>
      <w:r w:rsidR="00BE49F1" w:rsidRPr="005F62F4">
        <w:t>such as</w:t>
      </w:r>
      <w:r w:rsidR="00A60C83" w:rsidRPr="005F62F4">
        <w:t>:</w:t>
      </w:r>
    </w:p>
    <w:p w14:paraId="58B35950" w14:textId="2DB824BF" w:rsidR="00A60C83" w:rsidRPr="005F62F4" w:rsidRDefault="00A60C83" w:rsidP="00727540">
      <w:pPr>
        <w:pStyle w:val="Bullet1"/>
        <w:numPr>
          <w:ilvl w:val="0"/>
          <w:numId w:val="13"/>
        </w:numPr>
      </w:pPr>
      <w:r w:rsidRPr="005F62F4">
        <w:t>the limited number of studies identified for inclusion in the reviews</w:t>
      </w:r>
    </w:p>
    <w:p w14:paraId="737625D4" w14:textId="0C66800B" w:rsidR="00A60C83" w:rsidRPr="005F62F4" w:rsidRDefault="00A60C83" w:rsidP="00727540">
      <w:pPr>
        <w:pStyle w:val="Bullet1"/>
        <w:numPr>
          <w:ilvl w:val="0"/>
          <w:numId w:val="13"/>
        </w:numPr>
      </w:pPr>
      <w:r w:rsidRPr="005F62F4">
        <w:t xml:space="preserve">the small sample sizes </w:t>
      </w:r>
      <w:r w:rsidR="00B75E1E" w:rsidRPr="005F62F4">
        <w:t xml:space="preserve">used in the </w:t>
      </w:r>
      <w:r w:rsidRPr="005F62F4">
        <w:t>included studies</w:t>
      </w:r>
      <w:r w:rsidR="000E33E7" w:rsidRPr="005F62F4">
        <w:t>,</w:t>
      </w:r>
      <w:r w:rsidRPr="005F62F4">
        <w:t xml:space="preserve"> and </w:t>
      </w:r>
      <w:r w:rsidR="000E33E7" w:rsidRPr="005F62F4">
        <w:t>the</w:t>
      </w:r>
      <w:r w:rsidRPr="005F62F4">
        <w:t xml:space="preserve"> inclusion of case reports</w:t>
      </w:r>
    </w:p>
    <w:p w14:paraId="16963911" w14:textId="534AD281" w:rsidR="00A60C83" w:rsidRPr="005F62F4" w:rsidRDefault="00A60C83" w:rsidP="00727540">
      <w:pPr>
        <w:pStyle w:val="Bullet1"/>
        <w:numPr>
          <w:ilvl w:val="0"/>
          <w:numId w:val="13"/>
        </w:numPr>
      </w:pPr>
      <w:r w:rsidRPr="005F62F4">
        <w:t xml:space="preserve">a </w:t>
      </w:r>
      <w:r w:rsidR="0021197E" w:rsidRPr="005F62F4">
        <w:t xml:space="preserve">paucity </w:t>
      </w:r>
      <w:r w:rsidRPr="005F62F4">
        <w:t xml:space="preserve">of </w:t>
      </w:r>
      <w:r w:rsidR="003C3885" w:rsidRPr="005F62F4">
        <w:t>randomised controlled trials</w:t>
      </w:r>
      <w:r w:rsidRPr="005F62F4">
        <w:t>, other comparative studies and prospective studies</w:t>
      </w:r>
      <w:r w:rsidR="00CB457A" w:rsidRPr="005F62F4">
        <w:t>,</w:t>
      </w:r>
      <w:r w:rsidRPr="005F62F4">
        <w:t xml:space="preserve"> and the significant risk of bias in included studies</w:t>
      </w:r>
    </w:p>
    <w:p w14:paraId="1C180F2E" w14:textId="787A74A7" w:rsidR="00A60C83" w:rsidRPr="005F62F4" w:rsidRDefault="00A60C83" w:rsidP="00727540">
      <w:pPr>
        <w:pStyle w:val="Bullet1"/>
        <w:numPr>
          <w:ilvl w:val="0"/>
          <w:numId w:val="13"/>
        </w:numPr>
      </w:pPr>
      <w:r w:rsidRPr="005F62F4">
        <w:t>heterogenous methodolog</w:t>
      </w:r>
      <w:r w:rsidR="005B4AA1" w:rsidRPr="005F62F4">
        <w:t>ies</w:t>
      </w:r>
      <w:r w:rsidR="00C40B6E" w:rsidRPr="005F62F4">
        <w:t xml:space="preserve">, </w:t>
      </w:r>
      <w:r w:rsidRPr="005F62F4">
        <w:t>including patient cohort, follow</w:t>
      </w:r>
      <w:r w:rsidR="00C61774" w:rsidRPr="005F62F4">
        <w:t>-</w:t>
      </w:r>
      <w:r w:rsidRPr="005F62F4">
        <w:t>up and measuring/reporting of outcomes</w:t>
      </w:r>
    </w:p>
    <w:p w14:paraId="620B0E8F" w14:textId="22F90D59" w:rsidR="00A60C83" w:rsidRPr="005F62F4" w:rsidRDefault="00A60C83" w:rsidP="00727540">
      <w:pPr>
        <w:pStyle w:val="Bullet1"/>
        <w:numPr>
          <w:ilvl w:val="0"/>
          <w:numId w:val="13"/>
        </w:numPr>
      </w:pPr>
      <w:r w:rsidRPr="005F62F4">
        <w:t xml:space="preserve">presence of confounding factors – </w:t>
      </w:r>
      <w:r w:rsidR="00C40B6E" w:rsidRPr="005F62F4">
        <w:t>including</w:t>
      </w:r>
      <w:r w:rsidRPr="005F62F4">
        <w:t xml:space="preserve"> surgeon experience, types of defects and surgeries </w:t>
      </w:r>
      <w:r w:rsidR="005B6A7D" w:rsidRPr="005F62F4">
        <w:t xml:space="preserve">– </w:t>
      </w:r>
      <w:r w:rsidRPr="005F62F4">
        <w:t xml:space="preserve">not well controlled and variation in bundling of 3D technologies </w:t>
      </w:r>
      <w:r w:rsidRPr="005F62F4">
        <w:lastRenderedPageBreak/>
        <w:t>(</w:t>
      </w:r>
      <w:proofErr w:type="gramStart"/>
      <w:r w:rsidRPr="005F62F4">
        <w:t>e.g.</w:t>
      </w:r>
      <w:proofErr w:type="gramEnd"/>
      <w:r w:rsidR="00B233BA">
        <w:t> </w:t>
      </w:r>
      <w:r w:rsidRPr="005F62F4">
        <w:t xml:space="preserve">interventions often included any/all of virtual surgical planning, use of 3D-printed </w:t>
      </w:r>
      <w:proofErr w:type="spellStart"/>
      <w:r w:rsidRPr="005F62F4">
        <w:t>biomodels</w:t>
      </w:r>
      <w:proofErr w:type="spellEnd"/>
      <w:r w:rsidRPr="005F62F4">
        <w:t xml:space="preserve"> and/or surgical guides, </w:t>
      </w:r>
      <w:r w:rsidR="00FE7420" w:rsidRPr="005F62F4">
        <w:t>other 3D</w:t>
      </w:r>
      <w:r w:rsidR="00C40B6E" w:rsidRPr="005F62F4">
        <w:noBreakHyphen/>
      </w:r>
      <w:r w:rsidR="00FE7420" w:rsidRPr="005F62F4">
        <w:t xml:space="preserve">printed tools </w:t>
      </w:r>
      <w:r w:rsidRPr="005F62F4">
        <w:t>and patient-specific implants).</w:t>
      </w:r>
    </w:p>
    <w:p w14:paraId="3D2E5A50" w14:textId="32988BBE" w:rsidR="003C215A" w:rsidRPr="005F62F4" w:rsidRDefault="003C215A" w:rsidP="001D22B5">
      <w:pPr>
        <w:pStyle w:val="IntenseQuote"/>
      </w:pPr>
      <w:r w:rsidRPr="005F62F4">
        <w:t>Many authors suggested that clinical outcomes can be improved, but their findings were not supported by any control group</w:t>
      </w:r>
      <w:r w:rsidR="002F0D9A" w:rsidRPr="005F62F4">
        <w:t>.</w:t>
      </w:r>
      <w:r w:rsidRPr="005F62F4">
        <w:t xml:space="preserve"> </w:t>
      </w:r>
      <w:r w:rsidR="00107910" w:rsidRPr="005F62F4">
        <w:fldChar w:fldCharType="begin" w:fldLock="1"/>
      </w:r>
      <w:r w:rsidR="00107910" w:rsidRPr="005F62F4">
        <w:instrText>ADDIN CSL_CITATION {"citationItems":[{"id":"ITEM-1","itemData":{"author":[{"dropping-particle":"","family":"Meglioli","given":"M","non-dropping-particle":"","parse-names":false,"suffix":""},{"dropping-particle":"","family":"Naveau","given":"A","non-dropping-particle":"","parse-names":false,"suffix":""},{"dropping-particle":"","family":"Macaluso","given":"GM","non-dropping-particle":"","parse-names":false,"suffix":""},{"dropping-particle":"","family":"Catros","given":"S","non-dropping-particle":"","parse-names":false,"suffix":""}],"container-title":"3D Printing in Medicine","id":"ITEM-1","issue":"1","issued":{"date-parts":[["2020"]]},"page":"30","title":"3D printed bone models in oral and craniomaxillofacial surgery: a systematic review","type":"article-journal","volume":"6"},"uris":["http://www.mendeley.com/documents/?uuid=7b876947-60fc-482d-b995-b78f486404da"]}],"mendeley":{"formattedCitation":"(Meglioli et al. 2020)","manualFormatting":"(Meglioli et al. 2020, pp. 7-10)","plainTextFormattedCitation":"(Meglioli et al. 2020)","previouslyFormattedCitation":"(Meglioli et al. 2020)"},"properties":{"noteIndex":0},"schema":"https://github.com/citation-style-language/schema/raw/master/csl-citation.json"}</w:instrText>
      </w:r>
      <w:r w:rsidR="00107910" w:rsidRPr="005F62F4">
        <w:fldChar w:fldCharType="separate"/>
      </w:r>
      <w:r w:rsidR="00107910" w:rsidRPr="005F62F4">
        <w:rPr>
          <w:noProof/>
        </w:rPr>
        <w:t>(Meglioli et al. 2020, pp. 7-10)</w:t>
      </w:r>
      <w:r w:rsidR="00107910" w:rsidRPr="005F62F4">
        <w:fldChar w:fldCharType="end"/>
      </w:r>
    </w:p>
    <w:p w14:paraId="54D8A0AE" w14:textId="39CD850D" w:rsidR="003C215A" w:rsidRPr="005F62F4" w:rsidRDefault="003C215A" w:rsidP="001D22B5">
      <w:pPr>
        <w:pStyle w:val="IntenseQuote"/>
      </w:pPr>
      <w:r w:rsidRPr="005F62F4">
        <w:t>Irrespective of specialty, the true effectiveness of 3D-printed interventions [in otology and auricular management] remains largely undetermined due to few large</w:t>
      </w:r>
      <w:r w:rsidR="00297423" w:rsidRPr="005F62F4">
        <w:t xml:space="preserve"> </w:t>
      </w:r>
      <w:r w:rsidRPr="005F62F4">
        <w:t>trials, use of non-randomized designs, and lack of quantitative outcomes</w:t>
      </w:r>
      <w:r w:rsidR="002F0D9A" w:rsidRPr="005F62F4">
        <w:t>.</w:t>
      </w:r>
      <w:r w:rsidRPr="005F62F4">
        <w:t xml:space="preserve"> </w:t>
      </w:r>
      <w:r w:rsidR="00107910" w:rsidRPr="005F62F4">
        <w:fldChar w:fldCharType="begin" w:fldLock="1"/>
      </w:r>
      <w:r w:rsidR="00D428E5" w:rsidRPr="005F62F4">
        <w:instrText>ADDIN CSL_CITATION {"citationItems":[{"id":"ITEM-1","itemData":{"DOI":"10.1007/s00405-022-07291-0","ISBN":"0123456789","ISSN":"14344726","PMID":"35166908","abstract":"Purpose: 3D-printing (three-dimensional printing) is an emerging technology with promising applications for patient-specific interventions. Nonetheless, knowledge on the clinical applicability of 3D-printing in otology and research on its use remains scattered. Understanding these new treatment options is a prerequisite for clinical implementation, which could improve patient outcomes. This review aims to explore current applications of 3D-printed patient-specific otologic interventions, including state of the evidence, strengths, limitations, and future possibilities. Methods: Following the PRISMA statement, relevant studies were identified through Pubmed, EMBASE, the Cochrane Library, and Web of Science. Data on the manufacturing process and interventions were extracted by two reviewers. Study quality was assessed using Joanna Briggs Institute’s critical appraisal tools. Results: Screening yielded 590 studies; 63 were found eligible and included for analysis. 3D-printed models were used as guides, templates, implants, and devices. Outer ear interventions comprised 73% of the studies. Overall, optimistic sentiments on 3D-printed models were reported, including increased surgical precision/confidence, faster manufacturing/operation time, and reduced costs/complications. Nevertheless, study quality was low as most studies failed to use relevant objective outcomes, compare new interventions with conventional treatment, and sufficiently describe manufacturing. Conclusion: Several clinical interventions using patient-specific 3D-printing in otology are considered promising. However, it remains unclear whether these interventions actually improve patient outcomes due to lack of comparison with conventional methods and low levels of evidence. Further, the reproducibility of the 3D-printed interventions is compromised by insufficient reporting. Future efforts should focus on objective, comparative outcomes evaluated in large-scale studies.","author":[{"dropping-particle":"","family":"Omari","given":"Adam","non-dropping-particle":"","parse-names":false,"suffix":""},{"dropping-particle":"","family":"Frendø","given":"Martin","non-dropping-particle":"","parse-names":false,"suffix":""},{"dropping-particle":"","family":"Sørensen","given":"Mads Sølvsten","non-dropping-particle":"","parse-names":false,"suffix":""},{"dropping-particle":"","family":"Andersen","given":"Steven Arild Wuyts","non-dropping-particle":"","parse-names":false,"suffix":""},{"dropping-particle":"","family":"Frithioff","given":"Andreas","non-dropping-particle":"","parse-names":false,"suffix":""}],"container-title":"European Archives of Oto-Rhino-Laryngology","id":"ITEM-1","issue":"7","issued":{"date-parts":[["2022"]]},"page":"3269-3288","publisher":"Springer Berlin Heidelberg","title":"The cutting edge of customized surgery: 3D-printed models for patient-specific interventions in otology and auricular management—a systematic review","type":"article-journal","volume":"279"},"uris":["http://www.mendeley.com/documents/?uuid=b0b8c197-04a3-43fd-ab61-353169bacc38"]}],"mendeley":{"formattedCitation":"(Omari et al. 2022)","manualFormatting":"(Omari et al. 2022, p. 3285)","plainTextFormattedCitation":"(Omari et al. 2022)","previouslyFormattedCitation":"(Omari et al. 2022)"},"properties":{"noteIndex":0},"schema":"https://github.com/citation-style-language/schema/raw/master/csl-citation.json"}</w:instrText>
      </w:r>
      <w:r w:rsidR="00107910" w:rsidRPr="005F62F4">
        <w:fldChar w:fldCharType="separate"/>
      </w:r>
      <w:r w:rsidR="00107910" w:rsidRPr="005F62F4">
        <w:rPr>
          <w:noProof/>
        </w:rPr>
        <w:t>(Omari et al. 2022, p. 3285)</w:t>
      </w:r>
      <w:r w:rsidR="00107910" w:rsidRPr="005F62F4">
        <w:fldChar w:fldCharType="end"/>
      </w:r>
    </w:p>
    <w:p w14:paraId="22F362A5" w14:textId="368EFD5F" w:rsidR="00A60C83" w:rsidRPr="005F62F4" w:rsidRDefault="00B51EC7" w:rsidP="00931FB1">
      <w:pPr>
        <w:pStyle w:val="Para"/>
      </w:pPr>
      <w:r w:rsidRPr="005F62F4">
        <w:rPr>
          <w:lang w:eastAsia="en-AU"/>
        </w:rPr>
        <w:t>M</w:t>
      </w:r>
      <w:r w:rsidR="00A60C83" w:rsidRPr="005F62F4">
        <w:rPr>
          <w:lang w:eastAsia="en-AU"/>
        </w:rPr>
        <w:t xml:space="preserve">any authors highlighted the need for further and better research on the comparative benefits of </w:t>
      </w:r>
      <w:r w:rsidR="00913C29" w:rsidRPr="005F62F4">
        <w:rPr>
          <w:lang w:eastAsia="en-AU"/>
        </w:rPr>
        <w:t>guided implant surgery</w:t>
      </w:r>
      <w:r w:rsidR="004363BA" w:rsidRPr="005F62F4">
        <w:rPr>
          <w:lang w:eastAsia="en-AU"/>
        </w:rPr>
        <w:t xml:space="preserve"> with respect to conventional methods</w:t>
      </w:r>
      <w:r w:rsidR="00A60C83" w:rsidRPr="005F62F4">
        <w:rPr>
          <w:lang w:eastAsia="en-AU"/>
        </w:rPr>
        <w:t>, including</w:t>
      </w:r>
      <w:r w:rsidR="00A60C83" w:rsidRPr="005F62F4">
        <w:t xml:space="preserve"> randomised controlled trials </w:t>
      </w:r>
      <w:r w:rsidR="00551ADA" w:rsidRPr="005F62F4">
        <w:t>–</w:t>
      </w:r>
      <w:r w:rsidR="00A60C83" w:rsidRPr="005F62F4">
        <w:t xml:space="preserve"> or, at least, prospective, clinical and comparative data, standardised methodologies, long-term data and data regarding costs.</w:t>
      </w:r>
    </w:p>
    <w:p w14:paraId="6B3CF053" w14:textId="60382104" w:rsidR="00C80D32" w:rsidRPr="005F62F4" w:rsidRDefault="00C80D32" w:rsidP="00A60C83">
      <w:pPr>
        <w:pStyle w:val="Para"/>
      </w:pPr>
      <w:r w:rsidRPr="005F62F4">
        <w:t xml:space="preserve">The </w:t>
      </w:r>
      <w:r w:rsidR="008914E8" w:rsidRPr="005F62F4">
        <w:t xml:space="preserve">findings </w:t>
      </w:r>
      <w:r w:rsidR="001974FB" w:rsidRPr="005F62F4">
        <w:t>of this review</w:t>
      </w:r>
      <w:r w:rsidR="00182578" w:rsidRPr="005F62F4">
        <w:t xml:space="preserve"> </w:t>
      </w:r>
      <w:r w:rsidR="001974FB" w:rsidRPr="005F62F4">
        <w:t xml:space="preserve">(including limitations of the evidence base) </w:t>
      </w:r>
      <w:r w:rsidR="008914E8" w:rsidRPr="005F62F4">
        <w:t xml:space="preserve">are consistent with </w:t>
      </w:r>
      <w:r w:rsidR="00C40B6E" w:rsidRPr="005F62F4">
        <w:t xml:space="preserve">those of </w:t>
      </w:r>
      <w:r w:rsidR="008914E8" w:rsidRPr="005F62F4">
        <w:t xml:space="preserve">our </w:t>
      </w:r>
      <w:r w:rsidR="00311A76" w:rsidRPr="005F62F4">
        <w:t xml:space="preserve">systematic review of </w:t>
      </w:r>
      <w:r w:rsidR="00C40B6E" w:rsidRPr="005F62F4">
        <w:t>in</w:t>
      </w:r>
      <w:r w:rsidR="00C40B6E" w:rsidRPr="005F62F4">
        <w:noBreakHyphen/>
        <w:t>scope PL</w:t>
      </w:r>
      <w:r w:rsidR="00D369EA" w:rsidRPr="005F62F4">
        <w:t xml:space="preserve"> products</w:t>
      </w:r>
      <w:r w:rsidR="00C40B6E" w:rsidRPr="005F62F4">
        <w:t xml:space="preserve">, as </w:t>
      </w:r>
      <w:r w:rsidR="00AC7180" w:rsidRPr="005F62F4">
        <w:t xml:space="preserve">described in </w:t>
      </w:r>
      <w:r w:rsidR="00400AA1" w:rsidRPr="005F62F4">
        <w:t>S</w:t>
      </w:r>
      <w:r w:rsidR="00AC7180" w:rsidRPr="005F62F4">
        <w:t>ection</w:t>
      </w:r>
      <w:r w:rsidR="005959F4">
        <w:t> </w:t>
      </w:r>
      <w:r w:rsidR="005959F4">
        <w:fldChar w:fldCharType="begin"/>
      </w:r>
      <w:r w:rsidR="005959F4">
        <w:instrText xml:space="preserve"> REF _Ref129954064 \n \h </w:instrText>
      </w:r>
      <w:r w:rsidR="005959F4">
        <w:fldChar w:fldCharType="separate"/>
      </w:r>
      <w:r w:rsidR="005959F4">
        <w:t>2.3</w:t>
      </w:r>
      <w:r w:rsidR="005959F4">
        <w:fldChar w:fldCharType="end"/>
      </w:r>
      <w:r w:rsidR="00D369EA" w:rsidRPr="005F62F4">
        <w:t>.</w:t>
      </w:r>
    </w:p>
    <w:p w14:paraId="0F4CC53D" w14:textId="77777777" w:rsidR="0002508A" w:rsidRPr="005F62F4" w:rsidRDefault="0002508A" w:rsidP="00CF3435">
      <w:pPr>
        <w:pStyle w:val="Caption"/>
        <w:sectPr w:rsidR="0002508A" w:rsidRPr="005F62F4" w:rsidSect="00B7390D">
          <w:pgSz w:w="11906" w:h="16838"/>
          <w:pgMar w:top="1134" w:right="1134" w:bottom="1134" w:left="1440" w:header="709" w:footer="709" w:gutter="0"/>
          <w:cols w:space="708"/>
          <w:docGrid w:linePitch="360"/>
        </w:sectPr>
      </w:pPr>
    </w:p>
    <w:p w14:paraId="7BAB3C29" w14:textId="7F3C4B22" w:rsidR="00FA4535" w:rsidRPr="005F62F4" w:rsidRDefault="00343A91" w:rsidP="004F2931">
      <w:pPr>
        <w:pStyle w:val="Heading1"/>
      </w:pPr>
      <w:bookmarkStart w:id="139" w:name="_Ref119398618"/>
      <w:bookmarkStart w:id="140" w:name="_Ref119584654"/>
      <w:bookmarkStart w:id="141" w:name="_Toc120178315"/>
      <w:bookmarkStart w:id="142" w:name="_Toc129954607"/>
      <w:r w:rsidRPr="005F62F4">
        <w:lastRenderedPageBreak/>
        <w:t xml:space="preserve">: </w:t>
      </w:r>
      <w:proofErr w:type="spellStart"/>
      <w:r w:rsidR="00451F0E" w:rsidRPr="005F62F4">
        <w:t>To</w:t>
      </w:r>
      <w:r w:rsidR="006356D2" w:rsidRPr="005F62F4">
        <w:t>R</w:t>
      </w:r>
      <w:proofErr w:type="spellEnd"/>
      <w:r w:rsidR="006356D2" w:rsidRPr="005F62F4">
        <w:t xml:space="preserve"> 3</w:t>
      </w:r>
      <w:r w:rsidR="00873286" w:rsidRPr="005F62F4">
        <w:t xml:space="preserve"> – </w:t>
      </w:r>
      <w:bookmarkEnd w:id="126"/>
      <w:r w:rsidR="00DA1E62" w:rsidRPr="005F62F4">
        <w:t>Utilisation patterns</w:t>
      </w:r>
      <w:bookmarkEnd w:id="139"/>
      <w:bookmarkEnd w:id="140"/>
      <w:bookmarkEnd w:id="141"/>
      <w:bookmarkEnd w:id="142"/>
    </w:p>
    <w:p w14:paraId="732FF42B" w14:textId="7CD1A67A" w:rsidR="00F73F7C" w:rsidRPr="005F62F4" w:rsidRDefault="00BC1DC3" w:rsidP="008E1775">
      <w:pPr>
        <w:pStyle w:val="Boxed"/>
      </w:pPr>
      <w:bookmarkStart w:id="143" w:name="_Toc388453126"/>
      <w:r w:rsidRPr="005F62F4">
        <w:t xml:space="preserve">3. </w:t>
      </w:r>
      <w:r w:rsidR="00F0148A" w:rsidRPr="005F62F4">
        <w:t xml:space="preserve">Consider the current utilisation patterns of surgical guides </w:t>
      </w:r>
      <w:r w:rsidR="0099038E" w:rsidRPr="005F62F4">
        <w:t xml:space="preserve">and </w:t>
      </w:r>
      <w:proofErr w:type="spellStart"/>
      <w:r w:rsidR="0099038E" w:rsidRPr="005F62F4">
        <w:t>biomodels</w:t>
      </w:r>
      <w:proofErr w:type="spellEnd"/>
      <w:r w:rsidR="0099038E" w:rsidRPr="005F62F4">
        <w:t xml:space="preserve"> </w:t>
      </w:r>
      <w:r w:rsidR="00F0148A" w:rsidRPr="005F62F4">
        <w:t>listed on the PL</w:t>
      </w:r>
    </w:p>
    <w:p w14:paraId="11B6F874" w14:textId="783CE969" w:rsidR="00963B62" w:rsidRPr="005F62F4" w:rsidRDefault="00963B62" w:rsidP="007B38E9">
      <w:pPr>
        <w:pStyle w:val="Heading2"/>
        <w:spacing w:before="360"/>
      </w:pPr>
      <w:bookmarkStart w:id="144" w:name="_Toc120178316"/>
      <w:bookmarkStart w:id="145" w:name="_Toc129954608"/>
      <w:r w:rsidRPr="005F62F4">
        <w:t xml:space="preserve">Key findings for </w:t>
      </w:r>
      <w:proofErr w:type="spellStart"/>
      <w:r w:rsidRPr="005F62F4">
        <w:t>ToR</w:t>
      </w:r>
      <w:proofErr w:type="spellEnd"/>
      <w:r w:rsidRPr="005F62F4">
        <w:t xml:space="preserve"> </w:t>
      </w:r>
      <w:r w:rsidR="0063760E" w:rsidRPr="005F62F4">
        <w:t>3</w:t>
      </w:r>
      <w:bookmarkEnd w:id="143"/>
      <w:bookmarkEnd w:id="144"/>
      <w:bookmarkEnd w:id="145"/>
    </w:p>
    <w:p w14:paraId="7A004D27" w14:textId="0A357ACB" w:rsidR="009556DD" w:rsidRPr="005F62F4" w:rsidRDefault="00530621" w:rsidP="00E9565D">
      <w:pPr>
        <w:pStyle w:val="Keyfindingsbullet"/>
      </w:pPr>
      <w:r w:rsidRPr="005F62F4">
        <w:t>When</w:t>
      </w:r>
      <w:r w:rsidR="009556DD" w:rsidRPr="005F62F4">
        <w:t xml:space="preserve"> surgical guides and </w:t>
      </w:r>
      <w:proofErr w:type="spellStart"/>
      <w:r w:rsidR="009556DD" w:rsidRPr="005F62F4">
        <w:t>biomodels</w:t>
      </w:r>
      <w:proofErr w:type="spellEnd"/>
      <w:r w:rsidR="009556DD" w:rsidRPr="005F62F4">
        <w:t xml:space="preserve"> were initially listed on the </w:t>
      </w:r>
      <w:r w:rsidR="00F367C5" w:rsidRPr="005F62F4">
        <w:t>PL</w:t>
      </w:r>
      <w:r w:rsidR="009556DD" w:rsidRPr="005F62F4">
        <w:t xml:space="preserve"> in 2013</w:t>
      </w:r>
      <w:r w:rsidR="00D5062C" w:rsidRPr="005F62F4">
        <w:t>–</w:t>
      </w:r>
      <w:r w:rsidR="00EC6637" w:rsidRPr="005F62F4">
        <w:t>14</w:t>
      </w:r>
      <w:r w:rsidR="00D315B6" w:rsidRPr="005F62F4">
        <w:t>,</w:t>
      </w:r>
      <w:r w:rsidRPr="005F62F4">
        <w:t xml:space="preserve"> </w:t>
      </w:r>
      <w:r w:rsidR="00B956C2" w:rsidRPr="005F62F4">
        <w:t xml:space="preserve">a total of </w:t>
      </w:r>
      <w:r w:rsidR="00692410">
        <w:t>[this information has been redacted]</w:t>
      </w:r>
      <w:r w:rsidR="00692410" w:rsidRPr="005F62F4">
        <w:t> </w:t>
      </w:r>
      <w:r w:rsidR="00B956C2" w:rsidRPr="005F62F4">
        <w:t>items were used</w:t>
      </w:r>
      <w:r w:rsidRPr="005F62F4">
        <w:t>. This utilisation</w:t>
      </w:r>
      <w:r w:rsidR="009556DD" w:rsidRPr="005F62F4">
        <w:t xml:space="preserve"> </w:t>
      </w:r>
      <w:r w:rsidRPr="005F62F4">
        <w:t xml:space="preserve">has, on average, doubled each year, and in </w:t>
      </w:r>
      <w:r w:rsidR="00D5062C" w:rsidRPr="005F62F4">
        <w:t>2020–21</w:t>
      </w:r>
      <w:r w:rsidRPr="005F62F4">
        <w:t xml:space="preserve"> </w:t>
      </w:r>
      <w:r w:rsidR="00D5062C" w:rsidRPr="005F62F4">
        <w:t xml:space="preserve">a total of 7,488 items were used </w:t>
      </w:r>
      <w:r w:rsidR="00B9651F" w:rsidRPr="005F62F4">
        <w:t>(67% of which were surgical guides)</w:t>
      </w:r>
      <w:r w:rsidR="00133ACD" w:rsidRPr="005F62F4">
        <w:t>.</w:t>
      </w:r>
    </w:p>
    <w:p w14:paraId="5C914589" w14:textId="77FB29F8" w:rsidR="007A2720" w:rsidRPr="005F62F4" w:rsidRDefault="007A2720" w:rsidP="00E9565D">
      <w:pPr>
        <w:pStyle w:val="Keyfindingsbullet"/>
      </w:pPr>
      <w:r w:rsidRPr="005F62F4">
        <w:t xml:space="preserve">In 2020–21, the average number of </w:t>
      </w:r>
      <w:r w:rsidR="00286835" w:rsidRPr="005F62F4">
        <w:t xml:space="preserve">surgical guides and </w:t>
      </w:r>
      <w:proofErr w:type="spellStart"/>
      <w:r w:rsidR="00286835" w:rsidRPr="005F62F4">
        <w:t>biomodels</w:t>
      </w:r>
      <w:proofErr w:type="spellEnd"/>
      <w:r w:rsidR="00286835" w:rsidRPr="005F62F4">
        <w:t xml:space="preserve"> </w:t>
      </w:r>
      <w:r w:rsidRPr="005F62F4">
        <w:t>per patient was 1.8 and 2.1 respectively. This has increased over time, driven in part by high number</w:t>
      </w:r>
      <w:r w:rsidR="002D58B7" w:rsidRPr="005F62F4">
        <w:t>s</w:t>
      </w:r>
      <w:r w:rsidRPr="005F62F4">
        <w:t xml:space="preserve"> of items being used per patient in a small but growing number of cases.</w:t>
      </w:r>
    </w:p>
    <w:p w14:paraId="38F3DCC4" w14:textId="0CDA2A0D" w:rsidR="00625E47" w:rsidRPr="005F62F4" w:rsidRDefault="00385A5F" w:rsidP="00E9565D">
      <w:pPr>
        <w:pStyle w:val="Keyfindingsbullet"/>
      </w:pPr>
      <w:r w:rsidRPr="005F62F4">
        <w:t xml:space="preserve">Surgical guides and </w:t>
      </w:r>
      <w:proofErr w:type="spellStart"/>
      <w:r w:rsidRPr="005F62F4">
        <w:t>biomodels</w:t>
      </w:r>
      <w:proofErr w:type="spellEnd"/>
      <w:r w:rsidRPr="005F62F4">
        <w:t xml:space="preserve"> </w:t>
      </w:r>
      <w:r w:rsidR="0082262C" w:rsidRPr="005F62F4">
        <w:t>are</w:t>
      </w:r>
      <w:r w:rsidRPr="005F62F4">
        <w:t xml:space="preserve"> listed under the plastic and reconstructive </w:t>
      </w:r>
      <w:r w:rsidR="005345D0" w:rsidRPr="005F62F4">
        <w:t>product</w:t>
      </w:r>
      <w:r w:rsidRPr="005F62F4">
        <w:t xml:space="preserve"> category</w:t>
      </w:r>
      <w:r w:rsidR="002549DC" w:rsidRPr="005F62F4">
        <w:t xml:space="preserve"> and were</w:t>
      </w:r>
      <w:r w:rsidRPr="005F62F4">
        <w:t xml:space="preserve"> use</w:t>
      </w:r>
      <w:r w:rsidR="002549DC" w:rsidRPr="005F62F4">
        <w:t>d</w:t>
      </w:r>
      <w:r w:rsidRPr="005F62F4">
        <w:t xml:space="preserve"> solely in this category in 2013-14 and 2014-15. Since 2015-16, there has been increasing utilisation </w:t>
      </w:r>
      <w:r w:rsidR="007533A7" w:rsidRPr="005F62F4">
        <w:t xml:space="preserve">in other categories </w:t>
      </w:r>
      <w:r w:rsidR="00CC2E5E" w:rsidRPr="005F62F4">
        <w:t>–f</w:t>
      </w:r>
      <w:r w:rsidR="00BF55E6" w:rsidRPr="005F62F4">
        <w:t>or example</w:t>
      </w:r>
      <w:r w:rsidR="008C3EBD" w:rsidRPr="005F62F4">
        <w:t>,</w:t>
      </w:r>
      <w:r w:rsidR="00BF55E6" w:rsidRPr="005F62F4">
        <w:t xml:space="preserve"> i</w:t>
      </w:r>
      <w:r w:rsidR="00CB6957" w:rsidRPr="005F62F4">
        <w:t xml:space="preserve">n 2020–21, </w:t>
      </w:r>
      <w:r w:rsidR="00D8388B" w:rsidRPr="005F62F4">
        <w:t xml:space="preserve">28% of total utilisation was outside </w:t>
      </w:r>
      <w:r w:rsidR="00C55232" w:rsidRPr="005F62F4">
        <w:t xml:space="preserve">the </w:t>
      </w:r>
      <w:r w:rsidR="00D8388B" w:rsidRPr="005F62F4">
        <w:t>plastic and reconstructive category</w:t>
      </w:r>
      <w:r w:rsidR="00A66F86" w:rsidRPr="005F62F4">
        <w:t xml:space="preserve">; </w:t>
      </w:r>
      <w:r w:rsidR="00EF1AAC" w:rsidRPr="005F62F4">
        <w:t>more than</w:t>
      </w:r>
      <w:r w:rsidR="00A66F86" w:rsidRPr="005F62F4">
        <w:t xml:space="preserve"> half of this (15% of total utilisation)</w:t>
      </w:r>
      <w:r w:rsidR="001F13DC" w:rsidRPr="005F62F4">
        <w:t xml:space="preserve"> </w:t>
      </w:r>
      <w:r w:rsidR="00A66F86" w:rsidRPr="005F62F4">
        <w:t>was</w:t>
      </w:r>
      <w:r w:rsidR="001F13DC" w:rsidRPr="005F62F4">
        <w:t xml:space="preserve"> </w:t>
      </w:r>
      <w:r w:rsidR="00AD0766" w:rsidRPr="005F62F4">
        <w:t>attributable to orthopaedic</w:t>
      </w:r>
      <w:r w:rsidR="007A0D9F" w:rsidRPr="005F62F4">
        <w:t xml:space="preserve"> </w:t>
      </w:r>
      <w:r w:rsidR="00A66F86" w:rsidRPr="005F62F4">
        <w:t>procedures</w:t>
      </w:r>
      <w:r w:rsidR="007A0D9F" w:rsidRPr="005F62F4">
        <w:t>.</w:t>
      </w:r>
    </w:p>
    <w:p w14:paraId="454E4BFF" w14:textId="7E38E7C6" w:rsidR="00053CCE" w:rsidRPr="005F62F4" w:rsidRDefault="00BF55E6" w:rsidP="00E9565D">
      <w:pPr>
        <w:pStyle w:val="Keyfindingsbullet"/>
      </w:pPr>
      <w:r w:rsidRPr="005F62F4">
        <w:t xml:space="preserve">While the </w:t>
      </w:r>
      <w:r w:rsidR="00BE18C8" w:rsidRPr="005F62F4">
        <w:t xml:space="preserve">PL </w:t>
      </w:r>
      <w:r w:rsidRPr="005F62F4">
        <w:t xml:space="preserve">benefit </w:t>
      </w:r>
      <w:r w:rsidR="00B20F55" w:rsidRPr="005F62F4">
        <w:t xml:space="preserve">amount </w:t>
      </w:r>
      <w:r w:rsidRPr="005F62F4">
        <w:t xml:space="preserve">has </w:t>
      </w:r>
      <w:r w:rsidR="00564D41" w:rsidRPr="005F62F4">
        <w:t>not changed</w:t>
      </w:r>
      <w:r w:rsidRPr="005F62F4">
        <w:t xml:space="preserve">, the increase in utilisation has seen annual expenditure </w:t>
      </w:r>
      <w:r w:rsidR="00564D41" w:rsidRPr="005F62F4">
        <w:t xml:space="preserve">grow from </w:t>
      </w:r>
      <w:r w:rsidR="00D77144">
        <w:t>[this information has been redacted]</w:t>
      </w:r>
      <w:r w:rsidR="00D77144" w:rsidRPr="005F62F4">
        <w:t> </w:t>
      </w:r>
      <w:r w:rsidR="00326DEB" w:rsidRPr="005F62F4">
        <w:t xml:space="preserve">in 2013–14 to $17,680,000 in 2020–21. </w:t>
      </w:r>
      <w:r w:rsidR="009B5BD0" w:rsidRPr="005F62F4">
        <w:t>Overall,</w:t>
      </w:r>
      <w:r w:rsidR="00F933FD" w:rsidRPr="005F62F4">
        <w:t xml:space="preserve"> </w:t>
      </w:r>
      <w:proofErr w:type="spellStart"/>
      <w:r w:rsidR="006A1B8E" w:rsidRPr="005F62F4">
        <w:t>biomodels</w:t>
      </w:r>
      <w:proofErr w:type="spellEnd"/>
      <w:r w:rsidR="006A1B8E" w:rsidRPr="005F62F4">
        <w:t xml:space="preserve"> account for 2</w:t>
      </w:r>
      <w:r w:rsidR="00912AFB" w:rsidRPr="005F62F4">
        <w:t>6</w:t>
      </w:r>
      <w:r w:rsidR="006A1B8E" w:rsidRPr="005F62F4">
        <w:t>% of expenditure and surgical guides for 7</w:t>
      </w:r>
      <w:r w:rsidR="00A7000B" w:rsidRPr="005F62F4">
        <w:t>4</w:t>
      </w:r>
      <w:r w:rsidR="006A1B8E" w:rsidRPr="005F62F4">
        <w:t>%</w:t>
      </w:r>
      <w:r w:rsidR="009B5BD0" w:rsidRPr="005F62F4">
        <w:t xml:space="preserve"> </w:t>
      </w:r>
      <w:r w:rsidR="0074046F" w:rsidRPr="005F62F4">
        <w:t>for the 2013-14 to 2020-21 period</w:t>
      </w:r>
      <w:r w:rsidR="00845CF9" w:rsidRPr="005F62F4">
        <w:t>.</w:t>
      </w:r>
    </w:p>
    <w:p w14:paraId="47FFD30A" w14:textId="5715B483" w:rsidR="00234847" w:rsidRPr="005F62F4" w:rsidRDefault="00234847">
      <w:pPr>
        <w:spacing w:after="200" w:line="276" w:lineRule="auto"/>
      </w:pPr>
      <w:r w:rsidRPr="005F62F4">
        <w:br w:type="page"/>
      </w:r>
    </w:p>
    <w:p w14:paraId="22CF2536" w14:textId="0459047F" w:rsidR="00282F71" w:rsidRPr="005F62F4" w:rsidRDefault="00282F71" w:rsidP="007B38E9">
      <w:pPr>
        <w:pStyle w:val="Heading2"/>
        <w:spacing w:before="360"/>
      </w:pPr>
      <w:bookmarkStart w:id="146" w:name="_Toc120178317"/>
      <w:bookmarkStart w:id="147" w:name="_Toc129954609"/>
      <w:r w:rsidRPr="005F62F4">
        <w:lastRenderedPageBreak/>
        <w:t>Data source</w:t>
      </w:r>
      <w:r w:rsidR="00645215" w:rsidRPr="005F62F4">
        <w:t>s</w:t>
      </w:r>
      <w:bookmarkEnd w:id="146"/>
      <w:bookmarkEnd w:id="147"/>
    </w:p>
    <w:p w14:paraId="77C48746" w14:textId="01E77BF4" w:rsidR="00BE4B86" w:rsidRPr="005F62F4" w:rsidRDefault="00BE4B86" w:rsidP="00DE710F">
      <w:pPr>
        <w:pStyle w:val="ParaKeep"/>
      </w:pPr>
      <w:r w:rsidRPr="005F62F4">
        <w:t>Findings presented in this section are drawn from the following 3 data sources:</w:t>
      </w:r>
    </w:p>
    <w:p w14:paraId="49A2CBD2" w14:textId="3C8BA274" w:rsidR="00282F71" w:rsidRPr="005F62F4" w:rsidRDefault="00974259" w:rsidP="00AF6512">
      <w:pPr>
        <w:pStyle w:val="Bullet1"/>
        <w:numPr>
          <w:ilvl w:val="0"/>
          <w:numId w:val="18"/>
        </w:numPr>
      </w:pPr>
      <w:r w:rsidRPr="005F62F4">
        <w:rPr>
          <w:rStyle w:val="Strong"/>
        </w:rPr>
        <w:t xml:space="preserve">Hospital </w:t>
      </w:r>
      <w:proofErr w:type="spellStart"/>
      <w:r w:rsidRPr="005F62F4">
        <w:rPr>
          <w:rStyle w:val="Strong"/>
        </w:rPr>
        <w:t>Casemix</w:t>
      </w:r>
      <w:proofErr w:type="spellEnd"/>
      <w:r w:rsidRPr="005F62F4">
        <w:rPr>
          <w:rStyle w:val="Strong"/>
        </w:rPr>
        <w:t xml:space="preserve"> Protocol </w:t>
      </w:r>
      <w:r w:rsidR="00DC414E" w:rsidRPr="005F62F4">
        <w:rPr>
          <w:rStyle w:val="Strong"/>
        </w:rPr>
        <w:t>1</w:t>
      </w:r>
      <w:r w:rsidR="00DC414E" w:rsidRPr="005F62F4">
        <w:t xml:space="preserve"> </w:t>
      </w:r>
      <w:r w:rsidR="00BE4B86" w:rsidRPr="005F62F4">
        <w:t xml:space="preserve">(HCP1) </w:t>
      </w:r>
      <w:r w:rsidR="00DC414E" w:rsidRPr="005F62F4">
        <w:t xml:space="preserve">data </w:t>
      </w:r>
      <w:r w:rsidR="007079DA" w:rsidRPr="005F62F4">
        <w:t xml:space="preserve">provided by the department. </w:t>
      </w:r>
      <w:r w:rsidR="00BE4B86" w:rsidRPr="005F62F4">
        <w:t>This d</w:t>
      </w:r>
      <w:r w:rsidR="00782081" w:rsidRPr="005F62F4">
        <w:t>ata</w:t>
      </w:r>
      <w:r w:rsidR="00DB5F20" w:rsidRPr="005F62F4">
        <w:t xml:space="preserve"> spans the 2013</w:t>
      </w:r>
      <w:r w:rsidR="00E978D5" w:rsidRPr="005F62F4">
        <w:t>–</w:t>
      </w:r>
      <w:r w:rsidR="00DB5F20" w:rsidRPr="005F62F4">
        <w:t>14 to 2021</w:t>
      </w:r>
      <w:r w:rsidR="00E978D5" w:rsidRPr="005F62F4">
        <w:t>–</w:t>
      </w:r>
      <w:r w:rsidR="00DB5F20" w:rsidRPr="005F62F4">
        <w:t>22 financial ye</w:t>
      </w:r>
      <w:r w:rsidR="00DF3875" w:rsidRPr="005F62F4">
        <w:t>ar</w:t>
      </w:r>
      <w:r w:rsidR="00D64F78" w:rsidRPr="005F62F4">
        <w:t xml:space="preserve">s and </w:t>
      </w:r>
      <w:r w:rsidR="00282F71" w:rsidRPr="005F62F4">
        <w:t>includes</w:t>
      </w:r>
      <w:r w:rsidR="00536C12" w:rsidRPr="005F62F4">
        <w:t xml:space="preserve"> </w:t>
      </w:r>
      <w:r w:rsidR="00E978D5" w:rsidRPr="005F62F4">
        <w:t xml:space="preserve">device </w:t>
      </w:r>
      <w:r w:rsidR="00282F71" w:rsidRPr="005F62F4">
        <w:t>volume</w:t>
      </w:r>
      <w:r w:rsidR="00E978D5" w:rsidRPr="005F62F4">
        <w:t>s</w:t>
      </w:r>
      <w:r w:rsidR="00282F71" w:rsidRPr="005F62F4">
        <w:t xml:space="preserve">, financial benefits paid, </w:t>
      </w:r>
      <w:r w:rsidR="00E978D5" w:rsidRPr="005F62F4">
        <w:t>patient numbers</w:t>
      </w:r>
      <w:r w:rsidR="007079DA" w:rsidRPr="005F62F4">
        <w:t>,</w:t>
      </w:r>
      <w:r w:rsidR="00E04DBA" w:rsidRPr="005F62F4">
        <w:t xml:space="preserve"> </w:t>
      </w:r>
      <w:r w:rsidR="00E978D5" w:rsidRPr="005F62F4">
        <w:t xml:space="preserve">separation </w:t>
      </w:r>
      <w:r w:rsidR="00282F71" w:rsidRPr="005F62F4">
        <w:t>number</w:t>
      </w:r>
      <w:r w:rsidR="00E978D5" w:rsidRPr="005F62F4">
        <w:t>s</w:t>
      </w:r>
      <w:r w:rsidR="00E04DBA" w:rsidRPr="005F62F4">
        <w:t xml:space="preserve">, </w:t>
      </w:r>
      <w:r w:rsidR="002A6E7F" w:rsidRPr="005F62F4">
        <w:t>MBS</w:t>
      </w:r>
      <w:r w:rsidR="00E57B4A" w:rsidRPr="005F62F4">
        <w:t xml:space="preserve"> clinical categories, </w:t>
      </w:r>
      <w:r w:rsidR="006A68D8" w:rsidRPr="005F62F4">
        <w:t>MBS item numbers</w:t>
      </w:r>
      <w:r w:rsidR="00E57B4A" w:rsidRPr="005F62F4">
        <w:t xml:space="preserve"> </w:t>
      </w:r>
      <w:r w:rsidR="00FE0FDC" w:rsidRPr="005F62F4">
        <w:t xml:space="preserve">and </w:t>
      </w:r>
      <w:r w:rsidR="003065AC" w:rsidRPr="005F62F4">
        <w:t>product</w:t>
      </w:r>
      <w:r w:rsidR="00D64F78" w:rsidRPr="005F62F4">
        <w:t xml:space="preserve"> </w:t>
      </w:r>
      <w:r w:rsidR="00FE0FDC" w:rsidRPr="005F62F4">
        <w:t>sponsor</w:t>
      </w:r>
      <w:r w:rsidR="00E978D5" w:rsidRPr="005F62F4">
        <w:t>s</w:t>
      </w:r>
      <w:r w:rsidR="00282F71" w:rsidRPr="005F62F4">
        <w:t>.</w:t>
      </w:r>
      <w:r w:rsidR="00D5335A" w:rsidRPr="005F62F4">
        <w:t xml:space="preserve"> </w:t>
      </w:r>
      <w:r w:rsidR="00DC539C" w:rsidRPr="005F62F4">
        <w:t>P</w:t>
      </w:r>
      <w:r w:rsidR="00D5335A" w:rsidRPr="005F62F4">
        <w:t xml:space="preserve">ublic and private hospitals submit </w:t>
      </w:r>
      <w:r w:rsidR="00D55B6F" w:rsidRPr="005F62F4">
        <w:t xml:space="preserve">HCP1 </w:t>
      </w:r>
      <w:r w:rsidR="00D5335A" w:rsidRPr="005F62F4">
        <w:t>data for each episode of admitted hospital treatment for which health insurers have paid a benefit.</w:t>
      </w:r>
    </w:p>
    <w:p w14:paraId="2C3A8DB4" w14:textId="318C2D77" w:rsidR="00754956" w:rsidRPr="005F62F4" w:rsidRDefault="00D73FFA" w:rsidP="00AF6512">
      <w:pPr>
        <w:pStyle w:val="Bullet1"/>
        <w:numPr>
          <w:ilvl w:val="0"/>
          <w:numId w:val="18"/>
        </w:numPr>
      </w:pPr>
      <w:bookmarkStart w:id="148" w:name="_Hlk119853310"/>
      <w:r w:rsidRPr="005F62F4">
        <w:rPr>
          <w:rStyle w:val="Strong"/>
        </w:rPr>
        <w:t>Australian Prudential Regulation Authority</w:t>
      </w:r>
      <w:r w:rsidRPr="005F62F4">
        <w:t xml:space="preserve"> (APRA</w:t>
      </w:r>
      <w:bookmarkEnd w:id="148"/>
      <w:r w:rsidRPr="005F62F4">
        <w:t xml:space="preserve">) </w:t>
      </w:r>
      <w:r w:rsidR="00BE4B86" w:rsidRPr="005F62F4">
        <w:t xml:space="preserve">data, </w:t>
      </w:r>
      <w:r w:rsidR="00A63A0E" w:rsidRPr="005F62F4">
        <w:t xml:space="preserve">which </w:t>
      </w:r>
      <w:r w:rsidR="00063928" w:rsidRPr="005F62F4">
        <w:t xml:space="preserve">is publicly available. </w:t>
      </w:r>
      <w:r w:rsidR="00BC0529" w:rsidRPr="005F62F4">
        <w:t xml:space="preserve">We looked at data </w:t>
      </w:r>
      <w:r w:rsidR="00A63A0E" w:rsidRPr="005F62F4">
        <w:t>relate</w:t>
      </w:r>
      <w:r w:rsidR="00BC0529" w:rsidRPr="005F62F4">
        <w:t>d</w:t>
      </w:r>
      <w:r w:rsidR="00A63A0E" w:rsidRPr="005F62F4">
        <w:t xml:space="preserve"> specifically to </w:t>
      </w:r>
      <w:r w:rsidR="00D42F2A" w:rsidRPr="005F62F4">
        <w:t>the</w:t>
      </w:r>
      <w:r w:rsidR="00A63A0E" w:rsidRPr="005F62F4">
        <w:t xml:space="preserve"> </w:t>
      </w:r>
      <w:r w:rsidR="002D7944" w:rsidRPr="005F62F4">
        <w:t>p</w:t>
      </w:r>
      <w:r w:rsidR="00A63A0E" w:rsidRPr="005F62F4">
        <w:t xml:space="preserve">lastic and </w:t>
      </w:r>
      <w:r w:rsidR="002D7944" w:rsidRPr="005F62F4">
        <w:t>r</w:t>
      </w:r>
      <w:r w:rsidR="00A63A0E" w:rsidRPr="005F62F4">
        <w:t xml:space="preserve">econstructive </w:t>
      </w:r>
      <w:r w:rsidR="00665A0F" w:rsidRPr="005F62F4">
        <w:t xml:space="preserve">MBS </w:t>
      </w:r>
      <w:r w:rsidR="009B0137" w:rsidRPr="005F62F4">
        <w:t>clinical category</w:t>
      </w:r>
      <w:r w:rsidR="00665A0F" w:rsidRPr="005F62F4">
        <w:t xml:space="preserve"> </w:t>
      </w:r>
      <w:r w:rsidR="00B47579" w:rsidRPr="005F62F4">
        <w:t xml:space="preserve">to ascertain </w:t>
      </w:r>
      <w:r w:rsidR="00BC0529" w:rsidRPr="005F62F4">
        <w:t>the</w:t>
      </w:r>
      <w:r w:rsidR="00B47579" w:rsidRPr="005F62F4">
        <w:t xml:space="preserve"> overall growth </w:t>
      </w:r>
      <w:r w:rsidR="00BD0A84" w:rsidRPr="005F62F4">
        <w:t xml:space="preserve">of </w:t>
      </w:r>
      <w:r w:rsidR="00B47579" w:rsidRPr="005F62F4">
        <w:t>surgery in the category.</w:t>
      </w:r>
    </w:p>
    <w:p w14:paraId="27A4C0E4" w14:textId="69B8EB5F" w:rsidR="00A72185" w:rsidRPr="005F62F4" w:rsidRDefault="00063D63" w:rsidP="00AF6512">
      <w:pPr>
        <w:pStyle w:val="Bullet1"/>
        <w:numPr>
          <w:ilvl w:val="0"/>
          <w:numId w:val="18"/>
        </w:numPr>
      </w:pPr>
      <w:r w:rsidRPr="005F62F4">
        <w:rPr>
          <w:rStyle w:val="Strong"/>
        </w:rPr>
        <w:t>Medicare Item Reports</w:t>
      </w:r>
      <w:r w:rsidRPr="005F62F4">
        <w:t xml:space="preserve"> </w:t>
      </w:r>
      <w:r w:rsidR="00270C19" w:rsidRPr="005F62F4">
        <w:t xml:space="preserve">accessed </w:t>
      </w:r>
      <w:r w:rsidRPr="005F62F4">
        <w:t>through Services Australia</w:t>
      </w:r>
      <w:r w:rsidR="00812031" w:rsidRPr="005F62F4">
        <w:t xml:space="preserve">. These reports </w:t>
      </w:r>
      <w:r w:rsidR="00A15963" w:rsidRPr="005F62F4">
        <w:t>cover</w:t>
      </w:r>
      <w:r w:rsidR="00034772" w:rsidRPr="005F62F4">
        <w:t xml:space="preserve"> services </w:t>
      </w:r>
      <w:r w:rsidR="0050303C" w:rsidRPr="005F62F4">
        <w:t xml:space="preserve">qualifying for </w:t>
      </w:r>
      <w:r w:rsidR="00A15963" w:rsidRPr="005F62F4">
        <w:t xml:space="preserve">a </w:t>
      </w:r>
      <w:r w:rsidR="0050303C" w:rsidRPr="005F62F4">
        <w:t xml:space="preserve">Medicare </w:t>
      </w:r>
      <w:r w:rsidR="008A3B94" w:rsidRPr="005F62F4">
        <w:t>b</w:t>
      </w:r>
      <w:r w:rsidR="0050303C" w:rsidRPr="005F62F4">
        <w:t>enefit for which a claim has been processed</w:t>
      </w:r>
      <w:r w:rsidR="00282131" w:rsidRPr="005F62F4">
        <w:t>.</w:t>
      </w:r>
      <w:r w:rsidR="000D5385" w:rsidRPr="005F62F4">
        <w:t xml:space="preserve"> </w:t>
      </w:r>
      <w:r w:rsidR="00270C19" w:rsidRPr="005F62F4">
        <w:t>They</w:t>
      </w:r>
      <w:r w:rsidR="00A15963" w:rsidRPr="005F62F4">
        <w:t xml:space="preserve"> do not cover</w:t>
      </w:r>
      <w:r w:rsidR="0050303C" w:rsidRPr="005F62F4">
        <w:t xml:space="preserve"> services provided to public patient</w:t>
      </w:r>
      <w:r w:rsidR="00270C19" w:rsidRPr="005F62F4">
        <w:t>s</w:t>
      </w:r>
      <w:r w:rsidR="0050303C" w:rsidRPr="005F62F4">
        <w:t xml:space="preserve"> in public hospitals</w:t>
      </w:r>
      <w:r w:rsidR="00270C19" w:rsidRPr="005F62F4">
        <w:t>,</w:t>
      </w:r>
      <w:r w:rsidR="0050303C" w:rsidRPr="005F62F4">
        <w:t xml:space="preserve"> or services provided through the Department of Veterans’ Affairs</w:t>
      </w:r>
      <w:r w:rsidR="00270C19" w:rsidRPr="005F62F4">
        <w:t>.</w:t>
      </w:r>
      <w:r w:rsidR="0050303C" w:rsidRPr="005F62F4">
        <w:t xml:space="preserve"> </w:t>
      </w:r>
      <w:r w:rsidR="00270C19" w:rsidRPr="005F62F4">
        <w:t>W</w:t>
      </w:r>
      <w:r w:rsidR="00B47579" w:rsidRPr="005F62F4">
        <w:t xml:space="preserve">e therefore deemed </w:t>
      </w:r>
      <w:r w:rsidR="00A15963" w:rsidRPr="005F62F4">
        <w:t xml:space="preserve">this </w:t>
      </w:r>
      <w:r w:rsidR="00FC634D" w:rsidRPr="005F62F4">
        <w:t>dataset</w:t>
      </w:r>
      <w:r w:rsidR="00A15963" w:rsidRPr="005F62F4">
        <w:t xml:space="preserve"> </w:t>
      </w:r>
      <w:r w:rsidR="00B47579" w:rsidRPr="005F62F4">
        <w:t>to be</w:t>
      </w:r>
      <w:r w:rsidR="0050303C" w:rsidRPr="005F62F4">
        <w:t xml:space="preserve"> comparable to the </w:t>
      </w:r>
      <w:r w:rsidR="00ED308E" w:rsidRPr="005F62F4">
        <w:t>HCP1 dataset</w:t>
      </w:r>
      <w:r w:rsidR="00270C19" w:rsidRPr="005F62F4">
        <w:t xml:space="preserve"> and used it</w:t>
      </w:r>
      <w:r w:rsidR="00AD76F1" w:rsidRPr="005F62F4">
        <w:t xml:space="preserve"> </w:t>
      </w:r>
      <w:r w:rsidR="00D324EF" w:rsidRPr="005F62F4">
        <w:t xml:space="preserve">to </w:t>
      </w:r>
      <w:r w:rsidR="00AB232D" w:rsidRPr="005F62F4">
        <w:t>further</w:t>
      </w:r>
      <w:r w:rsidR="00D324EF" w:rsidRPr="005F62F4">
        <w:t xml:space="preserve"> </w:t>
      </w:r>
      <w:r w:rsidR="003400C1" w:rsidRPr="005F62F4">
        <w:t xml:space="preserve">explore </w:t>
      </w:r>
      <w:r w:rsidR="002A2DE0" w:rsidRPr="005F62F4">
        <w:t xml:space="preserve">the </w:t>
      </w:r>
      <w:r w:rsidR="00E21E93" w:rsidRPr="005F62F4">
        <w:t xml:space="preserve">number of </w:t>
      </w:r>
      <w:r w:rsidR="00620928" w:rsidRPr="005F62F4">
        <w:t xml:space="preserve">surgical guides and </w:t>
      </w:r>
      <w:proofErr w:type="spellStart"/>
      <w:r w:rsidR="00620928" w:rsidRPr="005F62F4">
        <w:t>biomodels</w:t>
      </w:r>
      <w:proofErr w:type="spellEnd"/>
      <w:r w:rsidR="00620928" w:rsidRPr="005F62F4">
        <w:t xml:space="preserve"> </w:t>
      </w:r>
      <w:r w:rsidR="00AB232D" w:rsidRPr="005F62F4">
        <w:t>used</w:t>
      </w:r>
      <w:r w:rsidR="00620928" w:rsidRPr="005F62F4">
        <w:t xml:space="preserve"> for </w:t>
      </w:r>
      <w:r w:rsidR="00AB232D" w:rsidRPr="005F62F4">
        <w:t xml:space="preserve">specific MBS </w:t>
      </w:r>
      <w:r w:rsidR="000D5385" w:rsidRPr="005F62F4">
        <w:t>item numbers</w:t>
      </w:r>
      <w:r w:rsidR="00AB232D" w:rsidRPr="005F62F4">
        <w:t>.</w:t>
      </w:r>
    </w:p>
    <w:p w14:paraId="09D9E3C3" w14:textId="40F1089E" w:rsidR="006B7CB5" w:rsidRPr="005F62F4" w:rsidRDefault="00AE0A0C" w:rsidP="004514AD">
      <w:pPr>
        <w:pStyle w:val="Para"/>
      </w:pPr>
      <w:r w:rsidRPr="005F62F4">
        <w:t xml:space="preserve">Unless otherwise specified, </w:t>
      </w:r>
      <w:r w:rsidR="00054CB9" w:rsidRPr="005F62F4">
        <w:t xml:space="preserve">the following analysis is </w:t>
      </w:r>
      <w:r w:rsidR="006B7CB5" w:rsidRPr="005F62F4">
        <w:t>based on HCP1 data provided by the department.</w:t>
      </w:r>
    </w:p>
    <w:p w14:paraId="6103E71E" w14:textId="46F949E0" w:rsidR="00CB0CF7" w:rsidRPr="005F62F4" w:rsidRDefault="00F20F54" w:rsidP="004F2931">
      <w:pPr>
        <w:pStyle w:val="Heading2"/>
      </w:pPr>
      <w:bookmarkStart w:id="149" w:name="_Ref119403805"/>
      <w:bookmarkStart w:id="150" w:name="_Toc120178318"/>
      <w:bookmarkStart w:id="151" w:name="_Ref128757745"/>
      <w:bookmarkStart w:id="152" w:name="_Toc129954610"/>
      <w:r w:rsidRPr="005F62F4">
        <w:t>T</w:t>
      </w:r>
      <w:r w:rsidR="00CB0CF7" w:rsidRPr="005F62F4">
        <w:t>rends in utilisation</w:t>
      </w:r>
      <w:bookmarkEnd w:id="149"/>
      <w:bookmarkEnd w:id="150"/>
      <w:bookmarkEnd w:id="151"/>
      <w:bookmarkEnd w:id="152"/>
    </w:p>
    <w:p w14:paraId="03659413" w14:textId="288BE01C" w:rsidR="00AD5992" w:rsidRPr="005F62F4" w:rsidRDefault="00E978D5" w:rsidP="00AD5992">
      <w:pPr>
        <w:pStyle w:val="Para"/>
        <w:rPr>
          <w:lang w:eastAsia="en-AU"/>
        </w:rPr>
      </w:pPr>
      <w:r w:rsidRPr="005F62F4">
        <w:rPr>
          <w:lang w:eastAsia="en-AU"/>
        </w:rPr>
        <w:t xml:space="preserve">To address </w:t>
      </w:r>
      <w:proofErr w:type="spellStart"/>
      <w:r w:rsidRPr="005F62F4">
        <w:rPr>
          <w:lang w:eastAsia="en-AU"/>
        </w:rPr>
        <w:t>T</w:t>
      </w:r>
      <w:r w:rsidR="000A6EBE" w:rsidRPr="005F62F4">
        <w:rPr>
          <w:lang w:eastAsia="en-AU"/>
        </w:rPr>
        <w:t>o</w:t>
      </w:r>
      <w:r w:rsidRPr="005F62F4">
        <w:rPr>
          <w:lang w:eastAsia="en-AU"/>
        </w:rPr>
        <w:t>R</w:t>
      </w:r>
      <w:proofErr w:type="spellEnd"/>
      <w:r w:rsidRPr="005F62F4">
        <w:rPr>
          <w:lang w:eastAsia="en-AU"/>
        </w:rPr>
        <w:t xml:space="preserve"> 3</w:t>
      </w:r>
      <w:r w:rsidR="00AD5992" w:rsidRPr="005F62F4">
        <w:rPr>
          <w:lang w:eastAsia="en-AU"/>
        </w:rPr>
        <w:t>, we consider</w:t>
      </w:r>
      <w:r w:rsidR="00786360" w:rsidRPr="005F62F4">
        <w:rPr>
          <w:lang w:eastAsia="en-AU"/>
        </w:rPr>
        <w:t>ed</w:t>
      </w:r>
      <w:r w:rsidR="00AD5992" w:rsidRPr="005F62F4">
        <w:rPr>
          <w:lang w:eastAsia="en-AU"/>
        </w:rPr>
        <w:t xml:space="preserve"> </w:t>
      </w:r>
      <w:r w:rsidRPr="005F62F4">
        <w:rPr>
          <w:lang w:eastAsia="en-AU"/>
        </w:rPr>
        <w:t xml:space="preserve">the </w:t>
      </w:r>
      <w:r w:rsidR="00AD5992" w:rsidRPr="005F62F4">
        <w:rPr>
          <w:lang w:eastAsia="en-AU"/>
        </w:rPr>
        <w:t xml:space="preserve">utilisation patterns </w:t>
      </w:r>
      <w:r w:rsidR="00FE7E3D" w:rsidRPr="005F62F4">
        <w:rPr>
          <w:lang w:eastAsia="en-AU"/>
        </w:rPr>
        <w:t>for</w:t>
      </w:r>
      <w:r w:rsidR="00AD5992" w:rsidRPr="005F62F4">
        <w:rPr>
          <w:lang w:eastAsia="en-AU"/>
        </w:rPr>
        <w:t xml:space="preserve"> surgical guides and </w:t>
      </w:r>
      <w:proofErr w:type="spellStart"/>
      <w:r w:rsidR="00AD5992" w:rsidRPr="005F62F4">
        <w:rPr>
          <w:lang w:eastAsia="en-AU"/>
        </w:rPr>
        <w:t>biomodel</w:t>
      </w:r>
      <w:r w:rsidR="00111ACF" w:rsidRPr="005F62F4">
        <w:rPr>
          <w:lang w:eastAsia="en-AU"/>
        </w:rPr>
        <w:t>s</w:t>
      </w:r>
      <w:proofErr w:type="spellEnd"/>
      <w:r w:rsidR="00111ACF" w:rsidRPr="005F62F4">
        <w:rPr>
          <w:lang w:eastAsia="en-AU"/>
        </w:rPr>
        <w:t xml:space="preserve"> since their initial listing in 2013, including how utilisation relates to hospital patient and separation numbers</w:t>
      </w:r>
      <w:r w:rsidR="00AD5992" w:rsidRPr="005F62F4">
        <w:t>, MBS clinical categories</w:t>
      </w:r>
      <w:r w:rsidR="00111ACF" w:rsidRPr="005F62F4">
        <w:t xml:space="preserve">, and diagnostic </w:t>
      </w:r>
      <w:r w:rsidR="00F7646B" w:rsidRPr="005F62F4">
        <w:t>data. We then explore</w:t>
      </w:r>
      <w:r w:rsidR="00A316ED" w:rsidRPr="005F62F4">
        <w:t>d</w:t>
      </w:r>
      <w:r w:rsidR="00F7646B" w:rsidRPr="005F62F4">
        <w:t xml:space="preserve"> expenditure in terms of benefits paid for surgical guides and </w:t>
      </w:r>
      <w:proofErr w:type="spellStart"/>
      <w:r w:rsidR="00F7646B" w:rsidRPr="005F62F4">
        <w:t>biomodels</w:t>
      </w:r>
      <w:proofErr w:type="spellEnd"/>
      <w:r w:rsidR="00F7646B" w:rsidRPr="005F62F4">
        <w:t xml:space="preserve"> overall</w:t>
      </w:r>
      <w:r w:rsidR="00B60FA6" w:rsidRPr="005F62F4">
        <w:t xml:space="preserve"> and by MBS item number and </w:t>
      </w:r>
      <w:r w:rsidR="00AE7139" w:rsidRPr="005F62F4">
        <w:t xml:space="preserve">product </w:t>
      </w:r>
      <w:r w:rsidR="00AD5992" w:rsidRPr="005F62F4">
        <w:t>sponsor</w:t>
      </w:r>
      <w:r w:rsidR="00AE7139" w:rsidRPr="005F62F4">
        <w:rPr>
          <w:lang w:eastAsia="en-AU"/>
        </w:rPr>
        <w:t>.</w:t>
      </w:r>
    </w:p>
    <w:p w14:paraId="59BD1D9B" w14:textId="77777777" w:rsidR="00CE19EB" w:rsidRPr="005F62F4" w:rsidRDefault="00CE19EB">
      <w:pPr>
        <w:spacing w:after="200" w:line="276" w:lineRule="auto"/>
        <w:rPr>
          <w:rFonts w:asciiTheme="majorHAnsi" w:hAnsiTheme="majorHAnsi"/>
          <w:b/>
          <w:sz w:val="28"/>
          <w:szCs w:val="20"/>
        </w:rPr>
      </w:pPr>
      <w:bookmarkStart w:id="153" w:name="_Toc120178319"/>
      <w:r w:rsidRPr="005F62F4">
        <w:br w:type="page"/>
      </w:r>
    </w:p>
    <w:p w14:paraId="338FAE55" w14:textId="78406705" w:rsidR="00C70149" w:rsidRPr="005F62F4" w:rsidRDefault="007F7E3B" w:rsidP="00E45882">
      <w:pPr>
        <w:pStyle w:val="Heading03"/>
      </w:pPr>
      <w:r w:rsidRPr="005F62F4">
        <w:lastRenderedPageBreak/>
        <w:t>Growth in utilisation</w:t>
      </w:r>
      <w:bookmarkEnd w:id="153"/>
    </w:p>
    <w:p w14:paraId="14225D20" w14:textId="5C37734F" w:rsidR="00785C0C" w:rsidRPr="005F62F4" w:rsidRDefault="00AD79C0" w:rsidP="009E586A">
      <w:pPr>
        <w:pStyle w:val="ParaKeep"/>
        <w:rPr>
          <w:lang w:eastAsia="en-AU"/>
        </w:rPr>
      </w:pPr>
      <w:r w:rsidRPr="005F62F4">
        <w:rPr>
          <w:lang w:eastAsia="en-AU"/>
        </w:rPr>
        <w:t>S</w:t>
      </w:r>
      <w:r w:rsidR="00785C0C" w:rsidRPr="005F62F4">
        <w:rPr>
          <w:lang w:eastAsia="en-AU"/>
        </w:rPr>
        <w:t>ince 2013</w:t>
      </w:r>
      <w:r w:rsidR="006A19EE" w:rsidRPr="005F62F4">
        <w:rPr>
          <w:lang w:eastAsia="en-AU"/>
        </w:rPr>
        <w:t>,</w:t>
      </w:r>
      <w:r w:rsidRPr="005F62F4">
        <w:t xml:space="preserve"> t</w:t>
      </w:r>
      <w:r w:rsidR="00785C0C" w:rsidRPr="005F62F4">
        <w:t xml:space="preserve">he number of sponsors with </w:t>
      </w:r>
      <w:r w:rsidRPr="005F62F4">
        <w:t xml:space="preserve">surgical guides and </w:t>
      </w:r>
      <w:proofErr w:type="spellStart"/>
      <w:r w:rsidRPr="005F62F4">
        <w:t>biomodels</w:t>
      </w:r>
      <w:proofErr w:type="spellEnd"/>
      <w:r w:rsidRPr="005F62F4">
        <w:t xml:space="preserve"> listed on the PL </w:t>
      </w:r>
      <w:r w:rsidR="00785C0C" w:rsidRPr="005F62F4">
        <w:t xml:space="preserve">has increased from </w:t>
      </w:r>
      <w:r w:rsidR="006A19EE" w:rsidRPr="005F62F4">
        <w:t>one</w:t>
      </w:r>
      <w:r w:rsidR="00785C0C" w:rsidRPr="005F62F4">
        <w:t xml:space="preserve"> to 9</w:t>
      </w:r>
      <w:r w:rsidRPr="005F62F4">
        <w:t xml:space="preserve">. </w:t>
      </w:r>
      <w:r w:rsidR="0051568B" w:rsidRPr="005F62F4">
        <w:t>As the number of listed products has increased, so to</w:t>
      </w:r>
      <w:r w:rsidR="00530621" w:rsidRPr="005F62F4">
        <w:t>o</w:t>
      </w:r>
      <w:r w:rsidR="0051568B" w:rsidRPr="005F62F4">
        <w:t xml:space="preserve"> has </w:t>
      </w:r>
      <w:r w:rsidR="00530621" w:rsidRPr="005F62F4">
        <w:t>their</w:t>
      </w:r>
      <w:r w:rsidR="0051568B" w:rsidRPr="005F62F4">
        <w:t xml:space="preserve"> utilisation. </w:t>
      </w:r>
      <w:r w:rsidR="00F367C5" w:rsidRPr="005F62F4">
        <w:t xml:space="preserve">Overall, </w:t>
      </w:r>
      <w:r w:rsidR="00824958" w:rsidRPr="005F62F4">
        <w:t xml:space="preserve">7,488 </w:t>
      </w:r>
      <w:r w:rsidR="00B9651F" w:rsidRPr="005F62F4">
        <w:t>items</w:t>
      </w:r>
      <w:r w:rsidR="00824958" w:rsidRPr="005F62F4">
        <w:t xml:space="preserve"> were used in </w:t>
      </w:r>
      <w:r w:rsidR="00824958" w:rsidRPr="005F62F4">
        <w:rPr>
          <w:lang w:eastAsia="en-AU"/>
        </w:rPr>
        <w:t>2020</w:t>
      </w:r>
      <w:r w:rsidR="00D5062C" w:rsidRPr="005F62F4">
        <w:t>–</w:t>
      </w:r>
      <w:r w:rsidR="00824958" w:rsidRPr="005F62F4">
        <w:rPr>
          <w:lang w:eastAsia="en-AU"/>
        </w:rPr>
        <w:t>21,</w:t>
      </w:r>
      <w:r w:rsidR="00B9651F" w:rsidRPr="005F62F4">
        <w:rPr>
          <w:lang w:eastAsia="en-AU"/>
        </w:rPr>
        <w:t xml:space="preserve"> including 5,043</w:t>
      </w:r>
      <w:r w:rsidR="0099033B" w:rsidRPr="005F62F4">
        <w:rPr>
          <w:lang w:eastAsia="en-AU"/>
        </w:rPr>
        <w:t> </w:t>
      </w:r>
      <w:r w:rsidR="00B9651F" w:rsidRPr="005F62F4">
        <w:rPr>
          <w:lang w:eastAsia="en-AU"/>
        </w:rPr>
        <w:t>surgical guides</w:t>
      </w:r>
      <w:r w:rsidR="00DB4F7A" w:rsidRPr="005F62F4">
        <w:rPr>
          <w:lang w:eastAsia="en-AU"/>
        </w:rPr>
        <w:t xml:space="preserve"> </w:t>
      </w:r>
      <w:r w:rsidR="00B9651F" w:rsidRPr="005F62F4">
        <w:rPr>
          <w:lang w:eastAsia="en-AU"/>
        </w:rPr>
        <w:t>(67%) and 2,445</w:t>
      </w:r>
      <w:r w:rsidR="0099033B" w:rsidRPr="005F62F4">
        <w:rPr>
          <w:lang w:eastAsia="en-AU"/>
        </w:rPr>
        <w:t> </w:t>
      </w:r>
      <w:proofErr w:type="spellStart"/>
      <w:r w:rsidR="00B9651F" w:rsidRPr="005F62F4">
        <w:rPr>
          <w:lang w:eastAsia="en-AU"/>
        </w:rPr>
        <w:t>biomodels</w:t>
      </w:r>
      <w:proofErr w:type="spellEnd"/>
      <w:r w:rsidR="00B9651F" w:rsidRPr="005F62F4">
        <w:rPr>
          <w:lang w:eastAsia="en-AU"/>
        </w:rPr>
        <w:t xml:space="preserve"> (33%). This equates to utilisation </w:t>
      </w:r>
      <w:r w:rsidR="00DE2385">
        <w:t>[this information has been redacted]</w:t>
      </w:r>
      <w:r w:rsidR="00DE2385" w:rsidRPr="005F62F4">
        <w:t> </w:t>
      </w:r>
      <w:r w:rsidR="00DB4F7A" w:rsidRPr="005F62F4">
        <w:rPr>
          <w:lang w:eastAsia="en-AU"/>
        </w:rPr>
        <w:t>times</w:t>
      </w:r>
      <w:r w:rsidR="00B9651F" w:rsidRPr="005F62F4">
        <w:rPr>
          <w:lang w:eastAsia="en-AU"/>
        </w:rPr>
        <w:t xml:space="preserve"> greater than that seen in </w:t>
      </w:r>
      <w:r w:rsidR="00824958" w:rsidRPr="005F62F4">
        <w:rPr>
          <w:lang w:eastAsia="en-AU"/>
        </w:rPr>
        <w:t>201</w:t>
      </w:r>
      <w:r w:rsidR="00B9651F" w:rsidRPr="005F62F4">
        <w:rPr>
          <w:lang w:eastAsia="en-AU"/>
        </w:rPr>
        <w:t>3</w:t>
      </w:r>
      <w:r w:rsidR="00D5062C" w:rsidRPr="005F62F4">
        <w:t>–</w:t>
      </w:r>
      <w:r w:rsidR="00824958" w:rsidRPr="005F62F4">
        <w:rPr>
          <w:lang w:eastAsia="en-AU"/>
        </w:rPr>
        <w:t>1</w:t>
      </w:r>
      <w:r w:rsidR="00B9651F" w:rsidRPr="005F62F4">
        <w:rPr>
          <w:lang w:eastAsia="en-AU"/>
        </w:rPr>
        <w:t>4</w:t>
      </w:r>
      <w:r w:rsidR="00C97E9C" w:rsidRPr="005F62F4">
        <w:rPr>
          <w:lang w:eastAsia="en-AU"/>
        </w:rPr>
        <w:t xml:space="preserve"> </w:t>
      </w:r>
      <w:r w:rsidR="00B9651F" w:rsidRPr="005F62F4">
        <w:rPr>
          <w:lang w:eastAsia="en-AU"/>
        </w:rPr>
        <w:t>when</w:t>
      </w:r>
      <w:r w:rsidR="00EE79F9" w:rsidRPr="005F62F4">
        <w:rPr>
          <w:lang w:eastAsia="en-AU"/>
        </w:rPr>
        <w:t xml:space="preserve"> a total of</w:t>
      </w:r>
      <w:r w:rsidR="00B9651F" w:rsidRPr="005F62F4">
        <w:rPr>
          <w:lang w:eastAsia="en-AU"/>
        </w:rPr>
        <w:t xml:space="preserve"> just </w:t>
      </w:r>
      <w:r w:rsidR="0007199A">
        <w:t>[this information has been redacted]</w:t>
      </w:r>
      <w:r w:rsidR="0007199A" w:rsidRPr="005F62F4">
        <w:t> </w:t>
      </w:r>
      <w:r w:rsidR="00B9651F" w:rsidRPr="005F62F4">
        <w:rPr>
          <w:lang w:eastAsia="en-AU"/>
        </w:rPr>
        <w:t>items were</w:t>
      </w:r>
      <w:r w:rsidR="00EE79F9" w:rsidRPr="005F62F4">
        <w:rPr>
          <w:lang w:eastAsia="en-AU"/>
        </w:rPr>
        <w:t xml:space="preserve"> used</w:t>
      </w:r>
      <w:r w:rsidR="00B9651F" w:rsidRPr="005F62F4">
        <w:rPr>
          <w:lang w:eastAsia="en-AU"/>
        </w:rPr>
        <w:t xml:space="preserve"> </w:t>
      </w:r>
      <w:r w:rsidR="00E70C98" w:rsidRPr="005F62F4">
        <w:rPr>
          <w:lang w:eastAsia="en-AU"/>
        </w:rPr>
        <w:t>(</w:t>
      </w:r>
      <w:r w:rsidR="00E56F29" w:rsidRPr="005F62F4">
        <w:rPr>
          <w:lang w:eastAsia="en-AU"/>
        </w:rPr>
        <w:fldChar w:fldCharType="begin"/>
      </w:r>
      <w:r w:rsidR="00E56F29" w:rsidRPr="005F62F4">
        <w:rPr>
          <w:lang w:eastAsia="en-AU"/>
        </w:rPr>
        <w:instrText xml:space="preserve"> REF _Ref119910991 \h </w:instrText>
      </w:r>
      <w:r w:rsidR="005F62F4">
        <w:rPr>
          <w:lang w:eastAsia="en-AU"/>
        </w:rPr>
        <w:instrText xml:space="preserve"> \* MERGEFORMAT </w:instrText>
      </w:r>
      <w:r w:rsidR="00E56F29" w:rsidRPr="005F62F4">
        <w:rPr>
          <w:lang w:eastAsia="en-AU"/>
        </w:rPr>
      </w:r>
      <w:r w:rsidR="00E56F29" w:rsidRPr="005F62F4">
        <w:rPr>
          <w:lang w:eastAsia="en-AU"/>
        </w:rPr>
        <w:fldChar w:fldCharType="separate"/>
      </w:r>
      <w:r w:rsidR="005606BF" w:rsidRPr="005F62F4">
        <w:t>Figure </w:t>
      </w:r>
      <w:r w:rsidR="005606BF">
        <w:t>2</w:t>
      </w:r>
      <w:r w:rsidR="00E56F29" w:rsidRPr="005F62F4">
        <w:rPr>
          <w:lang w:eastAsia="en-AU"/>
        </w:rPr>
        <w:fldChar w:fldCharType="end"/>
      </w:r>
      <w:r w:rsidR="00E70C98" w:rsidRPr="005F62F4">
        <w:rPr>
          <w:lang w:eastAsia="en-AU"/>
        </w:rPr>
        <w:t>)</w:t>
      </w:r>
      <w:r w:rsidR="00E56F29" w:rsidRPr="005F62F4">
        <w:rPr>
          <w:lang w:eastAsia="en-AU"/>
        </w:rPr>
        <w:t>.</w:t>
      </w:r>
    </w:p>
    <w:p w14:paraId="37AE8F9F" w14:textId="6A4688B2" w:rsidR="00395977" w:rsidRPr="005F62F4" w:rsidRDefault="00F75C60" w:rsidP="002870B7">
      <w:pPr>
        <w:pStyle w:val="Image"/>
      </w:pPr>
      <w:r>
        <w:rPr>
          <w:noProof/>
        </w:rPr>
        <w:drawing>
          <wp:inline distT="0" distB="0" distL="0" distR="0" wp14:anchorId="2EF70642" wp14:editId="6E060BE5">
            <wp:extent cx="4259567" cy="2609215"/>
            <wp:effectExtent l="0" t="0" r="8255" b="635"/>
            <wp:docPr id="1" name="Picture 1" descr="Figure 2: Total number of surgical guides and biomodels used, by financial y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Figure 2: Total number of surgical guides and biomodels used, by financial year"/>
                    <pic:cNvPicPr/>
                  </pic:nvPicPr>
                  <pic:blipFill>
                    <a:blip r:embed="rId23"/>
                    <a:stretch>
                      <a:fillRect/>
                    </a:stretch>
                  </pic:blipFill>
                  <pic:spPr>
                    <a:xfrm>
                      <a:off x="0" y="0"/>
                      <a:ext cx="4263686" cy="2611738"/>
                    </a:xfrm>
                    <a:prstGeom prst="rect">
                      <a:avLst/>
                    </a:prstGeom>
                  </pic:spPr>
                </pic:pic>
              </a:graphicData>
            </a:graphic>
          </wp:inline>
        </w:drawing>
      </w:r>
    </w:p>
    <w:p w14:paraId="5FBF803C" w14:textId="781EF252" w:rsidR="00395977" w:rsidRPr="005F62F4" w:rsidRDefault="00597B02" w:rsidP="00395977">
      <w:pPr>
        <w:pStyle w:val="Caption-image"/>
      </w:pPr>
      <w:bookmarkStart w:id="154" w:name="_Ref119910991"/>
      <w:bookmarkStart w:id="155" w:name="_Toc129954627"/>
      <w:r w:rsidRPr="005F62F4">
        <w:t>Figure </w:t>
      </w:r>
      <w:r w:rsidRPr="005F62F4">
        <w:fldChar w:fldCharType="begin"/>
      </w:r>
      <w:r w:rsidRPr="005F62F4">
        <w:instrText>SEQ Figure \* ARABIC</w:instrText>
      </w:r>
      <w:r w:rsidRPr="005F62F4">
        <w:fldChar w:fldCharType="separate"/>
      </w:r>
      <w:r w:rsidR="005606BF">
        <w:rPr>
          <w:noProof/>
        </w:rPr>
        <w:t>2</w:t>
      </w:r>
      <w:r w:rsidRPr="005F62F4">
        <w:fldChar w:fldCharType="end"/>
      </w:r>
      <w:bookmarkEnd w:id="154"/>
      <w:r w:rsidR="00E56C05" w:rsidRPr="005F62F4">
        <w:t xml:space="preserve">: </w:t>
      </w:r>
      <w:r w:rsidR="00395977" w:rsidRPr="005F62F4">
        <w:t xml:space="preserve">Total number of surgical guides and </w:t>
      </w:r>
      <w:proofErr w:type="spellStart"/>
      <w:r w:rsidR="00395977" w:rsidRPr="005F62F4">
        <w:t>biomodels</w:t>
      </w:r>
      <w:proofErr w:type="spellEnd"/>
      <w:r w:rsidR="00395977" w:rsidRPr="005F62F4">
        <w:t xml:space="preserve"> used, by financial year</w:t>
      </w:r>
      <w:bookmarkEnd w:id="155"/>
    </w:p>
    <w:p w14:paraId="42DA0F16" w14:textId="1207CE98" w:rsidR="00C0479C" w:rsidRDefault="00530621" w:rsidP="002727DF">
      <w:pPr>
        <w:pStyle w:val="Para"/>
        <w:rPr>
          <w:lang w:eastAsia="en-AU"/>
        </w:rPr>
      </w:pPr>
      <w:r w:rsidRPr="005F62F4">
        <w:rPr>
          <w:lang w:eastAsia="en-AU"/>
        </w:rPr>
        <w:t xml:space="preserve">In addition to looking at </w:t>
      </w:r>
      <w:r w:rsidR="004E1B79" w:rsidRPr="005F62F4">
        <w:rPr>
          <w:lang w:eastAsia="en-AU"/>
        </w:rPr>
        <w:t>the</w:t>
      </w:r>
      <w:r w:rsidRPr="005F62F4">
        <w:rPr>
          <w:lang w:eastAsia="en-AU"/>
        </w:rPr>
        <w:t xml:space="preserve"> number</w:t>
      </w:r>
      <w:r w:rsidR="004E1B79" w:rsidRPr="005F62F4">
        <w:rPr>
          <w:lang w:eastAsia="en-AU"/>
        </w:rPr>
        <w:t xml:space="preserve"> of items used</w:t>
      </w:r>
      <w:r w:rsidRPr="005F62F4">
        <w:rPr>
          <w:lang w:eastAsia="en-AU"/>
        </w:rPr>
        <w:t xml:space="preserve">, we calculated the annual growth rate (AGR) for </w:t>
      </w:r>
      <w:r w:rsidR="00286835" w:rsidRPr="005F62F4">
        <w:t xml:space="preserve">surgical guides and </w:t>
      </w:r>
      <w:proofErr w:type="spellStart"/>
      <w:r w:rsidR="00286835" w:rsidRPr="005F62F4">
        <w:t>biomodels</w:t>
      </w:r>
      <w:proofErr w:type="spellEnd"/>
      <w:r w:rsidRPr="005F62F4">
        <w:rPr>
          <w:lang w:eastAsia="en-AU"/>
        </w:rPr>
        <w:t xml:space="preserve">. An AGR greater than zero indicates that more </w:t>
      </w:r>
      <w:r w:rsidR="00C27C21" w:rsidRPr="005F62F4">
        <w:rPr>
          <w:lang w:eastAsia="en-AU"/>
        </w:rPr>
        <w:t xml:space="preserve">items were </w:t>
      </w:r>
      <w:r w:rsidR="00890625" w:rsidRPr="005F62F4">
        <w:rPr>
          <w:lang w:eastAsia="en-AU"/>
        </w:rPr>
        <w:t>used</w:t>
      </w:r>
      <w:r w:rsidRPr="005F62F4">
        <w:rPr>
          <w:lang w:eastAsia="en-AU"/>
        </w:rPr>
        <w:t xml:space="preserve"> in that year than the previous year, and an AGR of 100% equates to a 2-fold increase in utilisation.</w:t>
      </w:r>
    </w:p>
    <w:p w14:paraId="1CF889E1" w14:textId="77777777" w:rsidR="001371E9" w:rsidRDefault="001371E9" w:rsidP="002727DF">
      <w:pPr>
        <w:pStyle w:val="Para"/>
        <w:rPr>
          <w:lang w:eastAsia="en-AU"/>
        </w:rPr>
      </w:pPr>
    </w:p>
    <w:p w14:paraId="6580917B" w14:textId="151FFAD5" w:rsidR="001371E9" w:rsidRPr="005F62F4" w:rsidRDefault="001371E9" w:rsidP="002727DF">
      <w:pPr>
        <w:pStyle w:val="Para"/>
        <w:rPr>
          <w:lang w:eastAsia="en-AU"/>
        </w:rPr>
      </w:pPr>
    </w:p>
    <w:p w14:paraId="1DFE8060" w14:textId="5DC70637" w:rsidR="00C50523" w:rsidRPr="005F62F4" w:rsidRDefault="00821B34" w:rsidP="00C0479C">
      <w:pPr>
        <w:pStyle w:val="ParaKeep"/>
      </w:pPr>
      <w:proofErr w:type="spellStart"/>
      <w:r w:rsidRPr="005F62F4">
        <w:lastRenderedPageBreak/>
        <w:t>Biomodels</w:t>
      </w:r>
      <w:proofErr w:type="spellEnd"/>
      <w:r w:rsidRPr="005F62F4">
        <w:t xml:space="preserve"> had an average </w:t>
      </w:r>
      <w:r w:rsidR="00BC22FE" w:rsidRPr="005F62F4">
        <w:t>A</w:t>
      </w:r>
      <w:r w:rsidR="00A278D1" w:rsidRPr="005F62F4">
        <w:t>GR</w:t>
      </w:r>
      <w:r w:rsidRPr="005F62F4">
        <w:t xml:space="preserve"> of 185% </w:t>
      </w:r>
      <w:r w:rsidR="00BC22FE" w:rsidRPr="005F62F4">
        <w:t>between</w:t>
      </w:r>
      <w:r w:rsidRPr="005F62F4">
        <w:t xml:space="preserve"> 201</w:t>
      </w:r>
      <w:r w:rsidR="00A56E94" w:rsidRPr="005F62F4">
        <w:t>5-16 and 2020-21, indicating that on average, the number of items used almost tripled each year</w:t>
      </w:r>
      <w:r w:rsidR="00B91E95" w:rsidRPr="005F62F4">
        <w:t xml:space="preserve"> </w:t>
      </w:r>
      <w:r w:rsidR="001231E4" w:rsidRPr="005F62F4">
        <w:t>(</w:t>
      </w:r>
      <w:r w:rsidRPr="005F62F4">
        <w:fldChar w:fldCharType="begin"/>
      </w:r>
      <w:r w:rsidRPr="005F62F4">
        <w:instrText xml:space="preserve"> REF _Ref120107407 \h </w:instrText>
      </w:r>
      <w:r w:rsidR="005F62F4">
        <w:instrText xml:space="preserve"> \* MERGEFORMAT </w:instrText>
      </w:r>
      <w:r w:rsidRPr="005F62F4">
        <w:fldChar w:fldCharType="separate"/>
      </w:r>
      <w:r w:rsidR="005606BF" w:rsidRPr="005F62F4">
        <w:t>Table </w:t>
      </w:r>
      <w:r w:rsidR="005606BF">
        <w:t>4</w:t>
      </w:r>
      <w:r w:rsidRPr="005F62F4">
        <w:fldChar w:fldCharType="end"/>
      </w:r>
      <w:r w:rsidR="001231E4" w:rsidRPr="005F62F4">
        <w:t>)</w:t>
      </w:r>
      <w:r w:rsidR="00B91E95" w:rsidRPr="005F62F4">
        <w:t>.</w:t>
      </w:r>
    </w:p>
    <w:p w14:paraId="4A581882" w14:textId="476874CD" w:rsidR="00821B34" w:rsidRPr="005F62F4" w:rsidRDefault="00E56C05" w:rsidP="00FF33A7">
      <w:pPr>
        <w:pStyle w:val="Caption"/>
      </w:pPr>
      <w:bookmarkStart w:id="156" w:name="_Ref120107407"/>
      <w:bookmarkStart w:id="157" w:name="_Toc129954641"/>
      <w:r w:rsidRPr="005F62F4">
        <w:t>Table </w:t>
      </w:r>
      <w:r w:rsidRPr="005F62F4">
        <w:fldChar w:fldCharType="begin"/>
      </w:r>
      <w:r w:rsidRPr="005F62F4">
        <w:instrText>SEQ Table \* ARABIC</w:instrText>
      </w:r>
      <w:r w:rsidRPr="005F62F4">
        <w:fldChar w:fldCharType="separate"/>
      </w:r>
      <w:r w:rsidR="005606BF">
        <w:rPr>
          <w:noProof/>
        </w:rPr>
        <w:t>4</w:t>
      </w:r>
      <w:r w:rsidRPr="005F62F4">
        <w:fldChar w:fldCharType="end"/>
      </w:r>
      <w:bookmarkEnd w:id="156"/>
      <w:r w:rsidR="00821B34" w:rsidRPr="005F62F4">
        <w:t xml:space="preserve">: </w:t>
      </w:r>
      <w:proofErr w:type="spellStart"/>
      <w:r w:rsidR="00821B34" w:rsidRPr="005F62F4">
        <w:t>Biomodels</w:t>
      </w:r>
      <w:proofErr w:type="spellEnd"/>
      <w:r w:rsidR="00821B34" w:rsidRPr="005F62F4">
        <w:t xml:space="preserve"> annual growth rate, by financial year</w:t>
      </w:r>
      <w:bookmarkEnd w:id="157"/>
    </w:p>
    <w:tbl>
      <w:tblPr>
        <w:tblStyle w:val="SGB"/>
        <w:tblW w:w="5104" w:type="pct"/>
        <w:tblLayout w:type="fixed"/>
        <w:tblLook w:val="0420" w:firstRow="1" w:lastRow="0" w:firstColumn="0" w:lastColumn="0" w:noHBand="0" w:noVBand="1"/>
      </w:tblPr>
      <w:tblGrid>
        <w:gridCol w:w="2346"/>
        <w:gridCol w:w="898"/>
        <w:gridCol w:w="898"/>
        <w:gridCol w:w="897"/>
        <w:gridCol w:w="897"/>
        <w:gridCol w:w="897"/>
        <w:gridCol w:w="897"/>
        <w:gridCol w:w="897"/>
        <w:gridCol w:w="899"/>
      </w:tblGrid>
      <w:tr w:rsidR="00685DFD" w:rsidRPr="005F62F4" w14:paraId="31FBC65F" w14:textId="77777777">
        <w:trPr>
          <w:cnfStyle w:val="100000000000" w:firstRow="1" w:lastRow="0" w:firstColumn="0" w:lastColumn="0" w:oddVBand="0" w:evenVBand="0" w:oddHBand="0" w:evenHBand="0" w:firstRowFirstColumn="0" w:firstRowLastColumn="0" w:lastRowFirstColumn="0" w:lastRowLastColumn="0"/>
          <w:trHeight w:val="411"/>
        </w:trPr>
        <w:tc>
          <w:tcPr>
            <w:tcW w:w="1231" w:type="pct"/>
          </w:tcPr>
          <w:p w14:paraId="11A01036" w14:textId="77777777" w:rsidR="00C50523" w:rsidRPr="005F62F4" w:rsidRDefault="00C50523">
            <w:pPr>
              <w:pStyle w:val="TableText"/>
            </w:pPr>
            <w:bookmarkStart w:id="158" w:name="Title_6" w:colFirst="0" w:colLast="0"/>
            <w:r w:rsidRPr="005F62F4">
              <w:t>Measure</w:t>
            </w:r>
          </w:p>
        </w:tc>
        <w:tc>
          <w:tcPr>
            <w:tcW w:w="471" w:type="pct"/>
          </w:tcPr>
          <w:p w14:paraId="449AA762" w14:textId="77777777" w:rsidR="00C50523" w:rsidRPr="005F62F4" w:rsidRDefault="00C50523">
            <w:pPr>
              <w:pStyle w:val="TableTextRight"/>
              <w:rPr>
                <w:szCs w:val="18"/>
                <w:lang w:val="en-AU"/>
              </w:rPr>
            </w:pPr>
            <w:r w:rsidRPr="005F62F4">
              <w:rPr>
                <w:szCs w:val="18"/>
                <w:lang w:val="en-AU"/>
              </w:rPr>
              <w:t>2013–14</w:t>
            </w:r>
          </w:p>
        </w:tc>
        <w:tc>
          <w:tcPr>
            <w:tcW w:w="471" w:type="pct"/>
          </w:tcPr>
          <w:p w14:paraId="7C14242E" w14:textId="41D3B56D" w:rsidR="00C50523" w:rsidRPr="005F62F4" w:rsidRDefault="00C50523">
            <w:pPr>
              <w:pStyle w:val="TableTextRight"/>
              <w:rPr>
                <w:szCs w:val="18"/>
                <w:lang w:val="en-AU"/>
              </w:rPr>
            </w:pPr>
            <w:r w:rsidRPr="005F62F4">
              <w:rPr>
                <w:szCs w:val="18"/>
                <w:lang w:val="en-AU"/>
              </w:rPr>
              <w:t>2014–</w:t>
            </w:r>
            <w:r w:rsidRPr="005F62F4">
              <w:rPr>
                <w:szCs w:val="18"/>
              </w:rPr>
              <w:t>15</w:t>
            </w:r>
          </w:p>
        </w:tc>
        <w:tc>
          <w:tcPr>
            <w:tcW w:w="471" w:type="pct"/>
          </w:tcPr>
          <w:p w14:paraId="2BBCE0CA" w14:textId="77777777" w:rsidR="00C50523" w:rsidRPr="005F62F4" w:rsidRDefault="00C50523">
            <w:pPr>
              <w:pStyle w:val="TableTextRight"/>
              <w:rPr>
                <w:szCs w:val="18"/>
                <w:lang w:val="en-AU"/>
              </w:rPr>
            </w:pPr>
            <w:r w:rsidRPr="005F62F4">
              <w:rPr>
                <w:szCs w:val="18"/>
                <w:lang w:val="en-AU"/>
              </w:rPr>
              <w:t>2015–16</w:t>
            </w:r>
          </w:p>
        </w:tc>
        <w:tc>
          <w:tcPr>
            <w:tcW w:w="471" w:type="pct"/>
          </w:tcPr>
          <w:p w14:paraId="08086467" w14:textId="77777777" w:rsidR="00C50523" w:rsidRPr="005F62F4" w:rsidRDefault="00C50523">
            <w:pPr>
              <w:pStyle w:val="TableTextRight"/>
              <w:rPr>
                <w:szCs w:val="18"/>
                <w:lang w:val="en-AU"/>
              </w:rPr>
            </w:pPr>
            <w:r w:rsidRPr="005F62F4">
              <w:rPr>
                <w:szCs w:val="18"/>
                <w:lang w:val="en-AU"/>
              </w:rPr>
              <w:t>2016–17</w:t>
            </w:r>
          </w:p>
        </w:tc>
        <w:tc>
          <w:tcPr>
            <w:tcW w:w="471" w:type="pct"/>
          </w:tcPr>
          <w:p w14:paraId="45006DAD" w14:textId="77777777" w:rsidR="00C50523" w:rsidRPr="005F62F4" w:rsidRDefault="00C50523">
            <w:pPr>
              <w:pStyle w:val="TableTextRight"/>
              <w:rPr>
                <w:szCs w:val="18"/>
                <w:lang w:val="en-AU"/>
              </w:rPr>
            </w:pPr>
            <w:r w:rsidRPr="005F62F4">
              <w:rPr>
                <w:szCs w:val="18"/>
                <w:lang w:val="en-AU"/>
              </w:rPr>
              <w:t>2017–18</w:t>
            </w:r>
          </w:p>
        </w:tc>
        <w:tc>
          <w:tcPr>
            <w:tcW w:w="471" w:type="pct"/>
          </w:tcPr>
          <w:p w14:paraId="3C7C70C5" w14:textId="77777777" w:rsidR="00C50523" w:rsidRPr="005F62F4" w:rsidRDefault="00C50523">
            <w:pPr>
              <w:pStyle w:val="TableTextRight"/>
              <w:rPr>
                <w:szCs w:val="18"/>
                <w:lang w:val="en-AU"/>
              </w:rPr>
            </w:pPr>
            <w:r w:rsidRPr="005F62F4">
              <w:rPr>
                <w:szCs w:val="18"/>
                <w:lang w:val="en-AU"/>
              </w:rPr>
              <w:t>2018–19</w:t>
            </w:r>
          </w:p>
        </w:tc>
        <w:tc>
          <w:tcPr>
            <w:tcW w:w="471" w:type="pct"/>
          </w:tcPr>
          <w:p w14:paraId="0CFF1720" w14:textId="77777777" w:rsidR="00C50523" w:rsidRPr="005F62F4" w:rsidRDefault="00C50523">
            <w:pPr>
              <w:pStyle w:val="TableTextRight"/>
              <w:rPr>
                <w:szCs w:val="18"/>
                <w:lang w:val="en-AU"/>
              </w:rPr>
            </w:pPr>
            <w:r w:rsidRPr="005F62F4">
              <w:rPr>
                <w:szCs w:val="18"/>
                <w:lang w:val="en-AU"/>
              </w:rPr>
              <w:t>2019–20</w:t>
            </w:r>
          </w:p>
        </w:tc>
        <w:tc>
          <w:tcPr>
            <w:tcW w:w="472" w:type="pct"/>
          </w:tcPr>
          <w:p w14:paraId="3126ED22" w14:textId="77777777" w:rsidR="00C50523" w:rsidRPr="005F62F4" w:rsidRDefault="00C50523">
            <w:pPr>
              <w:pStyle w:val="TableTextRight"/>
              <w:rPr>
                <w:szCs w:val="18"/>
                <w:lang w:val="en-AU"/>
              </w:rPr>
            </w:pPr>
            <w:r w:rsidRPr="005F62F4">
              <w:rPr>
                <w:szCs w:val="18"/>
                <w:lang w:val="en-AU"/>
              </w:rPr>
              <w:t>2020–21</w:t>
            </w:r>
          </w:p>
        </w:tc>
      </w:tr>
      <w:bookmarkEnd w:id="158"/>
      <w:tr w:rsidR="00B50DF1" w:rsidRPr="005F62F4" w14:paraId="43119713" w14:textId="77777777" w:rsidTr="00F90207">
        <w:trPr>
          <w:trHeight w:val="170"/>
        </w:trPr>
        <w:tc>
          <w:tcPr>
            <w:tcW w:w="1231" w:type="pct"/>
            <w:tcBorders>
              <w:bottom w:val="nil"/>
            </w:tcBorders>
          </w:tcPr>
          <w:p w14:paraId="419E0D84" w14:textId="77777777" w:rsidR="00B50DF1" w:rsidRPr="005F62F4" w:rsidRDefault="00B50DF1" w:rsidP="00B50DF1">
            <w:pPr>
              <w:pStyle w:val="Tabletextkeep"/>
            </w:pPr>
            <w:r w:rsidRPr="005F62F4">
              <w:t>Number of items</w:t>
            </w:r>
          </w:p>
        </w:tc>
        <w:tc>
          <w:tcPr>
            <w:tcW w:w="471" w:type="pct"/>
            <w:tcBorders>
              <w:bottom w:val="nil"/>
            </w:tcBorders>
          </w:tcPr>
          <w:p w14:paraId="7A598955" w14:textId="7DAFB119" w:rsidR="00B50DF1" w:rsidRPr="005F62F4" w:rsidRDefault="00B50DF1" w:rsidP="00B50DF1">
            <w:pPr>
              <w:pStyle w:val="TableTextRight"/>
              <w:jc w:val="center"/>
              <w:rPr>
                <w:lang w:val="en-AU"/>
              </w:rPr>
            </w:pPr>
            <w:r w:rsidRPr="001E5E40">
              <w:rPr>
                <w:sz w:val="17"/>
                <w:szCs w:val="17"/>
              </w:rPr>
              <w:t>[redacted]</w:t>
            </w:r>
          </w:p>
        </w:tc>
        <w:tc>
          <w:tcPr>
            <w:tcW w:w="471" w:type="pct"/>
            <w:tcBorders>
              <w:bottom w:val="nil"/>
            </w:tcBorders>
          </w:tcPr>
          <w:p w14:paraId="57F66B27" w14:textId="582A095D" w:rsidR="00B50DF1" w:rsidRPr="005F62F4" w:rsidRDefault="00B50DF1" w:rsidP="00B50DF1">
            <w:pPr>
              <w:pStyle w:val="TableTextRight"/>
              <w:jc w:val="center"/>
              <w:rPr>
                <w:lang w:val="en-AU"/>
              </w:rPr>
            </w:pPr>
            <w:r w:rsidRPr="001E5E40">
              <w:rPr>
                <w:sz w:val="17"/>
                <w:szCs w:val="17"/>
              </w:rPr>
              <w:t>[redacted]</w:t>
            </w:r>
          </w:p>
        </w:tc>
        <w:tc>
          <w:tcPr>
            <w:tcW w:w="471" w:type="pct"/>
            <w:tcBorders>
              <w:bottom w:val="nil"/>
            </w:tcBorders>
          </w:tcPr>
          <w:p w14:paraId="237998F4" w14:textId="5FB61A50" w:rsidR="00B50DF1" w:rsidRPr="005F62F4" w:rsidRDefault="00B50DF1" w:rsidP="00B50DF1">
            <w:pPr>
              <w:pStyle w:val="TableTextRight"/>
              <w:jc w:val="center"/>
              <w:rPr>
                <w:lang w:val="en-AU"/>
              </w:rPr>
            </w:pPr>
            <w:r w:rsidRPr="001E5E40">
              <w:rPr>
                <w:sz w:val="17"/>
                <w:szCs w:val="17"/>
              </w:rPr>
              <w:t>[redacted]</w:t>
            </w:r>
          </w:p>
        </w:tc>
        <w:tc>
          <w:tcPr>
            <w:tcW w:w="471" w:type="pct"/>
            <w:tcBorders>
              <w:bottom w:val="nil"/>
            </w:tcBorders>
          </w:tcPr>
          <w:p w14:paraId="2FEC1C05" w14:textId="681C4D9F" w:rsidR="00B50DF1" w:rsidRPr="005F62F4" w:rsidRDefault="00B50DF1" w:rsidP="00B50DF1">
            <w:pPr>
              <w:pStyle w:val="TableTextRight"/>
              <w:jc w:val="center"/>
              <w:rPr>
                <w:lang w:val="en-AU"/>
              </w:rPr>
            </w:pPr>
            <w:r w:rsidRPr="001E5E40">
              <w:rPr>
                <w:sz w:val="17"/>
                <w:szCs w:val="17"/>
              </w:rPr>
              <w:t>[redacted]</w:t>
            </w:r>
          </w:p>
        </w:tc>
        <w:tc>
          <w:tcPr>
            <w:tcW w:w="471" w:type="pct"/>
            <w:tcBorders>
              <w:bottom w:val="nil"/>
            </w:tcBorders>
          </w:tcPr>
          <w:p w14:paraId="0FFBAA03" w14:textId="7B96A47B" w:rsidR="00B50DF1" w:rsidRPr="005F62F4" w:rsidRDefault="00B50DF1" w:rsidP="00B50DF1">
            <w:pPr>
              <w:pStyle w:val="TableTextRight"/>
              <w:rPr>
                <w:lang w:val="en-AU"/>
              </w:rPr>
            </w:pPr>
            <w:r w:rsidRPr="005F62F4">
              <w:rPr>
                <w:lang w:val="en-AU"/>
              </w:rPr>
              <w:t>494</w:t>
            </w:r>
          </w:p>
        </w:tc>
        <w:tc>
          <w:tcPr>
            <w:tcW w:w="471" w:type="pct"/>
            <w:tcBorders>
              <w:bottom w:val="nil"/>
            </w:tcBorders>
          </w:tcPr>
          <w:p w14:paraId="44B5DF6D" w14:textId="5D310D39" w:rsidR="00B50DF1" w:rsidRPr="005F62F4" w:rsidRDefault="00B50DF1" w:rsidP="00B50DF1">
            <w:pPr>
              <w:pStyle w:val="TableTextRight"/>
              <w:rPr>
                <w:lang w:val="en-AU"/>
              </w:rPr>
            </w:pPr>
            <w:r w:rsidRPr="005F62F4">
              <w:rPr>
                <w:lang w:val="en-AU"/>
              </w:rPr>
              <w:t>947</w:t>
            </w:r>
          </w:p>
        </w:tc>
        <w:tc>
          <w:tcPr>
            <w:tcW w:w="471" w:type="pct"/>
            <w:tcBorders>
              <w:bottom w:val="nil"/>
            </w:tcBorders>
          </w:tcPr>
          <w:p w14:paraId="10492421" w14:textId="3DD53E5D" w:rsidR="00B50DF1" w:rsidRPr="005F62F4" w:rsidRDefault="00B50DF1" w:rsidP="00B50DF1">
            <w:pPr>
              <w:pStyle w:val="TableTextRight"/>
              <w:rPr>
                <w:lang w:val="en-AU"/>
              </w:rPr>
            </w:pPr>
            <w:r w:rsidRPr="005F62F4">
              <w:rPr>
                <w:lang w:val="en-AU"/>
              </w:rPr>
              <w:t>1,290</w:t>
            </w:r>
          </w:p>
        </w:tc>
        <w:tc>
          <w:tcPr>
            <w:tcW w:w="472" w:type="pct"/>
            <w:tcBorders>
              <w:bottom w:val="nil"/>
            </w:tcBorders>
          </w:tcPr>
          <w:p w14:paraId="60FBBD0F" w14:textId="38C65CE3" w:rsidR="00B50DF1" w:rsidRPr="005F62F4" w:rsidRDefault="00B50DF1" w:rsidP="00B50DF1">
            <w:pPr>
              <w:pStyle w:val="TableTextRight"/>
              <w:rPr>
                <w:lang w:val="en-AU"/>
              </w:rPr>
            </w:pPr>
            <w:r w:rsidRPr="005F62F4">
              <w:rPr>
                <w:lang w:val="en-AU"/>
              </w:rPr>
              <w:t>2,445</w:t>
            </w:r>
          </w:p>
        </w:tc>
      </w:tr>
      <w:tr w:rsidR="00B50DF1" w:rsidRPr="005F62F4" w14:paraId="69C8FBE2" w14:textId="77777777" w:rsidTr="00F90207">
        <w:trPr>
          <w:cnfStyle w:val="000000010000" w:firstRow="0" w:lastRow="0" w:firstColumn="0" w:lastColumn="0" w:oddVBand="0" w:evenVBand="0" w:oddHBand="0" w:evenHBand="1" w:firstRowFirstColumn="0" w:firstRowLastColumn="0" w:lastRowFirstColumn="0" w:lastRowLastColumn="0"/>
          <w:trHeight w:val="170"/>
        </w:trPr>
        <w:tc>
          <w:tcPr>
            <w:tcW w:w="1231" w:type="pct"/>
            <w:tcBorders>
              <w:top w:val="nil"/>
              <w:left w:val="nil"/>
              <w:bottom w:val="nil"/>
              <w:right w:val="nil"/>
            </w:tcBorders>
          </w:tcPr>
          <w:p w14:paraId="3362E10F" w14:textId="14B82EE1" w:rsidR="00B50DF1" w:rsidRPr="005F62F4" w:rsidRDefault="00B50DF1" w:rsidP="00B50DF1">
            <w:pPr>
              <w:pStyle w:val="Tabletextkeep"/>
            </w:pPr>
            <w:r w:rsidRPr="005F62F4">
              <w:t>AGR</w:t>
            </w:r>
          </w:p>
        </w:tc>
        <w:tc>
          <w:tcPr>
            <w:tcW w:w="471" w:type="pct"/>
            <w:tcBorders>
              <w:top w:val="nil"/>
              <w:left w:val="nil"/>
              <w:bottom w:val="nil"/>
              <w:right w:val="nil"/>
            </w:tcBorders>
          </w:tcPr>
          <w:p w14:paraId="05494D78" w14:textId="20DAAF72" w:rsidR="00B50DF1" w:rsidRPr="005F62F4" w:rsidRDefault="00B50DF1" w:rsidP="00B50DF1">
            <w:pPr>
              <w:pStyle w:val="TableTextRight"/>
              <w:jc w:val="center"/>
              <w:rPr>
                <w:lang w:val="en-AU"/>
              </w:rPr>
            </w:pPr>
            <w:r w:rsidRPr="001E5E40">
              <w:rPr>
                <w:sz w:val="17"/>
                <w:szCs w:val="17"/>
              </w:rPr>
              <w:t>[redacted]</w:t>
            </w:r>
          </w:p>
        </w:tc>
        <w:tc>
          <w:tcPr>
            <w:tcW w:w="471" w:type="pct"/>
            <w:tcBorders>
              <w:top w:val="nil"/>
              <w:left w:val="nil"/>
              <w:bottom w:val="nil"/>
              <w:right w:val="nil"/>
            </w:tcBorders>
          </w:tcPr>
          <w:p w14:paraId="682DAC43" w14:textId="0089645C" w:rsidR="00B50DF1" w:rsidRPr="005F62F4" w:rsidRDefault="00B50DF1" w:rsidP="00B50DF1">
            <w:pPr>
              <w:pStyle w:val="TableTextRight"/>
              <w:jc w:val="center"/>
              <w:rPr>
                <w:lang w:val="en-AU"/>
              </w:rPr>
            </w:pPr>
            <w:r w:rsidRPr="001E5E40">
              <w:rPr>
                <w:sz w:val="17"/>
                <w:szCs w:val="17"/>
              </w:rPr>
              <w:t>[redacted]</w:t>
            </w:r>
          </w:p>
        </w:tc>
        <w:tc>
          <w:tcPr>
            <w:tcW w:w="471" w:type="pct"/>
            <w:tcBorders>
              <w:top w:val="nil"/>
              <w:left w:val="nil"/>
              <w:bottom w:val="nil"/>
              <w:right w:val="nil"/>
            </w:tcBorders>
          </w:tcPr>
          <w:p w14:paraId="3B3684F8" w14:textId="31DBDCE3" w:rsidR="00B50DF1" w:rsidRPr="005F62F4" w:rsidRDefault="00B50DF1" w:rsidP="00B50DF1">
            <w:pPr>
              <w:pStyle w:val="TableTextRight"/>
              <w:jc w:val="center"/>
              <w:rPr>
                <w:lang w:val="en-AU"/>
              </w:rPr>
            </w:pPr>
            <w:r w:rsidRPr="001E5E40">
              <w:rPr>
                <w:sz w:val="17"/>
                <w:szCs w:val="17"/>
              </w:rPr>
              <w:t>[redacted]</w:t>
            </w:r>
          </w:p>
        </w:tc>
        <w:tc>
          <w:tcPr>
            <w:tcW w:w="471" w:type="pct"/>
            <w:tcBorders>
              <w:top w:val="nil"/>
              <w:left w:val="nil"/>
              <w:bottom w:val="nil"/>
              <w:right w:val="nil"/>
            </w:tcBorders>
          </w:tcPr>
          <w:p w14:paraId="6DD2BC26" w14:textId="5AB5C489" w:rsidR="00B50DF1" w:rsidRPr="005F62F4" w:rsidRDefault="00B50DF1" w:rsidP="00B50DF1">
            <w:pPr>
              <w:pStyle w:val="TableTextRight"/>
              <w:jc w:val="center"/>
              <w:rPr>
                <w:lang w:val="en-AU"/>
              </w:rPr>
            </w:pPr>
            <w:r w:rsidRPr="001E5E40">
              <w:rPr>
                <w:sz w:val="17"/>
                <w:szCs w:val="17"/>
              </w:rPr>
              <w:t>[redacted]</w:t>
            </w:r>
          </w:p>
        </w:tc>
        <w:tc>
          <w:tcPr>
            <w:tcW w:w="471" w:type="pct"/>
            <w:tcBorders>
              <w:top w:val="nil"/>
              <w:left w:val="nil"/>
              <w:bottom w:val="nil"/>
              <w:right w:val="nil"/>
            </w:tcBorders>
          </w:tcPr>
          <w:p w14:paraId="4888F35E" w14:textId="06871CB8" w:rsidR="00B50DF1" w:rsidRPr="005F62F4" w:rsidRDefault="00B50DF1" w:rsidP="00B50DF1">
            <w:pPr>
              <w:pStyle w:val="TableTextRight"/>
              <w:rPr>
                <w:lang w:val="en-AU"/>
              </w:rPr>
            </w:pPr>
            <w:r w:rsidRPr="005F62F4">
              <w:rPr>
                <w:lang w:val="en-AU"/>
              </w:rPr>
              <w:t>229%</w:t>
            </w:r>
          </w:p>
        </w:tc>
        <w:tc>
          <w:tcPr>
            <w:tcW w:w="471" w:type="pct"/>
            <w:tcBorders>
              <w:top w:val="nil"/>
              <w:left w:val="nil"/>
              <w:bottom w:val="nil"/>
              <w:right w:val="nil"/>
            </w:tcBorders>
          </w:tcPr>
          <w:p w14:paraId="48ED36D6" w14:textId="2711CD20" w:rsidR="00B50DF1" w:rsidRPr="005F62F4" w:rsidRDefault="00B50DF1" w:rsidP="00B50DF1">
            <w:pPr>
              <w:pStyle w:val="TableTextRight"/>
              <w:rPr>
                <w:lang w:val="en-AU"/>
              </w:rPr>
            </w:pPr>
            <w:r w:rsidRPr="005F62F4">
              <w:rPr>
                <w:lang w:val="en-AU"/>
              </w:rPr>
              <w:t>92%</w:t>
            </w:r>
          </w:p>
        </w:tc>
        <w:tc>
          <w:tcPr>
            <w:tcW w:w="471" w:type="pct"/>
            <w:tcBorders>
              <w:top w:val="nil"/>
              <w:left w:val="nil"/>
              <w:bottom w:val="nil"/>
              <w:right w:val="nil"/>
            </w:tcBorders>
          </w:tcPr>
          <w:p w14:paraId="4F5D99D7" w14:textId="49925EEB" w:rsidR="00B50DF1" w:rsidRPr="005F62F4" w:rsidRDefault="00B50DF1" w:rsidP="00B50DF1">
            <w:pPr>
              <w:pStyle w:val="TableTextRight"/>
              <w:rPr>
                <w:lang w:val="en-AU"/>
              </w:rPr>
            </w:pPr>
            <w:r w:rsidRPr="005F62F4">
              <w:rPr>
                <w:lang w:val="en-AU"/>
              </w:rPr>
              <w:t>36%</w:t>
            </w:r>
          </w:p>
        </w:tc>
        <w:tc>
          <w:tcPr>
            <w:tcW w:w="472" w:type="pct"/>
            <w:tcBorders>
              <w:top w:val="nil"/>
              <w:left w:val="nil"/>
              <w:bottom w:val="nil"/>
              <w:right w:val="nil"/>
            </w:tcBorders>
          </w:tcPr>
          <w:p w14:paraId="54E3AEBC" w14:textId="4C8CFDE2" w:rsidR="00B50DF1" w:rsidRPr="005F62F4" w:rsidRDefault="00B50DF1" w:rsidP="00B50DF1">
            <w:pPr>
              <w:pStyle w:val="TableTextRight"/>
              <w:rPr>
                <w:lang w:val="en-AU"/>
              </w:rPr>
            </w:pPr>
            <w:r w:rsidRPr="005F62F4">
              <w:rPr>
                <w:lang w:val="en-AU"/>
              </w:rPr>
              <w:t>90%</w:t>
            </w:r>
          </w:p>
        </w:tc>
      </w:tr>
    </w:tbl>
    <w:p w14:paraId="5B85ABB5" w14:textId="2D73D7BA" w:rsidR="000A55C3" w:rsidRPr="005F62F4" w:rsidRDefault="00B91E95" w:rsidP="0011410F">
      <w:pPr>
        <w:pStyle w:val="ParaKeep"/>
      </w:pPr>
      <w:r w:rsidRPr="005F62F4">
        <w:t>Surgical guides</w:t>
      </w:r>
      <w:r w:rsidR="00613458" w:rsidRPr="005F62F4">
        <w:t xml:space="preserve"> had an average </w:t>
      </w:r>
      <w:r w:rsidR="00565D3E" w:rsidRPr="005F62F4">
        <w:t>ARG</w:t>
      </w:r>
      <w:r w:rsidR="00613458" w:rsidRPr="005F62F4">
        <w:t xml:space="preserve"> of 114% </w:t>
      </w:r>
      <w:r w:rsidR="00565D3E" w:rsidRPr="005F62F4">
        <w:t>between</w:t>
      </w:r>
      <w:r w:rsidR="00613458" w:rsidRPr="005F62F4">
        <w:t xml:space="preserve"> 2015-16</w:t>
      </w:r>
      <w:r w:rsidR="000D7977" w:rsidRPr="005F62F4">
        <w:t xml:space="preserve"> and 2020-21, indicating that on average, the number of items used almost double each year </w:t>
      </w:r>
      <w:r w:rsidR="00565D3E" w:rsidRPr="005F62F4">
        <w:t>(</w:t>
      </w:r>
      <w:r w:rsidR="00B7399A" w:rsidRPr="005F62F4">
        <w:fldChar w:fldCharType="begin"/>
      </w:r>
      <w:r w:rsidR="00B7399A" w:rsidRPr="005F62F4">
        <w:instrText xml:space="preserve"> REF _Ref120107741 \h </w:instrText>
      </w:r>
      <w:r w:rsidR="005F62F4">
        <w:instrText xml:space="preserve"> \* MERGEFORMAT </w:instrText>
      </w:r>
      <w:r w:rsidR="00B7399A" w:rsidRPr="005F62F4">
        <w:fldChar w:fldCharType="separate"/>
      </w:r>
      <w:r w:rsidR="005606BF" w:rsidRPr="005F62F4">
        <w:t>Table </w:t>
      </w:r>
      <w:r w:rsidR="005606BF">
        <w:t>5</w:t>
      </w:r>
      <w:r w:rsidR="00B7399A" w:rsidRPr="005F62F4">
        <w:fldChar w:fldCharType="end"/>
      </w:r>
      <w:r w:rsidR="00565D3E" w:rsidRPr="005F62F4">
        <w:t>)</w:t>
      </w:r>
      <w:r w:rsidR="00B7399A" w:rsidRPr="005F62F4">
        <w:t>.</w:t>
      </w:r>
    </w:p>
    <w:p w14:paraId="5831012D" w14:textId="13DD155A" w:rsidR="00613458" w:rsidRPr="005F62F4" w:rsidRDefault="00E56C05" w:rsidP="0065734F">
      <w:pPr>
        <w:pStyle w:val="Caption"/>
      </w:pPr>
      <w:bookmarkStart w:id="159" w:name="_Ref120107741"/>
      <w:bookmarkStart w:id="160" w:name="_Toc129954642"/>
      <w:r w:rsidRPr="005F62F4">
        <w:t>Table </w:t>
      </w:r>
      <w:r w:rsidRPr="005F62F4">
        <w:fldChar w:fldCharType="begin"/>
      </w:r>
      <w:r w:rsidRPr="005F62F4">
        <w:instrText>SEQ Table \* ARABIC</w:instrText>
      </w:r>
      <w:r w:rsidRPr="005F62F4">
        <w:fldChar w:fldCharType="separate"/>
      </w:r>
      <w:r w:rsidR="005606BF">
        <w:rPr>
          <w:noProof/>
        </w:rPr>
        <w:t>5</w:t>
      </w:r>
      <w:r w:rsidRPr="005F62F4">
        <w:fldChar w:fldCharType="end"/>
      </w:r>
      <w:bookmarkEnd w:id="159"/>
      <w:r w:rsidR="00613458" w:rsidRPr="005F62F4">
        <w:t xml:space="preserve">: </w:t>
      </w:r>
      <w:bookmarkStart w:id="161" w:name="_Ref120107705"/>
      <w:r w:rsidR="00613458" w:rsidRPr="005F62F4">
        <w:t>Surgical guide annual growth rate, by financial year</w:t>
      </w:r>
      <w:bookmarkEnd w:id="160"/>
      <w:bookmarkEnd w:id="161"/>
    </w:p>
    <w:tbl>
      <w:tblPr>
        <w:tblStyle w:val="SGB"/>
        <w:tblW w:w="5104" w:type="pct"/>
        <w:tblLayout w:type="fixed"/>
        <w:tblLook w:val="0420" w:firstRow="1" w:lastRow="0" w:firstColumn="0" w:lastColumn="0" w:noHBand="0" w:noVBand="1"/>
      </w:tblPr>
      <w:tblGrid>
        <w:gridCol w:w="2346"/>
        <w:gridCol w:w="898"/>
        <w:gridCol w:w="898"/>
        <w:gridCol w:w="897"/>
        <w:gridCol w:w="897"/>
        <w:gridCol w:w="897"/>
        <w:gridCol w:w="897"/>
        <w:gridCol w:w="897"/>
        <w:gridCol w:w="899"/>
      </w:tblGrid>
      <w:tr w:rsidR="00B53B4F" w:rsidRPr="005F62F4" w14:paraId="65DA9829" w14:textId="77777777">
        <w:trPr>
          <w:cnfStyle w:val="100000000000" w:firstRow="1" w:lastRow="0" w:firstColumn="0" w:lastColumn="0" w:oddVBand="0" w:evenVBand="0" w:oddHBand="0" w:evenHBand="0" w:firstRowFirstColumn="0" w:firstRowLastColumn="0" w:lastRowFirstColumn="0" w:lastRowLastColumn="0"/>
          <w:trHeight w:val="411"/>
        </w:trPr>
        <w:tc>
          <w:tcPr>
            <w:tcW w:w="1231" w:type="pct"/>
          </w:tcPr>
          <w:p w14:paraId="5A80F4B3" w14:textId="77777777" w:rsidR="00B91E95" w:rsidRPr="005F62F4" w:rsidRDefault="00B91E95">
            <w:pPr>
              <w:pStyle w:val="TableText"/>
            </w:pPr>
            <w:bookmarkStart w:id="162" w:name="Title_7" w:colFirst="0" w:colLast="0"/>
            <w:r w:rsidRPr="005F62F4">
              <w:t>Measure</w:t>
            </w:r>
          </w:p>
        </w:tc>
        <w:tc>
          <w:tcPr>
            <w:tcW w:w="471" w:type="pct"/>
          </w:tcPr>
          <w:p w14:paraId="20385A16" w14:textId="77777777" w:rsidR="00B91E95" w:rsidRPr="005F62F4" w:rsidRDefault="00B91E95">
            <w:pPr>
              <w:pStyle w:val="TableTextRight"/>
              <w:rPr>
                <w:szCs w:val="18"/>
                <w:lang w:val="en-AU"/>
              </w:rPr>
            </w:pPr>
            <w:r w:rsidRPr="005F62F4">
              <w:rPr>
                <w:szCs w:val="18"/>
                <w:lang w:val="en-AU"/>
              </w:rPr>
              <w:t>2013–14</w:t>
            </w:r>
          </w:p>
        </w:tc>
        <w:tc>
          <w:tcPr>
            <w:tcW w:w="471" w:type="pct"/>
          </w:tcPr>
          <w:p w14:paraId="2CE4B66A" w14:textId="13DACAFC" w:rsidR="00B91E95" w:rsidRPr="005F62F4" w:rsidRDefault="00B91E95">
            <w:pPr>
              <w:pStyle w:val="TableTextRight"/>
              <w:rPr>
                <w:szCs w:val="18"/>
                <w:lang w:val="en-AU"/>
              </w:rPr>
            </w:pPr>
            <w:r w:rsidRPr="005F62F4">
              <w:rPr>
                <w:szCs w:val="18"/>
                <w:lang w:val="en-AU"/>
              </w:rPr>
              <w:t>2014–</w:t>
            </w:r>
            <w:r w:rsidRPr="005F62F4">
              <w:rPr>
                <w:szCs w:val="18"/>
              </w:rPr>
              <w:t>15</w:t>
            </w:r>
          </w:p>
        </w:tc>
        <w:tc>
          <w:tcPr>
            <w:tcW w:w="471" w:type="pct"/>
          </w:tcPr>
          <w:p w14:paraId="5D36D1BB" w14:textId="77777777" w:rsidR="00B91E95" w:rsidRPr="005F62F4" w:rsidRDefault="00B91E95">
            <w:pPr>
              <w:pStyle w:val="TableTextRight"/>
              <w:rPr>
                <w:szCs w:val="18"/>
                <w:lang w:val="en-AU"/>
              </w:rPr>
            </w:pPr>
            <w:r w:rsidRPr="005F62F4">
              <w:rPr>
                <w:szCs w:val="18"/>
                <w:lang w:val="en-AU"/>
              </w:rPr>
              <w:t>2015–16</w:t>
            </w:r>
          </w:p>
        </w:tc>
        <w:tc>
          <w:tcPr>
            <w:tcW w:w="471" w:type="pct"/>
          </w:tcPr>
          <w:p w14:paraId="1B18C8E1" w14:textId="77777777" w:rsidR="00B91E95" w:rsidRPr="005F62F4" w:rsidRDefault="00B91E95">
            <w:pPr>
              <w:pStyle w:val="TableTextRight"/>
              <w:rPr>
                <w:szCs w:val="18"/>
                <w:lang w:val="en-AU"/>
              </w:rPr>
            </w:pPr>
            <w:r w:rsidRPr="005F62F4">
              <w:rPr>
                <w:szCs w:val="18"/>
                <w:lang w:val="en-AU"/>
              </w:rPr>
              <w:t>2016–17</w:t>
            </w:r>
          </w:p>
        </w:tc>
        <w:tc>
          <w:tcPr>
            <w:tcW w:w="471" w:type="pct"/>
          </w:tcPr>
          <w:p w14:paraId="20DF2054" w14:textId="77777777" w:rsidR="00B91E95" w:rsidRPr="005F62F4" w:rsidRDefault="00B91E95">
            <w:pPr>
              <w:pStyle w:val="TableTextRight"/>
              <w:rPr>
                <w:szCs w:val="18"/>
                <w:lang w:val="en-AU"/>
              </w:rPr>
            </w:pPr>
            <w:r w:rsidRPr="005F62F4">
              <w:rPr>
                <w:szCs w:val="18"/>
                <w:lang w:val="en-AU"/>
              </w:rPr>
              <w:t>2017–18</w:t>
            </w:r>
          </w:p>
        </w:tc>
        <w:tc>
          <w:tcPr>
            <w:tcW w:w="471" w:type="pct"/>
          </w:tcPr>
          <w:p w14:paraId="2AE80006" w14:textId="77777777" w:rsidR="00B91E95" w:rsidRPr="005F62F4" w:rsidRDefault="00B91E95">
            <w:pPr>
              <w:pStyle w:val="TableTextRight"/>
              <w:rPr>
                <w:szCs w:val="18"/>
                <w:lang w:val="en-AU"/>
              </w:rPr>
            </w:pPr>
            <w:r w:rsidRPr="005F62F4">
              <w:rPr>
                <w:szCs w:val="18"/>
                <w:lang w:val="en-AU"/>
              </w:rPr>
              <w:t>2018–19</w:t>
            </w:r>
          </w:p>
        </w:tc>
        <w:tc>
          <w:tcPr>
            <w:tcW w:w="471" w:type="pct"/>
          </w:tcPr>
          <w:p w14:paraId="2155A0ED" w14:textId="77777777" w:rsidR="00B91E95" w:rsidRPr="005F62F4" w:rsidRDefault="00B91E95">
            <w:pPr>
              <w:pStyle w:val="TableTextRight"/>
              <w:rPr>
                <w:szCs w:val="18"/>
                <w:lang w:val="en-AU"/>
              </w:rPr>
            </w:pPr>
            <w:r w:rsidRPr="005F62F4">
              <w:rPr>
                <w:szCs w:val="18"/>
                <w:lang w:val="en-AU"/>
              </w:rPr>
              <w:t>2019–20</w:t>
            </w:r>
          </w:p>
        </w:tc>
        <w:tc>
          <w:tcPr>
            <w:tcW w:w="472" w:type="pct"/>
          </w:tcPr>
          <w:p w14:paraId="6D0B6728" w14:textId="77777777" w:rsidR="00B91E95" w:rsidRPr="005F62F4" w:rsidRDefault="00B91E95">
            <w:pPr>
              <w:pStyle w:val="TableTextRight"/>
              <w:rPr>
                <w:szCs w:val="18"/>
                <w:lang w:val="en-AU"/>
              </w:rPr>
            </w:pPr>
            <w:r w:rsidRPr="005F62F4">
              <w:rPr>
                <w:szCs w:val="18"/>
                <w:lang w:val="en-AU"/>
              </w:rPr>
              <w:t>2020–21</w:t>
            </w:r>
          </w:p>
        </w:tc>
      </w:tr>
      <w:bookmarkEnd w:id="162"/>
      <w:tr w:rsidR="00B50DF1" w:rsidRPr="005F62F4" w14:paraId="09AADB38" w14:textId="77777777" w:rsidTr="008F0F07">
        <w:trPr>
          <w:trHeight w:val="170"/>
        </w:trPr>
        <w:tc>
          <w:tcPr>
            <w:tcW w:w="1231" w:type="pct"/>
            <w:tcBorders>
              <w:bottom w:val="nil"/>
            </w:tcBorders>
          </w:tcPr>
          <w:p w14:paraId="2246DFB4" w14:textId="77777777" w:rsidR="00B50DF1" w:rsidRPr="005F62F4" w:rsidRDefault="00B50DF1" w:rsidP="00B50DF1">
            <w:pPr>
              <w:pStyle w:val="Tabletextkeep"/>
            </w:pPr>
            <w:r w:rsidRPr="005F62F4">
              <w:t>Number of items</w:t>
            </w:r>
          </w:p>
        </w:tc>
        <w:tc>
          <w:tcPr>
            <w:tcW w:w="471" w:type="pct"/>
            <w:tcBorders>
              <w:bottom w:val="nil"/>
            </w:tcBorders>
          </w:tcPr>
          <w:p w14:paraId="5CBAD16F" w14:textId="3D68ADDD" w:rsidR="00B50DF1" w:rsidRPr="005F62F4" w:rsidRDefault="00B50DF1" w:rsidP="00B50DF1">
            <w:pPr>
              <w:pStyle w:val="TableTextRight"/>
              <w:jc w:val="center"/>
              <w:rPr>
                <w:lang w:val="en-AU"/>
              </w:rPr>
            </w:pPr>
            <w:r w:rsidRPr="001E5E40">
              <w:rPr>
                <w:sz w:val="17"/>
                <w:szCs w:val="17"/>
              </w:rPr>
              <w:t>[redacted]</w:t>
            </w:r>
          </w:p>
        </w:tc>
        <w:tc>
          <w:tcPr>
            <w:tcW w:w="471" w:type="pct"/>
            <w:tcBorders>
              <w:bottom w:val="nil"/>
            </w:tcBorders>
          </w:tcPr>
          <w:p w14:paraId="0601874A" w14:textId="73E2DED5" w:rsidR="00B50DF1" w:rsidRPr="005F62F4" w:rsidRDefault="00B50DF1" w:rsidP="00B50DF1">
            <w:pPr>
              <w:pStyle w:val="TableTextRight"/>
              <w:jc w:val="center"/>
              <w:rPr>
                <w:lang w:val="en-AU"/>
              </w:rPr>
            </w:pPr>
            <w:r w:rsidRPr="001E5E40">
              <w:rPr>
                <w:sz w:val="17"/>
                <w:szCs w:val="17"/>
              </w:rPr>
              <w:t>[redacted]</w:t>
            </w:r>
          </w:p>
        </w:tc>
        <w:tc>
          <w:tcPr>
            <w:tcW w:w="471" w:type="pct"/>
            <w:tcBorders>
              <w:bottom w:val="nil"/>
            </w:tcBorders>
          </w:tcPr>
          <w:p w14:paraId="03AFCDF2" w14:textId="618B92A1" w:rsidR="00B50DF1" w:rsidRPr="005F62F4" w:rsidRDefault="00B50DF1" w:rsidP="00B50DF1">
            <w:pPr>
              <w:pStyle w:val="TableTextRight"/>
              <w:jc w:val="center"/>
              <w:rPr>
                <w:lang w:val="en-AU"/>
              </w:rPr>
            </w:pPr>
            <w:r w:rsidRPr="001E5E40">
              <w:rPr>
                <w:sz w:val="17"/>
                <w:szCs w:val="17"/>
              </w:rPr>
              <w:t>[redacted]</w:t>
            </w:r>
          </w:p>
        </w:tc>
        <w:tc>
          <w:tcPr>
            <w:tcW w:w="471" w:type="pct"/>
            <w:tcBorders>
              <w:bottom w:val="nil"/>
            </w:tcBorders>
          </w:tcPr>
          <w:p w14:paraId="3A92D477" w14:textId="42851111" w:rsidR="00B50DF1" w:rsidRPr="005F62F4" w:rsidRDefault="00B50DF1" w:rsidP="00B50DF1">
            <w:pPr>
              <w:pStyle w:val="TableTextRight"/>
              <w:jc w:val="center"/>
              <w:rPr>
                <w:lang w:val="en-AU"/>
              </w:rPr>
            </w:pPr>
            <w:r w:rsidRPr="001E5E40">
              <w:rPr>
                <w:sz w:val="17"/>
                <w:szCs w:val="17"/>
              </w:rPr>
              <w:t>[redacted]</w:t>
            </w:r>
          </w:p>
        </w:tc>
        <w:tc>
          <w:tcPr>
            <w:tcW w:w="471" w:type="pct"/>
            <w:tcBorders>
              <w:bottom w:val="nil"/>
            </w:tcBorders>
          </w:tcPr>
          <w:p w14:paraId="2DEDBF49" w14:textId="76EDE3F0" w:rsidR="00B50DF1" w:rsidRPr="005F62F4" w:rsidRDefault="00B50DF1" w:rsidP="00B50DF1">
            <w:pPr>
              <w:pStyle w:val="TableTextRight"/>
              <w:rPr>
                <w:lang w:val="en-AU"/>
              </w:rPr>
            </w:pPr>
            <w:r w:rsidRPr="005F62F4">
              <w:rPr>
                <w:lang w:val="en-AU"/>
              </w:rPr>
              <w:t>1,207</w:t>
            </w:r>
          </w:p>
        </w:tc>
        <w:tc>
          <w:tcPr>
            <w:tcW w:w="471" w:type="pct"/>
            <w:tcBorders>
              <w:bottom w:val="nil"/>
            </w:tcBorders>
          </w:tcPr>
          <w:p w14:paraId="14D01622" w14:textId="1F4E572A" w:rsidR="00B50DF1" w:rsidRPr="005F62F4" w:rsidRDefault="00B50DF1" w:rsidP="00B50DF1">
            <w:pPr>
              <w:pStyle w:val="TableTextRight"/>
              <w:rPr>
                <w:lang w:val="en-AU"/>
              </w:rPr>
            </w:pPr>
            <w:r w:rsidRPr="005F62F4">
              <w:rPr>
                <w:lang w:val="en-AU"/>
              </w:rPr>
              <w:t>2,094</w:t>
            </w:r>
          </w:p>
        </w:tc>
        <w:tc>
          <w:tcPr>
            <w:tcW w:w="471" w:type="pct"/>
            <w:tcBorders>
              <w:bottom w:val="nil"/>
            </w:tcBorders>
          </w:tcPr>
          <w:p w14:paraId="0DEDDC30" w14:textId="1B72AC2B" w:rsidR="00B50DF1" w:rsidRPr="005F62F4" w:rsidRDefault="00B50DF1" w:rsidP="00B50DF1">
            <w:pPr>
              <w:pStyle w:val="TableTextRight"/>
              <w:rPr>
                <w:lang w:val="en-AU"/>
              </w:rPr>
            </w:pPr>
            <w:r w:rsidRPr="005F62F4">
              <w:rPr>
                <w:lang w:val="en-AU"/>
              </w:rPr>
              <w:t>2,577</w:t>
            </w:r>
          </w:p>
        </w:tc>
        <w:tc>
          <w:tcPr>
            <w:tcW w:w="472" w:type="pct"/>
            <w:tcBorders>
              <w:bottom w:val="nil"/>
            </w:tcBorders>
          </w:tcPr>
          <w:p w14:paraId="7924DC00" w14:textId="1943B328" w:rsidR="00B50DF1" w:rsidRPr="005F62F4" w:rsidRDefault="00B50DF1" w:rsidP="00B50DF1">
            <w:pPr>
              <w:pStyle w:val="TableTextRight"/>
              <w:rPr>
                <w:lang w:val="en-AU"/>
              </w:rPr>
            </w:pPr>
            <w:r w:rsidRPr="005F62F4">
              <w:rPr>
                <w:lang w:val="en-AU"/>
              </w:rPr>
              <w:t>5,043</w:t>
            </w:r>
          </w:p>
        </w:tc>
      </w:tr>
      <w:tr w:rsidR="00B50DF1" w:rsidRPr="005F62F4" w14:paraId="21D2AF52" w14:textId="77777777" w:rsidTr="008F0F07">
        <w:trPr>
          <w:cnfStyle w:val="000000010000" w:firstRow="0" w:lastRow="0" w:firstColumn="0" w:lastColumn="0" w:oddVBand="0" w:evenVBand="0" w:oddHBand="0" w:evenHBand="1" w:firstRowFirstColumn="0" w:firstRowLastColumn="0" w:lastRowFirstColumn="0" w:lastRowLastColumn="0"/>
          <w:trHeight w:val="170"/>
        </w:trPr>
        <w:tc>
          <w:tcPr>
            <w:tcW w:w="1231" w:type="pct"/>
            <w:tcBorders>
              <w:top w:val="nil"/>
              <w:left w:val="nil"/>
              <w:bottom w:val="nil"/>
              <w:right w:val="nil"/>
            </w:tcBorders>
          </w:tcPr>
          <w:p w14:paraId="53448E91" w14:textId="4A154136" w:rsidR="00B50DF1" w:rsidRPr="005F62F4" w:rsidRDefault="00B50DF1" w:rsidP="00B50DF1">
            <w:pPr>
              <w:pStyle w:val="Tabletextkeep"/>
            </w:pPr>
            <w:r w:rsidRPr="005F62F4">
              <w:t>AGR</w:t>
            </w:r>
          </w:p>
        </w:tc>
        <w:tc>
          <w:tcPr>
            <w:tcW w:w="471" w:type="pct"/>
            <w:tcBorders>
              <w:top w:val="nil"/>
              <w:left w:val="nil"/>
              <w:bottom w:val="nil"/>
              <w:right w:val="nil"/>
            </w:tcBorders>
          </w:tcPr>
          <w:p w14:paraId="3134A32C" w14:textId="5DE5483D" w:rsidR="00B50DF1" w:rsidRPr="005F62F4" w:rsidRDefault="00B50DF1" w:rsidP="00B50DF1">
            <w:pPr>
              <w:pStyle w:val="TableTextRight"/>
              <w:jc w:val="center"/>
              <w:rPr>
                <w:lang w:val="en-AU"/>
              </w:rPr>
            </w:pPr>
            <w:r w:rsidRPr="001E5E40">
              <w:rPr>
                <w:sz w:val="17"/>
                <w:szCs w:val="17"/>
              </w:rPr>
              <w:t>[redacted]</w:t>
            </w:r>
          </w:p>
        </w:tc>
        <w:tc>
          <w:tcPr>
            <w:tcW w:w="471" w:type="pct"/>
            <w:tcBorders>
              <w:top w:val="nil"/>
              <w:left w:val="nil"/>
              <w:bottom w:val="nil"/>
              <w:right w:val="nil"/>
            </w:tcBorders>
          </w:tcPr>
          <w:p w14:paraId="4B649F3B" w14:textId="401133B6" w:rsidR="00B50DF1" w:rsidRPr="005F62F4" w:rsidRDefault="00B50DF1" w:rsidP="00B50DF1">
            <w:pPr>
              <w:pStyle w:val="TableTextRight"/>
              <w:jc w:val="center"/>
              <w:rPr>
                <w:lang w:val="en-AU"/>
              </w:rPr>
            </w:pPr>
            <w:r w:rsidRPr="001E5E40">
              <w:rPr>
                <w:sz w:val="17"/>
                <w:szCs w:val="17"/>
              </w:rPr>
              <w:t>[redacted]</w:t>
            </w:r>
          </w:p>
        </w:tc>
        <w:tc>
          <w:tcPr>
            <w:tcW w:w="471" w:type="pct"/>
            <w:tcBorders>
              <w:top w:val="nil"/>
              <w:left w:val="nil"/>
              <w:bottom w:val="nil"/>
              <w:right w:val="nil"/>
            </w:tcBorders>
          </w:tcPr>
          <w:p w14:paraId="6E3D88E0" w14:textId="6EF9A801" w:rsidR="00B50DF1" w:rsidRPr="005F62F4" w:rsidRDefault="00B50DF1" w:rsidP="00B50DF1">
            <w:pPr>
              <w:pStyle w:val="TableTextRight"/>
              <w:jc w:val="center"/>
              <w:rPr>
                <w:lang w:val="en-AU"/>
              </w:rPr>
            </w:pPr>
            <w:r w:rsidRPr="001E5E40">
              <w:rPr>
                <w:sz w:val="17"/>
                <w:szCs w:val="17"/>
              </w:rPr>
              <w:t>[redacted]</w:t>
            </w:r>
          </w:p>
        </w:tc>
        <w:tc>
          <w:tcPr>
            <w:tcW w:w="471" w:type="pct"/>
            <w:tcBorders>
              <w:top w:val="nil"/>
              <w:left w:val="nil"/>
              <w:bottom w:val="nil"/>
              <w:right w:val="nil"/>
            </w:tcBorders>
          </w:tcPr>
          <w:p w14:paraId="20FC54B2" w14:textId="7AAF14DD" w:rsidR="00B50DF1" w:rsidRPr="005F62F4" w:rsidRDefault="00B50DF1" w:rsidP="00B50DF1">
            <w:pPr>
              <w:pStyle w:val="TableTextRight"/>
              <w:jc w:val="center"/>
              <w:rPr>
                <w:lang w:val="en-AU"/>
              </w:rPr>
            </w:pPr>
            <w:r w:rsidRPr="001E5E40">
              <w:rPr>
                <w:sz w:val="17"/>
                <w:szCs w:val="17"/>
              </w:rPr>
              <w:t>[redacted]</w:t>
            </w:r>
          </w:p>
        </w:tc>
        <w:tc>
          <w:tcPr>
            <w:tcW w:w="471" w:type="pct"/>
            <w:tcBorders>
              <w:top w:val="nil"/>
              <w:left w:val="nil"/>
              <w:bottom w:val="nil"/>
              <w:right w:val="nil"/>
            </w:tcBorders>
          </w:tcPr>
          <w:p w14:paraId="0B4A0509" w14:textId="6175A1C6" w:rsidR="00B50DF1" w:rsidRPr="005F62F4" w:rsidRDefault="00B50DF1" w:rsidP="00B50DF1">
            <w:pPr>
              <w:pStyle w:val="TableTextRight"/>
              <w:rPr>
                <w:lang w:val="en-AU"/>
              </w:rPr>
            </w:pPr>
            <w:r w:rsidRPr="005F62F4">
              <w:rPr>
                <w:lang w:val="en-AU"/>
              </w:rPr>
              <w:t>133%</w:t>
            </w:r>
          </w:p>
        </w:tc>
        <w:tc>
          <w:tcPr>
            <w:tcW w:w="471" w:type="pct"/>
            <w:tcBorders>
              <w:top w:val="nil"/>
              <w:left w:val="nil"/>
              <w:bottom w:val="nil"/>
              <w:right w:val="nil"/>
            </w:tcBorders>
          </w:tcPr>
          <w:p w14:paraId="31AFF1FA" w14:textId="5144E443" w:rsidR="00B50DF1" w:rsidRPr="005F62F4" w:rsidRDefault="00B50DF1" w:rsidP="00B50DF1">
            <w:pPr>
              <w:pStyle w:val="TableTextRight"/>
              <w:rPr>
                <w:lang w:val="en-AU"/>
              </w:rPr>
            </w:pPr>
            <w:r w:rsidRPr="005F62F4">
              <w:rPr>
                <w:lang w:val="en-AU"/>
              </w:rPr>
              <w:t>73%</w:t>
            </w:r>
          </w:p>
        </w:tc>
        <w:tc>
          <w:tcPr>
            <w:tcW w:w="471" w:type="pct"/>
            <w:tcBorders>
              <w:top w:val="nil"/>
              <w:left w:val="nil"/>
              <w:bottom w:val="nil"/>
              <w:right w:val="nil"/>
            </w:tcBorders>
          </w:tcPr>
          <w:p w14:paraId="45E2D724" w14:textId="68CFE014" w:rsidR="00B50DF1" w:rsidRPr="005F62F4" w:rsidRDefault="00B50DF1" w:rsidP="00B50DF1">
            <w:pPr>
              <w:pStyle w:val="TableTextRight"/>
              <w:rPr>
                <w:lang w:val="en-AU"/>
              </w:rPr>
            </w:pPr>
            <w:r w:rsidRPr="005F62F4">
              <w:rPr>
                <w:lang w:val="en-AU"/>
              </w:rPr>
              <w:t>23%</w:t>
            </w:r>
          </w:p>
        </w:tc>
        <w:tc>
          <w:tcPr>
            <w:tcW w:w="472" w:type="pct"/>
            <w:tcBorders>
              <w:top w:val="nil"/>
              <w:left w:val="nil"/>
              <w:bottom w:val="nil"/>
              <w:right w:val="nil"/>
            </w:tcBorders>
          </w:tcPr>
          <w:p w14:paraId="2A645952" w14:textId="20B9E630" w:rsidR="00B50DF1" w:rsidRPr="005F62F4" w:rsidRDefault="00B50DF1" w:rsidP="00B50DF1">
            <w:pPr>
              <w:pStyle w:val="TableTextRight"/>
              <w:rPr>
                <w:lang w:val="en-AU"/>
              </w:rPr>
            </w:pPr>
            <w:r w:rsidRPr="005F62F4">
              <w:rPr>
                <w:lang w:val="en-AU"/>
              </w:rPr>
              <w:t>96%</w:t>
            </w:r>
          </w:p>
        </w:tc>
      </w:tr>
    </w:tbl>
    <w:p w14:paraId="49F112A5" w14:textId="4C6D91ED" w:rsidR="002E0C0C" w:rsidRPr="005F62F4" w:rsidRDefault="00481786" w:rsidP="00CE19EB">
      <w:pPr>
        <w:pStyle w:val="Para"/>
        <w:ind w:right="-113"/>
      </w:pPr>
      <w:r w:rsidRPr="005F62F4">
        <w:rPr>
          <w:lang w:eastAsia="en-AU"/>
        </w:rPr>
        <w:t>The AGR</w:t>
      </w:r>
      <w:r w:rsidR="0011410F" w:rsidRPr="005F62F4">
        <w:rPr>
          <w:lang w:eastAsia="en-AU"/>
        </w:rPr>
        <w:t>s</w:t>
      </w:r>
      <w:r w:rsidRPr="005F62F4">
        <w:rPr>
          <w:lang w:eastAsia="en-AU"/>
        </w:rPr>
        <w:t xml:space="preserve"> for</w:t>
      </w:r>
      <w:r w:rsidR="0011410F" w:rsidRPr="005F62F4">
        <w:rPr>
          <w:lang w:eastAsia="en-AU"/>
        </w:rPr>
        <w:t xml:space="preserve"> both surgical guides and </w:t>
      </w:r>
      <w:proofErr w:type="spellStart"/>
      <w:r w:rsidR="0011410F" w:rsidRPr="005F62F4">
        <w:rPr>
          <w:lang w:eastAsia="en-AU"/>
        </w:rPr>
        <w:t>biomodels</w:t>
      </w:r>
      <w:proofErr w:type="spellEnd"/>
      <w:r w:rsidR="0011410F" w:rsidRPr="005F62F4">
        <w:rPr>
          <w:lang w:eastAsia="en-AU"/>
        </w:rPr>
        <w:t xml:space="preserve"> </w:t>
      </w:r>
      <w:r w:rsidR="008235AA" w:rsidRPr="005F62F4">
        <w:rPr>
          <w:lang w:eastAsia="en-AU"/>
        </w:rPr>
        <w:t xml:space="preserve">peaked </w:t>
      </w:r>
      <w:r w:rsidR="00DA1E17" w:rsidRPr="005F62F4">
        <w:rPr>
          <w:lang w:eastAsia="en-AU"/>
        </w:rPr>
        <w:t xml:space="preserve">in 2016-17. </w:t>
      </w:r>
      <w:r w:rsidR="00002B95" w:rsidRPr="005F62F4">
        <w:t>L</w:t>
      </w:r>
      <w:r w:rsidR="00A156CD" w:rsidRPr="005F62F4">
        <w:t>ower AGR</w:t>
      </w:r>
      <w:r w:rsidR="00002B95" w:rsidRPr="005F62F4">
        <w:t>s</w:t>
      </w:r>
      <w:r w:rsidR="00A156CD" w:rsidRPr="005F62F4">
        <w:t xml:space="preserve"> in </w:t>
      </w:r>
      <w:r w:rsidR="00843CCA" w:rsidRPr="005F62F4">
        <w:t xml:space="preserve">recent years </w:t>
      </w:r>
      <w:r w:rsidR="008C3EBD" w:rsidRPr="005F62F4">
        <w:t>may</w:t>
      </w:r>
      <w:r w:rsidR="00A156CD" w:rsidRPr="005F62F4">
        <w:t xml:space="preserve"> be </w:t>
      </w:r>
      <w:r w:rsidR="00AA2B2E" w:rsidRPr="005F62F4">
        <w:t xml:space="preserve">at least partially </w:t>
      </w:r>
      <w:r w:rsidR="00C96A56" w:rsidRPr="005F62F4">
        <w:t xml:space="preserve">attributable </w:t>
      </w:r>
      <w:r w:rsidR="00A156CD" w:rsidRPr="005F62F4">
        <w:t xml:space="preserve">to </w:t>
      </w:r>
      <w:r w:rsidR="002727DF" w:rsidRPr="005F62F4">
        <w:t>the cancellation of elective surgeries due to COVID-19.</w:t>
      </w:r>
    </w:p>
    <w:p w14:paraId="5F0E75A9" w14:textId="702B5FE2" w:rsidR="00815A99" w:rsidRPr="005F62F4" w:rsidRDefault="00E03A37" w:rsidP="004F2931">
      <w:pPr>
        <w:pStyle w:val="Heading3"/>
      </w:pPr>
      <w:bookmarkStart w:id="163" w:name="_Toc120178320"/>
      <w:r w:rsidRPr="005F62F4">
        <w:t>Utilisation by</w:t>
      </w:r>
      <w:r w:rsidR="00AC4527" w:rsidRPr="005F62F4">
        <w:t xml:space="preserve"> </w:t>
      </w:r>
      <w:r w:rsidR="00272579" w:rsidRPr="005F62F4">
        <w:t xml:space="preserve">patients </w:t>
      </w:r>
      <w:r w:rsidR="00AC4527" w:rsidRPr="005F62F4">
        <w:t>and separations</w:t>
      </w:r>
      <w:bookmarkEnd w:id="163"/>
    </w:p>
    <w:p w14:paraId="5D8634EE" w14:textId="5AB41699" w:rsidR="003C5FCC" w:rsidRPr="005F62F4" w:rsidRDefault="00CF1C0C" w:rsidP="00CF1C0C">
      <w:pPr>
        <w:pStyle w:val="ParaKeep"/>
        <w:keepLines/>
      </w:pPr>
      <w:r w:rsidRPr="005F62F4">
        <w:fldChar w:fldCharType="begin"/>
      </w:r>
      <w:r w:rsidRPr="005F62F4">
        <w:instrText xml:space="preserve"> REF _Ref119871130 \h  \* MERGEFORMAT </w:instrText>
      </w:r>
      <w:r w:rsidRPr="005F62F4">
        <w:fldChar w:fldCharType="separate"/>
      </w:r>
      <w:r w:rsidR="005606BF" w:rsidRPr="005F62F4">
        <w:t>Table </w:t>
      </w:r>
      <w:r w:rsidR="005606BF">
        <w:t>6</w:t>
      </w:r>
      <w:r w:rsidRPr="005F62F4">
        <w:fldChar w:fldCharType="end"/>
      </w:r>
      <w:r w:rsidRPr="005F62F4">
        <w:t xml:space="preserve"> and </w:t>
      </w:r>
      <w:r w:rsidR="001C28D3" w:rsidRPr="005F62F4">
        <w:fldChar w:fldCharType="begin"/>
      </w:r>
      <w:r w:rsidR="001C28D3" w:rsidRPr="005F62F4">
        <w:instrText xml:space="preserve"> REF _Ref119871153 \h </w:instrText>
      </w:r>
      <w:r w:rsidRPr="005F62F4">
        <w:instrText xml:space="preserve"> \* MERGEFORMAT </w:instrText>
      </w:r>
      <w:r w:rsidR="001C28D3" w:rsidRPr="005F62F4">
        <w:fldChar w:fldCharType="separate"/>
      </w:r>
      <w:r w:rsidR="005606BF" w:rsidRPr="005F62F4">
        <w:t>Table </w:t>
      </w:r>
      <w:r w:rsidR="005606BF">
        <w:t>7</w:t>
      </w:r>
      <w:r w:rsidR="001C28D3" w:rsidRPr="005F62F4">
        <w:fldChar w:fldCharType="end"/>
      </w:r>
      <w:r w:rsidR="00E63156" w:rsidRPr="005F62F4">
        <w:t xml:space="preserve"> show</w:t>
      </w:r>
      <w:r w:rsidR="004C6F11" w:rsidRPr="005F62F4">
        <w:t xml:space="preserve"> that</w:t>
      </w:r>
      <w:r w:rsidR="00FA26A0" w:rsidRPr="005F62F4">
        <w:t xml:space="preserve"> </w:t>
      </w:r>
      <w:r w:rsidR="001B59EB" w:rsidRPr="005F62F4">
        <w:t xml:space="preserve">on average, </w:t>
      </w:r>
      <w:r w:rsidR="00965EE2" w:rsidRPr="005F62F4">
        <w:t>patients had a single</w:t>
      </w:r>
      <w:r w:rsidR="00FA26A0" w:rsidRPr="005F62F4">
        <w:t xml:space="preserve"> hospital </w:t>
      </w:r>
      <w:r w:rsidR="00965EE2" w:rsidRPr="005F62F4">
        <w:t>separation</w:t>
      </w:r>
      <w:r w:rsidR="004C6F11" w:rsidRPr="005F62F4">
        <w:t xml:space="preserve"> but </w:t>
      </w:r>
      <w:r w:rsidR="00125383" w:rsidRPr="005F62F4">
        <w:t xml:space="preserve">more than one </w:t>
      </w:r>
      <w:proofErr w:type="spellStart"/>
      <w:r w:rsidR="001B59EB" w:rsidRPr="005F62F4">
        <w:t>biomodel</w:t>
      </w:r>
      <w:proofErr w:type="spellEnd"/>
      <w:r w:rsidR="001B59EB" w:rsidRPr="005F62F4">
        <w:t xml:space="preserve"> or surgical guide</w:t>
      </w:r>
      <w:r w:rsidR="00C06F5C" w:rsidRPr="005F62F4">
        <w:t xml:space="preserve"> used</w:t>
      </w:r>
      <w:r w:rsidR="00FE0A2B" w:rsidRPr="005F62F4">
        <w:t>, with</w:t>
      </w:r>
      <w:r w:rsidR="00730F36" w:rsidRPr="005F62F4">
        <w:t xml:space="preserve"> a</w:t>
      </w:r>
      <w:r w:rsidR="00FE0A2B" w:rsidRPr="005F62F4">
        <w:t xml:space="preserve"> </w:t>
      </w:r>
      <w:r w:rsidR="000642A9" w:rsidRPr="005F62F4">
        <w:t xml:space="preserve">marked </w:t>
      </w:r>
      <w:r w:rsidR="00730F36" w:rsidRPr="005F62F4">
        <w:t>variability in</w:t>
      </w:r>
      <w:r w:rsidR="000642A9" w:rsidRPr="005F62F4">
        <w:t xml:space="preserve"> </w:t>
      </w:r>
      <w:r w:rsidR="00FE0A2B" w:rsidRPr="005F62F4">
        <w:t xml:space="preserve">the </w:t>
      </w:r>
      <w:r w:rsidR="00EF76F9" w:rsidRPr="005F62F4">
        <w:t>average number of</w:t>
      </w:r>
      <w:r w:rsidR="0067411E" w:rsidRPr="005F62F4">
        <w:t xml:space="preserve"> </w:t>
      </w:r>
      <w:r w:rsidR="00730F36" w:rsidRPr="005F62F4">
        <w:t>items</w:t>
      </w:r>
      <w:r w:rsidR="0067411E" w:rsidRPr="005F62F4">
        <w:t xml:space="preserve"> to </w:t>
      </w:r>
      <w:r w:rsidR="00FE0A2B" w:rsidRPr="005F62F4">
        <w:t>patient</w:t>
      </w:r>
      <w:r w:rsidR="00696B08" w:rsidRPr="005F62F4">
        <w:t>s</w:t>
      </w:r>
      <w:r w:rsidR="00FE0A2B" w:rsidRPr="005F62F4">
        <w:t xml:space="preserve"> </w:t>
      </w:r>
      <w:r w:rsidR="0067411E" w:rsidRPr="005F62F4">
        <w:t>and</w:t>
      </w:r>
      <w:r w:rsidR="00FE0A2B" w:rsidRPr="005F62F4">
        <w:t xml:space="preserve"> separation</w:t>
      </w:r>
      <w:r w:rsidR="00696B08" w:rsidRPr="005F62F4">
        <w:t xml:space="preserve">s </w:t>
      </w:r>
      <w:r w:rsidR="000642A9" w:rsidRPr="005F62F4">
        <w:t>over time</w:t>
      </w:r>
      <w:r w:rsidR="002F3609" w:rsidRPr="005F62F4">
        <w:t>.</w:t>
      </w:r>
      <w:r w:rsidR="001B59EB" w:rsidRPr="005F62F4">
        <w:t xml:space="preserve"> </w:t>
      </w:r>
      <w:r w:rsidR="00E15995" w:rsidRPr="005F62F4">
        <w:t xml:space="preserve">Where patient </w:t>
      </w:r>
      <w:r w:rsidR="001B59EB" w:rsidRPr="005F62F4">
        <w:t xml:space="preserve">and </w:t>
      </w:r>
      <w:r w:rsidR="00E15995" w:rsidRPr="005F62F4">
        <w:t>hospital separation</w:t>
      </w:r>
      <w:r w:rsidR="001B59EB" w:rsidRPr="005F62F4">
        <w:t xml:space="preserve"> numbers differ</w:t>
      </w:r>
      <w:r w:rsidR="00C61526" w:rsidRPr="005F62F4">
        <w:t>,</w:t>
      </w:r>
      <w:r w:rsidR="001B59EB" w:rsidRPr="005F62F4">
        <w:t xml:space="preserve"> this may be due to</w:t>
      </w:r>
      <w:r w:rsidR="00C61526" w:rsidRPr="005F62F4">
        <w:t xml:space="preserve"> </w:t>
      </w:r>
      <w:r w:rsidR="00965EE2" w:rsidRPr="005F62F4">
        <w:t xml:space="preserve">planned or unplanned </w:t>
      </w:r>
      <w:r w:rsidR="001B59EB" w:rsidRPr="005F62F4">
        <w:t>readmissions</w:t>
      </w:r>
      <w:r w:rsidR="00735898" w:rsidRPr="005F62F4">
        <w:t xml:space="preserve"> and/or patients </w:t>
      </w:r>
      <w:r w:rsidR="003C5FCC" w:rsidRPr="005F62F4">
        <w:t>chang</w:t>
      </w:r>
      <w:r w:rsidR="00735898" w:rsidRPr="005F62F4">
        <w:t>ing</w:t>
      </w:r>
      <w:r w:rsidR="003C5FCC" w:rsidRPr="005F62F4">
        <w:t xml:space="preserve"> insurer</w:t>
      </w:r>
      <w:r w:rsidR="00735898" w:rsidRPr="005F62F4">
        <w:t xml:space="preserve"> (in which case</w:t>
      </w:r>
      <w:r w:rsidR="003C5FCC" w:rsidRPr="005F62F4">
        <w:t xml:space="preserve"> they would be allocated a new patient </w:t>
      </w:r>
      <w:r w:rsidR="00534D9A" w:rsidRPr="005F62F4">
        <w:t>identification number</w:t>
      </w:r>
      <w:r w:rsidR="003C5FCC" w:rsidRPr="005F62F4">
        <w:t xml:space="preserve"> </w:t>
      </w:r>
      <w:r w:rsidR="00735898" w:rsidRPr="005F62F4">
        <w:t>that is</w:t>
      </w:r>
      <w:r w:rsidR="003C5FCC" w:rsidRPr="005F62F4">
        <w:t xml:space="preserve"> not linked to </w:t>
      </w:r>
      <w:r w:rsidR="00735898" w:rsidRPr="005F62F4">
        <w:t>their</w:t>
      </w:r>
      <w:r w:rsidR="003C5FCC" w:rsidRPr="005F62F4">
        <w:t xml:space="preserve"> previous records</w:t>
      </w:r>
      <w:r w:rsidR="00735898" w:rsidRPr="005F62F4">
        <w:t>)</w:t>
      </w:r>
      <w:r w:rsidR="003C5FCC" w:rsidRPr="005F62F4">
        <w:t>.</w:t>
      </w:r>
    </w:p>
    <w:p w14:paraId="522A3923" w14:textId="5E99FFD6" w:rsidR="002E0C0C" w:rsidRPr="005F62F4" w:rsidRDefault="00E56C05" w:rsidP="002E0C0C">
      <w:pPr>
        <w:pStyle w:val="Caption"/>
      </w:pPr>
      <w:bookmarkStart w:id="164" w:name="_Ref119871130"/>
      <w:bookmarkStart w:id="165" w:name="_Toc129954643"/>
      <w:r w:rsidRPr="005F62F4">
        <w:t>Table </w:t>
      </w:r>
      <w:r w:rsidRPr="005F62F4">
        <w:fldChar w:fldCharType="begin"/>
      </w:r>
      <w:r w:rsidRPr="005F62F4">
        <w:instrText>SEQ Table \* ARABIC</w:instrText>
      </w:r>
      <w:r w:rsidRPr="005F62F4">
        <w:fldChar w:fldCharType="separate"/>
      </w:r>
      <w:r w:rsidR="005606BF">
        <w:rPr>
          <w:noProof/>
        </w:rPr>
        <w:t>6</w:t>
      </w:r>
      <w:r w:rsidRPr="005F62F4">
        <w:fldChar w:fldCharType="end"/>
      </w:r>
      <w:bookmarkEnd w:id="164"/>
      <w:r w:rsidR="002E0C0C" w:rsidRPr="005F62F4">
        <w:t xml:space="preserve">: </w:t>
      </w:r>
      <w:proofErr w:type="spellStart"/>
      <w:r w:rsidR="002E0C0C" w:rsidRPr="005F62F4">
        <w:t>Biomodel</w:t>
      </w:r>
      <w:proofErr w:type="spellEnd"/>
      <w:r w:rsidR="002E0C0C" w:rsidRPr="005F62F4">
        <w:t xml:space="preserve"> utilisation by financial year</w:t>
      </w:r>
      <w:bookmarkEnd w:id="165"/>
    </w:p>
    <w:tbl>
      <w:tblPr>
        <w:tblStyle w:val="SGB"/>
        <w:tblW w:w="5104" w:type="pct"/>
        <w:tblLayout w:type="fixed"/>
        <w:tblLook w:val="0420" w:firstRow="1" w:lastRow="0" w:firstColumn="0" w:lastColumn="0" w:noHBand="0" w:noVBand="1"/>
      </w:tblPr>
      <w:tblGrid>
        <w:gridCol w:w="2346"/>
        <w:gridCol w:w="898"/>
        <w:gridCol w:w="898"/>
        <w:gridCol w:w="897"/>
        <w:gridCol w:w="897"/>
        <w:gridCol w:w="897"/>
        <w:gridCol w:w="897"/>
        <w:gridCol w:w="897"/>
        <w:gridCol w:w="899"/>
      </w:tblGrid>
      <w:tr w:rsidR="00100309" w:rsidRPr="005F62F4" w14:paraId="5DBDB94E" w14:textId="77777777" w:rsidTr="00B10841">
        <w:trPr>
          <w:cnfStyle w:val="100000000000" w:firstRow="1" w:lastRow="0" w:firstColumn="0" w:lastColumn="0" w:oddVBand="0" w:evenVBand="0" w:oddHBand="0" w:evenHBand="0" w:firstRowFirstColumn="0" w:firstRowLastColumn="0" w:lastRowFirstColumn="0" w:lastRowLastColumn="0"/>
          <w:trHeight w:val="411"/>
        </w:trPr>
        <w:tc>
          <w:tcPr>
            <w:tcW w:w="1231" w:type="pct"/>
          </w:tcPr>
          <w:p w14:paraId="56469657" w14:textId="303146F9" w:rsidR="0066710F" w:rsidRPr="005F62F4" w:rsidRDefault="009C220D" w:rsidP="009C220D">
            <w:pPr>
              <w:pStyle w:val="TableText"/>
            </w:pPr>
            <w:bookmarkStart w:id="166" w:name="Title_8" w:colFirst="0" w:colLast="0"/>
            <w:r w:rsidRPr="005F62F4">
              <w:t>Measure</w:t>
            </w:r>
          </w:p>
        </w:tc>
        <w:tc>
          <w:tcPr>
            <w:tcW w:w="471" w:type="pct"/>
          </w:tcPr>
          <w:p w14:paraId="6D027154" w14:textId="0353F4D6" w:rsidR="0066710F" w:rsidRPr="005F62F4" w:rsidRDefault="0066710F" w:rsidP="009C220D">
            <w:pPr>
              <w:pStyle w:val="TableTextRight"/>
              <w:rPr>
                <w:szCs w:val="18"/>
                <w:lang w:val="en-AU"/>
              </w:rPr>
            </w:pPr>
            <w:r w:rsidRPr="005F62F4">
              <w:rPr>
                <w:szCs w:val="18"/>
                <w:lang w:val="en-AU"/>
              </w:rPr>
              <w:t>2013</w:t>
            </w:r>
            <w:r w:rsidR="00D5062C" w:rsidRPr="005F62F4">
              <w:rPr>
                <w:szCs w:val="18"/>
                <w:lang w:val="en-AU"/>
              </w:rPr>
              <w:t>–</w:t>
            </w:r>
            <w:r w:rsidRPr="005F62F4">
              <w:rPr>
                <w:szCs w:val="18"/>
                <w:lang w:val="en-AU"/>
              </w:rPr>
              <w:t>14</w:t>
            </w:r>
          </w:p>
        </w:tc>
        <w:tc>
          <w:tcPr>
            <w:tcW w:w="471" w:type="pct"/>
          </w:tcPr>
          <w:p w14:paraId="11C288AC" w14:textId="704B9B6F" w:rsidR="0066710F" w:rsidRPr="005F62F4" w:rsidRDefault="0066710F" w:rsidP="009C220D">
            <w:pPr>
              <w:pStyle w:val="TableTextRight"/>
              <w:rPr>
                <w:szCs w:val="18"/>
                <w:lang w:val="en-AU"/>
              </w:rPr>
            </w:pPr>
            <w:r w:rsidRPr="005F62F4">
              <w:rPr>
                <w:szCs w:val="18"/>
                <w:lang w:val="en-AU"/>
              </w:rPr>
              <w:t>2014</w:t>
            </w:r>
            <w:r w:rsidR="00D5062C" w:rsidRPr="005F62F4">
              <w:rPr>
                <w:szCs w:val="18"/>
                <w:lang w:val="en-AU"/>
              </w:rPr>
              <w:t>–</w:t>
            </w:r>
            <w:r w:rsidRPr="005F62F4">
              <w:rPr>
                <w:szCs w:val="18"/>
              </w:rPr>
              <w:t>15</w:t>
            </w:r>
          </w:p>
        </w:tc>
        <w:tc>
          <w:tcPr>
            <w:tcW w:w="471" w:type="pct"/>
          </w:tcPr>
          <w:p w14:paraId="6F01EA59" w14:textId="70A7578B" w:rsidR="0066710F" w:rsidRPr="005F62F4" w:rsidRDefault="0066710F" w:rsidP="009C220D">
            <w:pPr>
              <w:pStyle w:val="TableTextRight"/>
              <w:rPr>
                <w:szCs w:val="18"/>
                <w:lang w:val="en-AU"/>
              </w:rPr>
            </w:pPr>
            <w:r w:rsidRPr="005F62F4">
              <w:rPr>
                <w:szCs w:val="18"/>
                <w:lang w:val="en-AU"/>
              </w:rPr>
              <w:t>2015</w:t>
            </w:r>
            <w:r w:rsidR="00D5062C" w:rsidRPr="005F62F4">
              <w:rPr>
                <w:szCs w:val="18"/>
                <w:lang w:val="en-AU"/>
              </w:rPr>
              <w:t>–</w:t>
            </w:r>
            <w:r w:rsidRPr="005F62F4">
              <w:rPr>
                <w:szCs w:val="18"/>
                <w:lang w:val="en-AU"/>
              </w:rPr>
              <w:t>16</w:t>
            </w:r>
          </w:p>
        </w:tc>
        <w:tc>
          <w:tcPr>
            <w:tcW w:w="471" w:type="pct"/>
          </w:tcPr>
          <w:p w14:paraId="37885D8E" w14:textId="13A2A933" w:rsidR="0066710F" w:rsidRPr="005F62F4" w:rsidRDefault="0066710F" w:rsidP="009C220D">
            <w:pPr>
              <w:pStyle w:val="TableTextRight"/>
              <w:rPr>
                <w:szCs w:val="18"/>
                <w:lang w:val="en-AU"/>
              </w:rPr>
            </w:pPr>
            <w:r w:rsidRPr="005F62F4">
              <w:rPr>
                <w:szCs w:val="18"/>
                <w:lang w:val="en-AU"/>
              </w:rPr>
              <w:t>2016</w:t>
            </w:r>
            <w:r w:rsidR="00D5062C" w:rsidRPr="005F62F4">
              <w:rPr>
                <w:szCs w:val="18"/>
                <w:lang w:val="en-AU"/>
              </w:rPr>
              <w:t>–</w:t>
            </w:r>
            <w:r w:rsidRPr="005F62F4">
              <w:rPr>
                <w:szCs w:val="18"/>
                <w:lang w:val="en-AU"/>
              </w:rPr>
              <w:t>17</w:t>
            </w:r>
          </w:p>
        </w:tc>
        <w:tc>
          <w:tcPr>
            <w:tcW w:w="471" w:type="pct"/>
          </w:tcPr>
          <w:p w14:paraId="0579E8EE" w14:textId="35A78DE4" w:rsidR="0066710F" w:rsidRPr="005F62F4" w:rsidRDefault="0066710F" w:rsidP="009C220D">
            <w:pPr>
              <w:pStyle w:val="TableTextRight"/>
              <w:rPr>
                <w:szCs w:val="18"/>
                <w:lang w:val="en-AU"/>
              </w:rPr>
            </w:pPr>
            <w:r w:rsidRPr="005F62F4">
              <w:rPr>
                <w:szCs w:val="18"/>
                <w:lang w:val="en-AU"/>
              </w:rPr>
              <w:t>2017</w:t>
            </w:r>
            <w:r w:rsidR="00D5062C" w:rsidRPr="005F62F4">
              <w:rPr>
                <w:szCs w:val="18"/>
                <w:lang w:val="en-AU"/>
              </w:rPr>
              <w:t>–</w:t>
            </w:r>
            <w:r w:rsidRPr="005F62F4">
              <w:rPr>
                <w:szCs w:val="18"/>
                <w:lang w:val="en-AU"/>
              </w:rPr>
              <w:t>18</w:t>
            </w:r>
          </w:p>
        </w:tc>
        <w:tc>
          <w:tcPr>
            <w:tcW w:w="471" w:type="pct"/>
          </w:tcPr>
          <w:p w14:paraId="30E9ABDB" w14:textId="72155195" w:rsidR="0066710F" w:rsidRPr="005F62F4" w:rsidRDefault="0066710F" w:rsidP="009C220D">
            <w:pPr>
              <w:pStyle w:val="TableTextRight"/>
              <w:rPr>
                <w:szCs w:val="18"/>
                <w:lang w:val="en-AU"/>
              </w:rPr>
            </w:pPr>
            <w:r w:rsidRPr="005F62F4">
              <w:rPr>
                <w:szCs w:val="18"/>
                <w:lang w:val="en-AU"/>
              </w:rPr>
              <w:t>2018</w:t>
            </w:r>
            <w:r w:rsidR="00D5062C" w:rsidRPr="005F62F4">
              <w:rPr>
                <w:szCs w:val="18"/>
                <w:lang w:val="en-AU"/>
              </w:rPr>
              <w:t>–</w:t>
            </w:r>
            <w:r w:rsidRPr="005F62F4">
              <w:rPr>
                <w:szCs w:val="18"/>
                <w:lang w:val="en-AU"/>
              </w:rPr>
              <w:t>19</w:t>
            </w:r>
          </w:p>
        </w:tc>
        <w:tc>
          <w:tcPr>
            <w:tcW w:w="471" w:type="pct"/>
          </w:tcPr>
          <w:p w14:paraId="0F72CFA5" w14:textId="1F4796F3" w:rsidR="0066710F" w:rsidRPr="005F62F4" w:rsidRDefault="0066710F" w:rsidP="009C220D">
            <w:pPr>
              <w:pStyle w:val="TableTextRight"/>
              <w:rPr>
                <w:szCs w:val="18"/>
                <w:lang w:val="en-AU"/>
              </w:rPr>
            </w:pPr>
            <w:r w:rsidRPr="005F62F4">
              <w:rPr>
                <w:szCs w:val="18"/>
                <w:lang w:val="en-AU"/>
              </w:rPr>
              <w:t>2019</w:t>
            </w:r>
            <w:r w:rsidR="00D5062C" w:rsidRPr="005F62F4">
              <w:rPr>
                <w:szCs w:val="18"/>
                <w:lang w:val="en-AU"/>
              </w:rPr>
              <w:t>–</w:t>
            </w:r>
            <w:r w:rsidRPr="005F62F4">
              <w:rPr>
                <w:szCs w:val="18"/>
                <w:lang w:val="en-AU"/>
              </w:rPr>
              <w:t>20</w:t>
            </w:r>
          </w:p>
        </w:tc>
        <w:tc>
          <w:tcPr>
            <w:tcW w:w="472" w:type="pct"/>
          </w:tcPr>
          <w:p w14:paraId="4294B3AD" w14:textId="3192E88E" w:rsidR="0066710F" w:rsidRPr="005F62F4" w:rsidRDefault="0066710F" w:rsidP="009C220D">
            <w:pPr>
              <w:pStyle w:val="TableTextRight"/>
              <w:rPr>
                <w:szCs w:val="18"/>
                <w:lang w:val="en-AU"/>
              </w:rPr>
            </w:pPr>
            <w:r w:rsidRPr="005F62F4">
              <w:rPr>
                <w:szCs w:val="18"/>
                <w:lang w:val="en-AU"/>
              </w:rPr>
              <w:t>2020</w:t>
            </w:r>
            <w:r w:rsidR="00D5062C" w:rsidRPr="005F62F4">
              <w:rPr>
                <w:szCs w:val="18"/>
                <w:lang w:val="en-AU"/>
              </w:rPr>
              <w:t>–</w:t>
            </w:r>
            <w:r w:rsidRPr="005F62F4">
              <w:rPr>
                <w:szCs w:val="18"/>
                <w:lang w:val="en-AU"/>
              </w:rPr>
              <w:t>21</w:t>
            </w:r>
          </w:p>
        </w:tc>
      </w:tr>
      <w:bookmarkEnd w:id="166"/>
      <w:tr w:rsidR="001E5E40" w:rsidRPr="005F62F4" w14:paraId="6DB28CC4" w14:textId="77777777" w:rsidTr="007B68F6">
        <w:trPr>
          <w:trHeight w:val="170"/>
        </w:trPr>
        <w:tc>
          <w:tcPr>
            <w:tcW w:w="1231" w:type="pct"/>
          </w:tcPr>
          <w:p w14:paraId="3E4DF73C" w14:textId="7EACD005" w:rsidR="001E5E40" w:rsidRPr="005F62F4" w:rsidRDefault="001E5E40" w:rsidP="001E5E40">
            <w:pPr>
              <w:pStyle w:val="Tabletextkeep"/>
            </w:pPr>
            <w:r w:rsidRPr="005F62F4">
              <w:t>Number of items</w:t>
            </w:r>
          </w:p>
        </w:tc>
        <w:tc>
          <w:tcPr>
            <w:tcW w:w="471" w:type="pct"/>
          </w:tcPr>
          <w:p w14:paraId="75B36276" w14:textId="6A7AAC17" w:rsidR="001E5E40" w:rsidRPr="005F62F4" w:rsidRDefault="001E5E40" w:rsidP="001E5E40">
            <w:pPr>
              <w:pStyle w:val="TableTextRight"/>
              <w:jc w:val="center"/>
              <w:rPr>
                <w:lang w:val="en-AU"/>
              </w:rPr>
            </w:pPr>
            <w:r w:rsidRPr="001E5E40">
              <w:rPr>
                <w:sz w:val="17"/>
                <w:szCs w:val="17"/>
              </w:rPr>
              <w:t>[redacted]</w:t>
            </w:r>
          </w:p>
        </w:tc>
        <w:tc>
          <w:tcPr>
            <w:tcW w:w="471" w:type="pct"/>
          </w:tcPr>
          <w:p w14:paraId="7DD53DAD" w14:textId="7F28E93C" w:rsidR="001E5E40" w:rsidRPr="005F62F4" w:rsidRDefault="001E5E40" w:rsidP="001E5E40">
            <w:pPr>
              <w:pStyle w:val="TableTextRight"/>
              <w:jc w:val="center"/>
              <w:rPr>
                <w:lang w:val="en-AU"/>
              </w:rPr>
            </w:pPr>
            <w:r w:rsidRPr="001E5E40">
              <w:rPr>
                <w:sz w:val="17"/>
                <w:szCs w:val="17"/>
              </w:rPr>
              <w:t>[redacted]</w:t>
            </w:r>
          </w:p>
        </w:tc>
        <w:tc>
          <w:tcPr>
            <w:tcW w:w="471" w:type="pct"/>
          </w:tcPr>
          <w:p w14:paraId="78AC1CF1" w14:textId="5F889ECD" w:rsidR="001E5E40" w:rsidRPr="005F62F4" w:rsidRDefault="001E5E40" w:rsidP="001E5E40">
            <w:pPr>
              <w:pStyle w:val="TableTextRight"/>
              <w:jc w:val="center"/>
              <w:rPr>
                <w:lang w:val="en-AU"/>
              </w:rPr>
            </w:pPr>
            <w:r w:rsidRPr="001E5E40">
              <w:rPr>
                <w:sz w:val="17"/>
                <w:szCs w:val="17"/>
              </w:rPr>
              <w:t>[redacted]</w:t>
            </w:r>
          </w:p>
        </w:tc>
        <w:tc>
          <w:tcPr>
            <w:tcW w:w="471" w:type="pct"/>
          </w:tcPr>
          <w:p w14:paraId="4B4E9FCA" w14:textId="17410FFE" w:rsidR="001E5E40" w:rsidRPr="005F62F4" w:rsidRDefault="001E5E40" w:rsidP="001E5E40">
            <w:pPr>
              <w:pStyle w:val="TableTextRight"/>
              <w:jc w:val="center"/>
              <w:rPr>
                <w:lang w:val="en-AU"/>
              </w:rPr>
            </w:pPr>
            <w:r w:rsidRPr="001E5E40">
              <w:rPr>
                <w:sz w:val="17"/>
                <w:szCs w:val="17"/>
              </w:rPr>
              <w:t>[redacted]</w:t>
            </w:r>
          </w:p>
        </w:tc>
        <w:tc>
          <w:tcPr>
            <w:tcW w:w="471" w:type="pct"/>
          </w:tcPr>
          <w:p w14:paraId="2254E359" w14:textId="0F1DEAF7" w:rsidR="001E5E40" w:rsidRPr="005F62F4" w:rsidRDefault="001E5E40" w:rsidP="001E5E40">
            <w:pPr>
              <w:pStyle w:val="TableTextRight"/>
              <w:rPr>
                <w:lang w:val="en-AU"/>
              </w:rPr>
            </w:pPr>
            <w:r w:rsidRPr="005F62F4">
              <w:rPr>
                <w:lang w:val="en-AU"/>
              </w:rPr>
              <w:t>494</w:t>
            </w:r>
          </w:p>
        </w:tc>
        <w:tc>
          <w:tcPr>
            <w:tcW w:w="471" w:type="pct"/>
          </w:tcPr>
          <w:p w14:paraId="2DA29471" w14:textId="555E18A7" w:rsidR="001E5E40" w:rsidRPr="005F62F4" w:rsidRDefault="001E5E40" w:rsidP="001E5E40">
            <w:pPr>
              <w:pStyle w:val="TableTextRight"/>
              <w:rPr>
                <w:lang w:val="en-AU"/>
              </w:rPr>
            </w:pPr>
            <w:r w:rsidRPr="005F62F4">
              <w:rPr>
                <w:lang w:val="en-AU"/>
              </w:rPr>
              <w:t>947</w:t>
            </w:r>
          </w:p>
        </w:tc>
        <w:tc>
          <w:tcPr>
            <w:tcW w:w="471" w:type="pct"/>
          </w:tcPr>
          <w:p w14:paraId="512574FD" w14:textId="3C4CB3DE" w:rsidR="001E5E40" w:rsidRPr="005F62F4" w:rsidRDefault="001E5E40" w:rsidP="001E5E40">
            <w:pPr>
              <w:pStyle w:val="TableTextRight"/>
              <w:rPr>
                <w:lang w:val="en-AU"/>
              </w:rPr>
            </w:pPr>
            <w:r w:rsidRPr="005F62F4">
              <w:rPr>
                <w:lang w:val="en-AU"/>
              </w:rPr>
              <w:t>1,290</w:t>
            </w:r>
          </w:p>
        </w:tc>
        <w:tc>
          <w:tcPr>
            <w:tcW w:w="472" w:type="pct"/>
          </w:tcPr>
          <w:p w14:paraId="2505E1C2" w14:textId="4640F973" w:rsidR="001E5E40" w:rsidRPr="005F62F4" w:rsidRDefault="001E5E40" w:rsidP="001E5E40">
            <w:pPr>
              <w:pStyle w:val="TableTextRight"/>
              <w:rPr>
                <w:lang w:val="en-AU"/>
              </w:rPr>
            </w:pPr>
            <w:r w:rsidRPr="005F62F4">
              <w:rPr>
                <w:lang w:val="en-AU"/>
              </w:rPr>
              <w:t>2,445</w:t>
            </w:r>
          </w:p>
        </w:tc>
      </w:tr>
      <w:tr w:rsidR="001E5E40" w:rsidRPr="005F62F4" w14:paraId="082B93BD" w14:textId="77777777" w:rsidTr="007B68F6">
        <w:trPr>
          <w:cnfStyle w:val="000000010000" w:firstRow="0" w:lastRow="0" w:firstColumn="0" w:lastColumn="0" w:oddVBand="0" w:evenVBand="0" w:oddHBand="0" w:evenHBand="1" w:firstRowFirstColumn="0" w:firstRowLastColumn="0" w:lastRowFirstColumn="0" w:lastRowLastColumn="0"/>
          <w:trHeight w:val="170"/>
        </w:trPr>
        <w:tc>
          <w:tcPr>
            <w:tcW w:w="1231" w:type="pct"/>
          </w:tcPr>
          <w:p w14:paraId="75CF2B5E" w14:textId="58958F04" w:rsidR="001E5E40" w:rsidRPr="005F62F4" w:rsidRDefault="001E5E40" w:rsidP="001E5E40">
            <w:pPr>
              <w:pStyle w:val="Tabletextkeep"/>
            </w:pPr>
            <w:r w:rsidRPr="005F62F4">
              <w:t>Number of patients</w:t>
            </w:r>
          </w:p>
        </w:tc>
        <w:tc>
          <w:tcPr>
            <w:tcW w:w="471" w:type="pct"/>
          </w:tcPr>
          <w:p w14:paraId="11B1BD56" w14:textId="360F3DDE" w:rsidR="001E5E40" w:rsidRPr="005F62F4" w:rsidRDefault="001E5E40" w:rsidP="001E5E40">
            <w:pPr>
              <w:pStyle w:val="TableTextRight"/>
              <w:jc w:val="center"/>
              <w:rPr>
                <w:lang w:val="en-AU"/>
              </w:rPr>
            </w:pPr>
            <w:r w:rsidRPr="001E5E40">
              <w:rPr>
                <w:sz w:val="17"/>
                <w:szCs w:val="17"/>
              </w:rPr>
              <w:t>[redacted]</w:t>
            </w:r>
          </w:p>
        </w:tc>
        <w:tc>
          <w:tcPr>
            <w:tcW w:w="471" w:type="pct"/>
          </w:tcPr>
          <w:p w14:paraId="6AB956F2" w14:textId="01C54924" w:rsidR="001E5E40" w:rsidRPr="005F62F4" w:rsidRDefault="001E5E40" w:rsidP="001E5E40">
            <w:pPr>
              <w:pStyle w:val="TableTextRight"/>
              <w:jc w:val="center"/>
              <w:rPr>
                <w:lang w:val="en-AU"/>
              </w:rPr>
            </w:pPr>
            <w:r w:rsidRPr="001E5E40">
              <w:rPr>
                <w:sz w:val="17"/>
                <w:szCs w:val="17"/>
              </w:rPr>
              <w:t>[redacted]</w:t>
            </w:r>
          </w:p>
        </w:tc>
        <w:tc>
          <w:tcPr>
            <w:tcW w:w="471" w:type="pct"/>
          </w:tcPr>
          <w:p w14:paraId="63495F6C" w14:textId="0893953E" w:rsidR="001E5E40" w:rsidRPr="005F62F4" w:rsidRDefault="001E5E40" w:rsidP="001E5E40">
            <w:pPr>
              <w:pStyle w:val="TableTextRight"/>
              <w:jc w:val="center"/>
              <w:rPr>
                <w:lang w:val="en-AU"/>
              </w:rPr>
            </w:pPr>
            <w:r w:rsidRPr="001E5E40">
              <w:rPr>
                <w:sz w:val="17"/>
                <w:szCs w:val="17"/>
              </w:rPr>
              <w:t>[redacted]</w:t>
            </w:r>
          </w:p>
        </w:tc>
        <w:tc>
          <w:tcPr>
            <w:tcW w:w="471" w:type="pct"/>
          </w:tcPr>
          <w:p w14:paraId="778957BB" w14:textId="20D1109E" w:rsidR="001E5E40" w:rsidRPr="005F62F4" w:rsidRDefault="001E5E40" w:rsidP="001E5E40">
            <w:pPr>
              <w:pStyle w:val="TableTextRight"/>
              <w:jc w:val="center"/>
              <w:rPr>
                <w:lang w:val="en-AU"/>
              </w:rPr>
            </w:pPr>
            <w:r w:rsidRPr="001E5E40">
              <w:rPr>
                <w:sz w:val="17"/>
                <w:szCs w:val="17"/>
              </w:rPr>
              <w:t>[redacted]</w:t>
            </w:r>
          </w:p>
        </w:tc>
        <w:tc>
          <w:tcPr>
            <w:tcW w:w="471" w:type="pct"/>
          </w:tcPr>
          <w:p w14:paraId="6AF79C41" w14:textId="78F209D2" w:rsidR="001E5E40" w:rsidRPr="005F62F4" w:rsidRDefault="001E5E40" w:rsidP="001E5E40">
            <w:pPr>
              <w:pStyle w:val="TableTextRight"/>
              <w:rPr>
                <w:lang w:val="en-AU"/>
              </w:rPr>
            </w:pPr>
            <w:r w:rsidRPr="005F62F4">
              <w:rPr>
                <w:lang w:val="en-AU"/>
              </w:rPr>
              <w:t>265</w:t>
            </w:r>
          </w:p>
        </w:tc>
        <w:tc>
          <w:tcPr>
            <w:tcW w:w="471" w:type="pct"/>
          </w:tcPr>
          <w:p w14:paraId="383259EE" w14:textId="0EA39607" w:rsidR="001E5E40" w:rsidRPr="005F62F4" w:rsidRDefault="001E5E40" w:rsidP="001E5E40">
            <w:pPr>
              <w:pStyle w:val="TableTextRight"/>
              <w:rPr>
                <w:lang w:val="en-AU"/>
              </w:rPr>
            </w:pPr>
            <w:r w:rsidRPr="005F62F4">
              <w:rPr>
                <w:lang w:val="en-AU"/>
              </w:rPr>
              <w:t>429</w:t>
            </w:r>
          </w:p>
        </w:tc>
        <w:tc>
          <w:tcPr>
            <w:tcW w:w="471" w:type="pct"/>
          </w:tcPr>
          <w:p w14:paraId="7EB0E416" w14:textId="220D736E" w:rsidR="001E5E40" w:rsidRPr="005F62F4" w:rsidRDefault="001E5E40" w:rsidP="001E5E40">
            <w:pPr>
              <w:pStyle w:val="TableTextRight"/>
              <w:rPr>
                <w:lang w:val="en-AU"/>
              </w:rPr>
            </w:pPr>
            <w:r w:rsidRPr="005F62F4">
              <w:rPr>
                <w:lang w:val="en-AU"/>
              </w:rPr>
              <w:t>664</w:t>
            </w:r>
          </w:p>
        </w:tc>
        <w:tc>
          <w:tcPr>
            <w:tcW w:w="472" w:type="pct"/>
          </w:tcPr>
          <w:p w14:paraId="632B1E05" w14:textId="5F06F0E5" w:rsidR="001E5E40" w:rsidRPr="005F62F4" w:rsidRDefault="001E5E40" w:rsidP="001E5E40">
            <w:pPr>
              <w:pStyle w:val="TableTextRight"/>
              <w:rPr>
                <w:lang w:val="en-AU"/>
              </w:rPr>
            </w:pPr>
            <w:r w:rsidRPr="005F62F4">
              <w:rPr>
                <w:lang w:val="en-AU"/>
              </w:rPr>
              <w:t>1,337</w:t>
            </w:r>
          </w:p>
        </w:tc>
      </w:tr>
      <w:tr w:rsidR="001E5E40" w:rsidRPr="005F62F4" w14:paraId="6542E40C" w14:textId="77777777" w:rsidTr="007B68F6">
        <w:trPr>
          <w:trHeight w:val="170"/>
        </w:trPr>
        <w:tc>
          <w:tcPr>
            <w:tcW w:w="1231" w:type="pct"/>
          </w:tcPr>
          <w:p w14:paraId="7A37957E" w14:textId="0FE63C55" w:rsidR="001E5E40" w:rsidRPr="005F62F4" w:rsidRDefault="001E5E40" w:rsidP="001E5E40">
            <w:pPr>
              <w:pStyle w:val="Tabletextkeep"/>
              <w:rPr>
                <w:rStyle w:val="Strong"/>
              </w:rPr>
            </w:pPr>
            <w:r w:rsidRPr="005F62F4">
              <w:rPr>
                <w:rStyle w:val="Strong"/>
              </w:rPr>
              <w:t>Average items per patient</w:t>
            </w:r>
          </w:p>
        </w:tc>
        <w:tc>
          <w:tcPr>
            <w:tcW w:w="471" w:type="pct"/>
          </w:tcPr>
          <w:p w14:paraId="13F02AFA" w14:textId="0F774480" w:rsidR="001E5E40" w:rsidRPr="005F62F4" w:rsidRDefault="001E5E40" w:rsidP="001E5E40">
            <w:pPr>
              <w:pStyle w:val="TableTextRight"/>
              <w:jc w:val="center"/>
              <w:rPr>
                <w:rStyle w:val="Strong"/>
              </w:rPr>
            </w:pPr>
            <w:r w:rsidRPr="001E5E40">
              <w:rPr>
                <w:sz w:val="17"/>
                <w:szCs w:val="17"/>
              </w:rPr>
              <w:t>[redacted]</w:t>
            </w:r>
          </w:p>
        </w:tc>
        <w:tc>
          <w:tcPr>
            <w:tcW w:w="471" w:type="pct"/>
          </w:tcPr>
          <w:p w14:paraId="7FAD7E5A" w14:textId="6D8B9530" w:rsidR="001E5E40" w:rsidRPr="005F62F4" w:rsidRDefault="001E5E40" w:rsidP="001E5E40">
            <w:pPr>
              <w:pStyle w:val="TableTextRight"/>
              <w:jc w:val="center"/>
              <w:rPr>
                <w:rStyle w:val="Strong"/>
              </w:rPr>
            </w:pPr>
            <w:r w:rsidRPr="001E5E40">
              <w:rPr>
                <w:sz w:val="17"/>
                <w:szCs w:val="17"/>
              </w:rPr>
              <w:t>[redacted]</w:t>
            </w:r>
          </w:p>
        </w:tc>
        <w:tc>
          <w:tcPr>
            <w:tcW w:w="471" w:type="pct"/>
          </w:tcPr>
          <w:p w14:paraId="3DD5321D" w14:textId="1EE73ADA" w:rsidR="001E5E40" w:rsidRPr="005F62F4" w:rsidRDefault="001E5E40" w:rsidP="001E5E40">
            <w:pPr>
              <w:pStyle w:val="TableTextRight"/>
              <w:jc w:val="center"/>
              <w:rPr>
                <w:rStyle w:val="Strong"/>
              </w:rPr>
            </w:pPr>
            <w:r w:rsidRPr="001E5E40">
              <w:rPr>
                <w:sz w:val="17"/>
                <w:szCs w:val="17"/>
              </w:rPr>
              <w:t>[redacted]</w:t>
            </w:r>
          </w:p>
        </w:tc>
        <w:tc>
          <w:tcPr>
            <w:tcW w:w="471" w:type="pct"/>
          </w:tcPr>
          <w:p w14:paraId="57991808" w14:textId="27C9885A" w:rsidR="001E5E40" w:rsidRPr="005F62F4" w:rsidRDefault="001E5E40" w:rsidP="001E5E40">
            <w:pPr>
              <w:pStyle w:val="TableTextRight"/>
              <w:jc w:val="center"/>
              <w:rPr>
                <w:rStyle w:val="Strong"/>
              </w:rPr>
            </w:pPr>
            <w:r w:rsidRPr="001E5E40">
              <w:rPr>
                <w:sz w:val="17"/>
                <w:szCs w:val="17"/>
              </w:rPr>
              <w:t>[redacted]</w:t>
            </w:r>
          </w:p>
        </w:tc>
        <w:tc>
          <w:tcPr>
            <w:tcW w:w="471" w:type="pct"/>
          </w:tcPr>
          <w:p w14:paraId="273BC439" w14:textId="6DB3E99A" w:rsidR="001E5E40" w:rsidRPr="005F62F4" w:rsidRDefault="001E5E40" w:rsidP="001E5E40">
            <w:pPr>
              <w:pStyle w:val="TableTextRight"/>
              <w:rPr>
                <w:rStyle w:val="Strong"/>
              </w:rPr>
            </w:pPr>
            <w:r w:rsidRPr="005F62F4">
              <w:rPr>
                <w:rStyle w:val="Strong"/>
              </w:rPr>
              <w:t>1.9</w:t>
            </w:r>
          </w:p>
        </w:tc>
        <w:tc>
          <w:tcPr>
            <w:tcW w:w="471" w:type="pct"/>
          </w:tcPr>
          <w:p w14:paraId="3AE385F7" w14:textId="2A159F00" w:rsidR="001E5E40" w:rsidRPr="005F62F4" w:rsidRDefault="001E5E40" w:rsidP="001E5E40">
            <w:pPr>
              <w:pStyle w:val="TableTextRight"/>
              <w:rPr>
                <w:rStyle w:val="Strong"/>
              </w:rPr>
            </w:pPr>
            <w:r w:rsidRPr="005F62F4">
              <w:rPr>
                <w:rStyle w:val="Strong"/>
              </w:rPr>
              <w:t>2.2</w:t>
            </w:r>
          </w:p>
        </w:tc>
        <w:tc>
          <w:tcPr>
            <w:tcW w:w="471" w:type="pct"/>
          </w:tcPr>
          <w:p w14:paraId="4597249B" w14:textId="1A8185C4" w:rsidR="001E5E40" w:rsidRPr="005F62F4" w:rsidRDefault="001E5E40" w:rsidP="001E5E40">
            <w:pPr>
              <w:pStyle w:val="TableTextRight"/>
              <w:rPr>
                <w:rStyle w:val="Strong"/>
              </w:rPr>
            </w:pPr>
            <w:r w:rsidRPr="005F62F4">
              <w:rPr>
                <w:rStyle w:val="Strong"/>
              </w:rPr>
              <w:t>1.9</w:t>
            </w:r>
          </w:p>
        </w:tc>
        <w:tc>
          <w:tcPr>
            <w:tcW w:w="472" w:type="pct"/>
          </w:tcPr>
          <w:p w14:paraId="526419E9" w14:textId="75F55D9B" w:rsidR="001E5E40" w:rsidRPr="005F62F4" w:rsidRDefault="001E5E40" w:rsidP="001E5E40">
            <w:pPr>
              <w:pStyle w:val="TableTextRight"/>
              <w:rPr>
                <w:rStyle w:val="Strong"/>
              </w:rPr>
            </w:pPr>
            <w:r w:rsidRPr="005F62F4">
              <w:rPr>
                <w:rStyle w:val="Strong"/>
              </w:rPr>
              <w:t>1.8</w:t>
            </w:r>
          </w:p>
        </w:tc>
      </w:tr>
      <w:tr w:rsidR="001E5E40" w:rsidRPr="005F62F4" w14:paraId="6E284C89" w14:textId="77777777" w:rsidTr="007B68F6">
        <w:trPr>
          <w:cnfStyle w:val="000000010000" w:firstRow="0" w:lastRow="0" w:firstColumn="0" w:lastColumn="0" w:oddVBand="0" w:evenVBand="0" w:oddHBand="0" w:evenHBand="1" w:firstRowFirstColumn="0" w:firstRowLastColumn="0" w:lastRowFirstColumn="0" w:lastRowLastColumn="0"/>
          <w:trHeight w:val="170"/>
        </w:trPr>
        <w:tc>
          <w:tcPr>
            <w:tcW w:w="1231" w:type="pct"/>
          </w:tcPr>
          <w:p w14:paraId="0ACF7F0C" w14:textId="47582FC3" w:rsidR="001E5E40" w:rsidRPr="005F62F4" w:rsidRDefault="001E5E40" w:rsidP="001E5E40">
            <w:pPr>
              <w:pStyle w:val="Tabletextkeep"/>
            </w:pPr>
            <w:r w:rsidRPr="005F62F4">
              <w:t>Number of separations</w:t>
            </w:r>
          </w:p>
        </w:tc>
        <w:tc>
          <w:tcPr>
            <w:tcW w:w="471" w:type="pct"/>
          </w:tcPr>
          <w:p w14:paraId="0D4DB7C3" w14:textId="79809F49" w:rsidR="001E5E40" w:rsidRPr="005F62F4" w:rsidRDefault="001E5E40" w:rsidP="001E5E40">
            <w:pPr>
              <w:pStyle w:val="TableTextRight"/>
              <w:jc w:val="center"/>
              <w:rPr>
                <w:lang w:val="en-AU"/>
              </w:rPr>
            </w:pPr>
            <w:r w:rsidRPr="001E5E40">
              <w:rPr>
                <w:sz w:val="17"/>
                <w:szCs w:val="17"/>
              </w:rPr>
              <w:t>[redacted]</w:t>
            </w:r>
          </w:p>
        </w:tc>
        <w:tc>
          <w:tcPr>
            <w:tcW w:w="471" w:type="pct"/>
          </w:tcPr>
          <w:p w14:paraId="798F7F24" w14:textId="566BB55F" w:rsidR="001E5E40" w:rsidRPr="005F62F4" w:rsidRDefault="001E5E40" w:rsidP="001E5E40">
            <w:pPr>
              <w:pStyle w:val="TableTextRight"/>
              <w:jc w:val="center"/>
              <w:rPr>
                <w:lang w:val="en-AU"/>
              </w:rPr>
            </w:pPr>
            <w:r w:rsidRPr="001E5E40">
              <w:rPr>
                <w:sz w:val="17"/>
                <w:szCs w:val="17"/>
              </w:rPr>
              <w:t>[redacted]</w:t>
            </w:r>
          </w:p>
        </w:tc>
        <w:tc>
          <w:tcPr>
            <w:tcW w:w="471" w:type="pct"/>
          </w:tcPr>
          <w:p w14:paraId="110D76FA" w14:textId="7D19CF1B" w:rsidR="001E5E40" w:rsidRPr="005F62F4" w:rsidRDefault="001E5E40" w:rsidP="001E5E40">
            <w:pPr>
              <w:pStyle w:val="TableTextRight"/>
              <w:jc w:val="center"/>
              <w:rPr>
                <w:lang w:val="en-AU"/>
              </w:rPr>
            </w:pPr>
            <w:r w:rsidRPr="001E5E40">
              <w:rPr>
                <w:sz w:val="17"/>
                <w:szCs w:val="17"/>
              </w:rPr>
              <w:t>[redacted]</w:t>
            </w:r>
          </w:p>
        </w:tc>
        <w:tc>
          <w:tcPr>
            <w:tcW w:w="471" w:type="pct"/>
          </w:tcPr>
          <w:p w14:paraId="169E8E77" w14:textId="622B3797" w:rsidR="001E5E40" w:rsidRPr="005F62F4" w:rsidRDefault="001E5E40" w:rsidP="001E5E40">
            <w:pPr>
              <w:pStyle w:val="TableTextRight"/>
              <w:jc w:val="center"/>
              <w:rPr>
                <w:lang w:val="en-AU"/>
              </w:rPr>
            </w:pPr>
            <w:r w:rsidRPr="001E5E40">
              <w:rPr>
                <w:sz w:val="17"/>
                <w:szCs w:val="17"/>
              </w:rPr>
              <w:t>[redacted]</w:t>
            </w:r>
          </w:p>
        </w:tc>
        <w:tc>
          <w:tcPr>
            <w:tcW w:w="471" w:type="pct"/>
          </w:tcPr>
          <w:p w14:paraId="5BCC290C" w14:textId="6EA46BC8" w:rsidR="001E5E40" w:rsidRPr="005F62F4" w:rsidRDefault="001E5E40" w:rsidP="001E5E40">
            <w:pPr>
              <w:pStyle w:val="TableTextRight"/>
              <w:rPr>
                <w:lang w:val="en-AU"/>
              </w:rPr>
            </w:pPr>
            <w:r w:rsidRPr="005F62F4">
              <w:rPr>
                <w:lang w:val="en-AU"/>
              </w:rPr>
              <w:t>267</w:t>
            </w:r>
          </w:p>
        </w:tc>
        <w:tc>
          <w:tcPr>
            <w:tcW w:w="471" w:type="pct"/>
          </w:tcPr>
          <w:p w14:paraId="424F8594" w14:textId="0F6B8001" w:rsidR="001E5E40" w:rsidRPr="005F62F4" w:rsidRDefault="001E5E40" w:rsidP="001E5E40">
            <w:pPr>
              <w:pStyle w:val="TableTextRight"/>
              <w:rPr>
                <w:lang w:val="en-AU"/>
              </w:rPr>
            </w:pPr>
            <w:r w:rsidRPr="005F62F4">
              <w:rPr>
                <w:lang w:val="en-AU"/>
              </w:rPr>
              <w:t>442</w:t>
            </w:r>
          </w:p>
        </w:tc>
        <w:tc>
          <w:tcPr>
            <w:tcW w:w="471" w:type="pct"/>
          </w:tcPr>
          <w:p w14:paraId="7FC45EE5" w14:textId="5D4D0A25" w:rsidR="001E5E40" w:rsidRPr="005F62F4" w:rsidRDefault="001E5E40" w:rsidP="001E5E40">
            <w:pPr>
              <w:pStyle w:val="TableTextRight"/>
              <w:rPr>
                <w:lang w:val="en-AU"/>
              </w:rPr>
            </w:pPr>
            <w:r w:rsidRPr="005F62F4">
              <w:rPr>
                <w:lang w:val="en-AU"/>
              </w:rPr>
              <w:t>672</w:t>
            </w:r>
          </w:p>
        </w:tc>
        <w:tc>
          <w:tcPr>
            <w:tcW w:w="472" w:type="pct"/>
          </w:tcPr>
          <w:p w14:paraId="2B79791E" w14:textId="313F35DD" w:rsidR="001E5E40" w:rsidRPr="005F62F4" w:rsidRDefault="001E5E40" w:rsidP="001E5E40">
            <w:pPr>
              <w:pStyle w:val="TableTextRight"/>
              <w:rPr>
                <w:lang w:val="en-AU"/>
              </w:rPr>
            </w:pPr>
            <w:r w:rsidRPr="005F62F4">
              <w:rPr>
                <w:lang w:val="en-AU"/>
              </w:rPr>
              <w:t>1,357</w:t>
            </w:r>
          </w:p>
        </w:tc>
      </w:tr>
      <w:tr w:rsidR="001E5E40" w:rsidRPr="005F62F4" w14:paraId="36C6ADBF" w14:textId="77777777" w:rsidTr="007B68F6">
        <w:trPr>
          <w:trHeight w:val="170"/>
        </w:trPr>
        <w:tc>
          <w:tcPr>
            <w:tcW w:w="1231" w:type="pct"/>
          </w:tcPr>
          <w:p w14:paraId="726905F3" w14:textId="0EA530F8" w:rsidR="001E5E40" w:rsidRPr="005F62F4" w:rsidRDefault="001E5E40" w:rsidP="001E5E40">
            <w:pPr>
              <w:pStyle w:val="TableText"/>
              <w:rPr>
                <w:rStyle w:val="Strong"/>
              </w:rPr>
            </w:pPr>
            <w:r w:rsidRPr="005F62F4">
              <w:rPr>
                <w:rStyle w:val="Strong"/>
              </w:rPr>
              <w:t>Average items per separations</w:t>
            </w:r>
          </w:p>
        </w:tc>
        <w:tc>
          <w:tcPr>
            <w:tcW w:w="471" w:type="pct"/>
          </w:tcPr>
          <w:p w14:paraId="7FD6EA58" w14:textId="2F009491" w:rsidR="001E5E40" w:rsidRPr="005F62F4" w:rsidRDefault="001E5E40" w:rsidP="001E5E40">
            <w:pPr>
              <w:pStyle w:val="TableTextRight"/>
              <w:jc w:val="center"/>
              <w:rPr>
                <w:rStyle w:val="Strong"/>
              </w:rPr>
            </w:pPr>
            <w:r w:rsidRPr="001E5E40">
              <w:rPr>
                <w:sz w:val="17"/>
                <w:szCs w:val="17"/>
              </w:rPr>
              <w:t>[redacted]</w:t>
            </w:r>
          </w:p>
        </w:tc>
        <w:tc>
          <w:tcPr>
            <w:tcW w:w="471" w:type="pct"/>
          </w:tcPr>
          <w:p w14:paraId="72E9261B" w14:textId="44504A0E" w:rsidR="001E5E40" w:rsidRPr="005F62F4" w:rsidRDefault="001E5E40" w:rsidP="001E5E40">
            <w:pPr>
              <w:pStyle w:val="TableTextRight"/>
              <w:jc w:val="center"/>
              <w:rPr>
                <w:rStyle w:val="Strong"/>
              </w:rPr>
            </w:pPr>
            <w:r w:rsidRPr="001E5E40">
              <w:rPr>
                <w:sz w:val="17"/>
                <w:szCs w:val="17"/>
              </w:rPr>
              <w:t>[redacted]</w:t>
            </w:r>
          </w:p>
        </w:tc>
        <w:tc>
          <w:tcPr>
            <w:tcW w:w="471" w:type="pct"/>
          </w:tcPr>
          <w:p w14:paraId="7567C8A0" w14:textId="5735CA95" w:rsidR="001E5E40" w:rsidRPr="005F62F4" w:rsidRDefault="001E5E40" w:rsidP="001E5E40">
            <w:pPr>
              <w:pStyle w:val="TableTextRight"/>
              <w:jc w:val="center"/>
              <w:rPr>
                <w:rStyle w:val="Strong"/>
              </w:rPr>
            </w:pPr>
            <w:r w:rsidRPr="001E5E40">
              <w:rPr>
                <w:sz w:val="17"/>
                <w:szCs w:val="17"/>
              </w:rPr>
              <w:t>[redacted]</w:t>
            </w:r>
          </w:p>
        </w:tc>
        <w:tc>
          <w:tcPr>
            <w:tcW w:w="471" w:type="pct"/>
          </w:tcPr>
          <w:p w14:paraId="75C5A2D6" w14:textId="45A9AB9E" w:rsidR="001E5E40" w:rsidRPr="005F62F4" w:rsidRDefault="001E5E40" w:rsidP="001E5E40">
            <w:pPr>
              <w:pStyle w:val="TableTextRight"/>
              <w:jc w:val="center"/>
              <w:rPr>
                <w:rStyle w:val="Strong"/>
              </w:rPr>
            </w:pPr>
            <w:r w:rsidRPr="001E5E40">
              <w:rPr>
                <w:sz w:val="17"/>
                <w:szCs w:val="17"/>
              </w:rPr>
              <w:t>[redacted]</w:t>
            </w:r>
          </w:p>
        </w:tc>
        <w:tc>
          <w:tcPr>
            <w:tcW w:w="471" w:type="pct"/>
            <w:vAlign w:val="center"/>
          </w:tcPr>
          <w:p w14:paraId="3A04D7F0" w14:textId="1DB025C4" w:rsidR="001E5E40" w:rsidRPr="005F62F4" w:rsidRDefault="001E5E40" w:rsidP="001E5E40">
            <w:pPr>
              <w:pStyle w:val="TableTextRight"/>
              <w:rPr>
                <w:rStyle w:val="Strong"/>
              </w:rPr>
            </w:pPr>
            <w:r w:rsidRPr="005F62F4">
              <w:rPr>
                <w:rStyle w:val="Strong"/>
              </w:rPr>
              <w:t>1.9</w:t>
            </w:r>
          </w:p>
        </w:tc>
        <w:tc>
          <w:tcPr>
            <w:tcW w:w="471" w:type="pct"/>
            <w:vAlign w:val="center"/>
          </w:tcPr>
          <w:p w14:paraId="66DCF71D" w14:textId="09A58C13" w:rsidR="001E5E40" w:rsidRPr="005F62F4" w:rsidRDefault="001E5E40" w:rsidP="001E5E40">
            <w:pPr>
              <w:pStyle w:val="TableTextRight"/>
              <w:rPr>
                <w:rStyle w:val="Strong"/>
              </w:rPr>
            </w:pPr>
            <w:r w:rsidRPr="005F62F4">
              <w:rPr>
                <w:rStyle w:val="Strong"/>
              </w:rPr>
              <w:t>2.1</w:t>
            </w:r>
          </w:p>
        </w:tc>
        <w:tc>
          <w:tcPr>
            <w:tcW w:w="471" w:type="pct"/>
            <w:vAlign w:val="center"/>
          </w:tcPr>
          <w:p w14:paraId="46010713" w14:textId="2EFB6D66" w:rsidR="001E5E40" w:rsidRPr="005F62F4" w:rsidRDefault="001E5E40" w:rsidP="001E5E40">
            <w:pPr>
              <w:pStyle w:val="TableTextRight"/>
              <w:rPr>
                <w:rStyle w:val="Strong"/>
              </w:rPr>
            </w:pPr>
            <w:r w:rsidRPr="005F62F4">
              <w:rPr>
                <w:rStyle w:val="Strong"/>
              </w:rPr>
              <w:t>1.9</w:t>
            </w:r>
          </w:p>
        </w:tc>
        <w:tc>
          <w:tcPr>
            <w:tcW w:w="472" w:type="pct"/>
            <w:vAlign w:val="center"/>
          </w:tcPr>
          <w:p w14:paraId="30794130" w14:textId="7EA0BA3E" w:rsidR="001E5E40" w:rsidRPr="005F62F4" w:rsidRDefault="001E5E40" w:rsidP="001E5E40">
            <w:pPr>
              <w:pStyle w:val="TableTextRight"/>
              <w:keepNext/>
              <w:rPr>
                <w:rStyle w:val="Strong"/>
              </w:rPr>
            </w:pPr>
            <w:r w:rsidRPr="005F62F4">
              <w:rPr>
                <w:rStyle w:val="Strong"/>
              </w:rPr>
              <w:t>1.8</w:t>
            </w:r>
          </w:p>
        </w:tc>
      </w:tr>
    </w:tbl>
    <w:p w14:paraId="00DA82AD" w14:textId="7E190B87" w:rsidR="002E0C0C" w:rsidRPr="005F62F4" w:rsidRDefault="00E56C05" w:rsidP="002E0C0C">
      <w:pPr>
        <w:pStyle w:val="Caption"/>
      </w:pPr>
      <w:bookmarkStart w:id="167" w:name="_Ref119871153"/>
      <w:bookmarkStart w:id="168" w:name="_Toc129954644"/>
      <w:r w:rsidRPr="005F62F4">
        <w:lastRenderedPageBreak/>
        <w:t>Table </w:t>
      </w:r>
      <w:r w:rsidRPr="005F62F4">
        <w:fldChar w:fldCharType="begin"/>
      </w:r>
      <w:r w:rsidRPr="005F62F4">
        <w:instrText>SEQ Table \* ARABIC</w:instrText>
      </w:r>
      <w:r w:rsidRPr="005F62F4">
        <w:fldChar w:fldCharType="separate"/>
      </w:r>
      <w:r w:rsidR="005606BF">
        <w:rPr>
          <w:noProof/>
        </w:rPr>
        <w:t>7</w:t>
      </w:r>
      <w:r w:rsidRPr="005F62F4">
        <w:fldChar w:fldCharType="end"/>
      </w:r>
      <w:bookmarkEnd w:id="167"/>
      <w:r w:rsidR="002E0C0C" w:rsidRPr="005F62F4">
        <w:t>: Surgical guide utilisation by financial year</w:t>
      </w:r>
      <w:bookmarkEnd w:id="168"/>
    </w:p>
    <w:tbl>
      <w:tblPr>
        <w:tblStyle w:val="SGB"/>
        <w:tblW w:w="5104" w:type="pct"/>
        <w:tblLayout w:type="fixed"/>
        <w:tblLook w:val="0420" w:firstRow="1" w:lastRow="0" w:firstColumn="0" w:lastColumn="0" w:noHBand="0" w:noVBand="1"/>
      </w:tblPr>
      <w:tblGrid>
        <w:gridCol w:w="2346"/>
        <w:gridCol w:w="898"/>
        <w:gridCol w:w="898"/>
        <w:gridCol w:w="897"/>
        <w:gridCol w:w="897"/>
        <w:gridCol w:w="897"/>
        <w:gridCol w:w="897"/>
        <w:gridCol w:w="897"/>
        <w:gridCol w:w="899"/>
      </w:tblGrid>
      <w:tr w:rsidR="00D5062C" w:rsidRPr="005F62F4" w14:paraId="4DB1CFDA" w14:textId="77777777" w:rsidTr="00807906">
        <w:trPr>
          <w:cnfStyle w:val="100000000000" w:firstRow="1" w:lastRow="0" w:firstColumn="0" w:lastColumn="0" w:oddVBand="0" w:evenVBand="0" w:oddHBand="0" w:evenHBand="0" w:firstRowFirstColumn="0" w:firstRowLastColumn="0" w:lastRowFirstColumn="0" w:lastRowLastColumn="0"/>
          <w:trHeight w:val="170"/>
        </w:trPr>
        <w:tc>
          <w:tcPr>
            <w:tcW w:w="1231" w:type="pct"/>
          </w:tcPr>
          <w:p w14:paraId="1B0D1F67" w14:textId="349F51F7" w:rsidR="00D5062C" w:rsidRPr="005F62F4" w:rsidRDefault="00D5062C" w:rsidP="00D5062C">
            <w:pPr>
              <w:pStyle w:val="TableText"/>
              <w:rPr>
                <w:rFonts w:cstheme="minorHAnsi"/>
              </w:rPr>
            </w:pPr>
            <w:bookmarkStart w:id="169" w:name="Title_9" w:colFirst="0" w:colLast="0"/>
            <w:r w:rsidRPr="005F62F4">
              <w:t>Measure</w:t>
            </w:r>
          </w:p>
        </w:tc>
        <w:tc>
          <w:tcPr>
            <w:tcW w:w="471" w:type="pct"/>
          </w:tcPr>
          <w:p w14:paraId="617A812A" w14:textId="513F06FC" w:rsidR="00D5062C" w:rsidRPr="005F62F4" w:rsidRDefault="00D5062C" w:rsidP="00D5062C">
            <w:pPr>
              <w:pStyle w:val="TableTextRight"/>
              <w:rPr>
                <w:szCs w:val="18"/>
                <w:lang w:val="en-AU"/>
              </w:rPr>
            </w:pPr>
            <w:r w:rsidRPr="005F62F4">
              <w:rPr>
                <w:szCs w:val="18"/>
                <w:lang w:val="en-AU"/>
              </w:rPr>
              <w:t>2013–14</w:t>
            </w:r>
          </w:p>
        </w:tc>
        <w:tc>
          <w:tcPr>
            <w:tcW w:w="471" w:type="pct"/>
          </w:tcPr>
          <w:p w14:paraId="33BA24CA" w14:textId="4D7F7213" w:rsidR="00D5062C" w:rsidRPr="005F62F4" w:rsidRDefault="00D5062C" w:rsidP="00D5062C">
            <w:pPr>
              <w:pStyle w:val="TableTextRight"/>
              <w:rPr>
                <w:szCs w:val="18"/>
                <w:lang w:val="en-AU"/>
              </w:rPr>
            </w:pPr>
            <w:r w:rsidRPr="005F62F4">
              <w:rPr>
                <w:szCs w:val="18"/>
                <w:lang w:val="en-AU"/>
              </w:rPr>
              <w:t>2014–15</w:t>
            </w:r>
          </w:p>
        </w:tc>
        <w:tc>
          <w:tcPr>
            <w:tcW w:w="471" w:type="pct"/>
          </w:tcPr>
          <w:p w14:paraId="07222EE1" w14:textId="41FF3CA5" w:rsidR="00D5062C" w:rsidRPr="005F62F4" w:rsidRDefault="00D5062C" w:rsidP="00D5062C">
            <w:pPr>
              <w:pStyle w:val="TableTextRight"/>
              <w:rPr>
                <w:szCs w:val="18"/>
                <w:lang w:val="en-AU"/>
              </w:rPr>
            </w:pPr>
            <w:r w:rsidRPr="005F62F4">
              <w:rPr>
                <w:szCs w:val="18"/>
                <w:lang w:val="en-AU"/>
              </w:rPr>
              <w:t>2015–16</w:t>
            </w:r>
          </w:p>
        </w:tc>
        <w:tc>
          <w:tcPr>
            <w:tcW w:w="471" w:type="pct"/>
          </w:tcPr>
          <w:p w14:paraId="456D2AE1" w14:textId="0FEDD1FD" w:rsidR="00D5062C" w:rsidRPr="005F62F4" w:rsidRDefault="00D5062C" w:rsidP="00D5062C">
            <w:pPr>
              <w:pStyle w:val="TableTextRight"/>
              <w:rPr>
                <w:szCs w:val="18"/>
                <w:lang w:val="en-AU"/>
              </w:rPr>
            </w:pPr>
            <w:r w:rsidRPr="005F62F4">
              <w:rPr>
                <w:szCs w:val="18"/>
                <w:lang w:val="en-AU"/>
              </w:rPr>
              <w:t>2016–17</w:t>
            </w:r>
          </w:p>
        </w:tc>
        <w:tc>
          <w:tcPr>
            <w:tcW w:w="471" w:type="pct"/>
          </w:tcPr>
          <w:p w14:paraId="0812DBF9" w14:textId="0303D2F4" w:rsidR="00D5062C" w:rsidRPr="005F62F4" w:rsidRDefault="00D5062C" w:rsidP="00D5062C">
            <w:pPr>
              <w:pStyle w:val="TableTextRight"/>
              <w:rPr>
                <w:szCs w:val="18"/>
                <w:lang w:val="en-AU"/>
              </w:rPr>
            </w:pPr>
            <w:r w:rsidRPr="005F62F4">
              <w:rPr>
                <w:szCs w:val="18"/>
                <w:lang w:val="en-AU"/>
              </w:rPr>
              <w:t>2017–18</w:t>
            </w:r>
          </w:p>
        </w:tc>
        <w:tc>
          <w:tcPr>
            <w:tcW w:w="471" w:type="pct"/>
          </w:tcPr>
          <w:p w14:paraId="568D97F4" w14:textId="2880B8F0" w:rsidR="00D5062C" w:rsidRPr="005F62F4" w:rsidRDefault="00D5062C" w:rsidP="00D5062C">
            <w:pPr>
              <w:pStyle w:val="TableTextRight"/>
              <w:rPr>
                <w:szCs w:val="18"/>
                <w:lang w:val="en-AU"/>
              </w:rPr>
            </w:pPr>
            <w:r w:rsidRPr="005F62F4">
              <w:rPr>
                <w:szCs w:val="18"/>
                <w:lang w:val="en-AU"/>
              </w:rPr>
              <w:t>2018–19</w:t>
            </w:r>
          </w:p>
        </w:tc>
        <w:tc>
          <w:tcPr>
            <w:tcW w:w="471" w:type="pct"/>
          </w:tcPr>
          <w:p w14:paraId="110B43D6" w14:textId="56CF6DB0" w:rsidR="00D5062C" w:rsidRPr="005F62F4" w:rsidRDefault="00D5062C" w:rsidP="00D5062C">
            <w:pPr>
              <w:pStyle w:val="TableTextRight"/>
              <w:rPr>
                <w:szCs w:val="18"/>
                <w:lang w:val="en-AU"/>
              </w:rPr>
            </w:pPr>
            <w:r w:rsidRPr="005F62F4">
              <w:rPr>
                <w:szCs w:val="18"/>
                <w:lang w:val="en-AU"/>
              </w:rPr>
              <w:t>2019–20</w:t>
            </w:r>
          </w:p>
        </w:tc>
        <w:tc>
          <w:tcPr>
            <w:tcW w:w="472" w:type="pct"/>
          </w:tcPr>
          <w:p w14:paraId="78361433" w14:textId="6E2F802E" w:rsidR="00D5062C" w:rsidRPr="005F62F4" w:rsidRDefault="00D5062C" w:rsidP="00D5062C">
            <w:pPr>
              <w:pStyle w:val="TableTextRight"/>
              <w:rPr>
                <w:szCs w:val="18"/>
                <w:lang w:val="en-AU"/>
              </w:rPr>
            </w:pPr>
            <w:r w:rsidRPr="005F62F4">
              <w:rPr>
                <w:szCs w:val="18"/>
                <w:lang w:val="en-AU"/>
              </w:rPr>
              <w:t>2020–21</w:t>
            </w:r>
          </w:p>
        </w:tc>
      </w:tr>
      <w:bookmarkEnd w:id="169"/>
      <w:tr w:rsidR="00CB7FD8" w:rsidRPr="005F62F4" w14:paraId="3EE65F21" w14:textId="77777777" w:rsidTr="001E5E40">
        <w:trPr>
          <w:trHeight w:val="90"/>
        </w:trPr>
        <w:tc>
          <w:tcPr>
            <w:tcW w:w="1231" w:type="pct"/>
          </w:tcPr>
          <w:p w14:paraId="397FCA9E" w14:textId="1019D3B2" w:rsidR="00CB7FD8" w:rsidRPr="005F62F4" w:rsidRDefault="00CB7FD8" w:rsidP="00E728F7">
            <w:pPr>
              <w:pStyle w:val="Tabletextkeep"/>
            </w:pPr>
            <w:r w:rsidRPr="005F62F4">
              <w:t>Number of items</w:t>
            </w:r>
          </w:p>
        </w:tc>
        <w:tc>
          <w:tcPr>
            <w:tcW w:w="471" w:type="pct"/>
          </w:tcPr>
          <w:p w14:paraId="60134E78" w14:textId="69B85C6D" w:rsidR="00CB7FD8" w:rsidRPr="001E5E40" w:rsidRDefault="00CB7FD8" w:rsidP="001E5E40">
            <w:pPr>
              <w:pStyle w:val="TableTextRight"/>
              <w:rPr>
                <w:sz w:val="17"/>
                <w:szCs w:val="17"/>
                <w:lang w:val="en-AU"/>
              </w:rPr>
            </w:pPr>
            <w:r w:rsidRPr="001E5E40">
              <w:rPr>
                <w:sz w:val="17"/>
                <w:szCs w:val="17"/>
              </w:rPr>
              <w:t>[redacted]</w:t>
            </w:r>
          </w:p>
        </w:tc>
        <w:tc>
          <w:tcPr>
            <w:tcW w:w="471" w:type="pct"/>
          </w:tcPr>
          <w:p w14:paraId="5FB63266" w14:textId="1A3670E2" w:rsidR="00CB7FD8" w:rsidRPr="001E5E40" w:rsidRDefault="00CB7FD8" w:rsidP="001E5E40">
            <w:pPr>
              <w:pStyle w:val="TableTextRight"/>
              <w:rPr>
                <w:sz w:val="17"/>
                <w:szCs w:val="17"/>
                <w:lang w:val="en-AU"/>
              </w:rPr>
            </w:pPr>
            <w:r w:rsidRPr="001E5E40">
              <w:rPr>
                <w:sz w:val="17"/>
                <w:szCs w:val="17"/>
              </w:rPr>
              <w:t>[redacted]</w:t>
            </w:r>
          </w:p>
        </w:tc>
        <w:tc>
          <w:tcPr>
            <w:tcW w:w="471" w:type="pct"/>
          </w:tcPr>
          <w:p w14:paraId="6BB866F7" w14:textId="1D3E822D" w:rsidR="00CB7FD8" w:rsidRPr="001E5E40" w:rsidRDefault="00CB7FD8" w:rsidP="001E5E40">
            <w:pPr>
              <w:pStyle w:val="TableTextRight"/>
              <w:rPr>
                <w:sz w:val="17"/>
                <w:szCs w:val="17"/>
                <w:lang w:val="en-AU"/>
              </w:rPr>
            </w:pPr>
            <w:r w:rsidRPr="001E5E40">
              <w:rPr>
                <w:sz w:val="17"/>
                <w:szCs w:val="17"/>
              </w:rPr>
              <w:t>[redacted]</w:t>
            </w:r>
          </w:p>
        </w:tc>
        <w:tc>
          <w:tcPr>
            <w:tcW w:w="471" w:type="pct"/>
          </w:tcPr>
          <w:p w14:paraId="3E18B06D" w14:textId="012B0F0C" w:rsidR="00CB7FD8" w:rsidRPr="001E5E40" w:rsidRDefault="00CB7FD8" w:rsidP="001E5E40">
            <w:pPr>
              <w:pStyle w:val="TableTextRight"/>
              <w:rPr>
                <w:sz w:val="17"/>
                <w:szCs w:val="17"/>
                <w:lang w:val="en-AU"/>
              </w:rPr>
            </w:pPr>
            <w:r w:rsidRPr="001E5E40">
              <w:rPr>
                <w:sz w:val="17"/>
                <w:szCs w:val="17"/>
              </w:rPr>
              <w:t>[redacted]</w:t>
            </w:r>
          </w:p>
        </w:tc>
        <w:tc>
          <w:tcPr>
            <w:tcW w:w="471" w:type="pct"/>
          </w:tcPr>
          <w:p w14:paraId="54352C06" w14:textId="6F13BB99" w:rsidR="00CB7FD8" w:rsidRPr="005F62F4" w:rsidRDefault="00CB7FD8" w:rsidP="009C220D">
            <w:pPr>
              <w:pStyle w:val="TableTextRight"/>
              <w:rPr>
                <w:lang w:val="en-AU"/>
              </w:rPr>
            </w:pPr>
            <w:r w:rsidRPr="005F62F4">
              <w:rPr>
                <w:lang w:val="en-AU"/>
              </w:rPr>
              <w:t>1,207</w:t>
            </w:r>
          </w:p>
        </w:tc>
        <w:tc>
          <w:tcPr>
            <w:tcW w:w="471" w:type="pct"/>
          </w:tcPr>
          <w:p w14:paraId="16E6C7A3" w14:textId="0D6AFE02" w:rsidR="00CB7FD8" w:rsidRPr="005F62F4" w:rsidRDefault="00CB7FD8" w:rsidP="009C220D">
            <w:pPr>
              <w:pStyle w:val="TableTextRight"/>
              <w:rPr>
                <w:lang w:val="en-AU"/>
              </w:rPr>
            </w:pPr>
            <w:r w:rsidRPr="005F62F4">
              <w:rPr>
                <w:lang w:val="en-AU"/>
              </w:rPr>
              <w:t>2,094</w:t>
            </w:r>
          </w:p>
        </w:tc>
        <w:tc>
          <w:tcPr>
            <w:tcW w:w="471" w:type="pct"/>
          </w:tcPr>
          <w:p w14:paraId="2E856972" w14:textId="5E1EC010" w:rsidR="00CB7FD8" w:rsidRPr="005F62F4" w:rsidRDefault="00CB7FD8" w:rsidP="009C220D">
            <w:pPr>
              <w:pStyle w:val="TableTextRight"/>
              <w:rPr>
                <w:lang w:val="en-AU"/>
              </w:rPr>
            </w:pPr>
            <w:r w:rsidRPr="005F62F4">
              <w:rPr>
                <w:lang w:val="en-AU"/>
              </w:rPr>
              <w:t>2,577</w:t>
            </w:r>
          </w:p>
        </w:tc>
        <w:tc>
          <w:tcPr>
            <w:tcW w:w="472" w:type="pct"/>
          </w:tcPr>
          <w:p w14:paraId="4F2AFADA" w14:textId="146A28EC" w:rsidR="00CB7FD8" w:rsidRPr="005F62F4" w:rsidRDefault="00CB7FD8" w:rsidP="009C220D">
            <w:pPr>
              <w:pStyle w:val="TableTextRight"/>
              <w:rPr>
                <w:lang w:val="en-AU"/>
              </w:rPr>
            </w:pPr>
            <w:r w:rsidRPr="005F62F4">
              <w:rPr>
                <w:lang w:val="en-AU"/>
              </w:rPr>
              <w:t>5,043</w:t>
            </w:r>
          </w:p>
        </w:tc>
      </w:tr>
      <w:tr w:rsidR="001E5E40" w:rsidRPr="005F62F4" w14:paraId="73BC1557" w14:textId="77777777" w:rsidTr="001E5E40">
        <w:trPr>
          <w:cnfStyle w:val="000000010000" w:firstRow="0" w:lastRow="0" w:firstColumn="0" w:lastColumn="0" w:oddVBand="0" w:evenVBand="0" w:oddHBand="0" w:evenHBand="1" w:firstRowFirstColumn="0" w:firstRowLastColumn="0" w:lastRowFirstColumn="0" w:lastRowLastColumn="0"/>
          <w:trHeight w:val="170"/>
        </w:trPr>
        <w:tc>
          <w:tcPr>
            <w:tcW w:w="1231" w:type="pct"/>
          </w:tcPr>
          <w:p w14:paraId="26DC37FA" w14:textId="5504428E" w:rsidR="001E5E40" w:rsidRPr="005F62F4" w:rsidRDefault="001E5E40" w:rsidP="001E5E40">
            <w:pPr>
              <w:pStyle w:val="Tabletextkeep"/>
            </w:pPr>
            <w:r w:rsidRPr="005F62F4">
              <w:t>Number of patients</w:t>
            </w:r>
          </w:p>
        </w:tc>
        <w:tc>
          <w:tcPr>
            <w:tcW w:w="471" w:type="pct"/>
          </w:tcPr>
          <w:p w14:paraId="4C792D2C" w14:textId="4B4C36D8" w:rsidR="001E5E40" w:rsidRPr="005F62F4" w:rsidRDefault="001E5E40" w:rsidP="001E5E40">
            <w:pPr>
              <w:pStyle w:val="TableTextRight"/>
              <w:rPr>
                <w:lang w:val="en-AU"/>
              </w:rPr>
            </w:pPr>
            <w:r w:rsidRPr="001E5E40">
              <w:rPr>
                <w:sz w:val="17"/>
                <w:szCs w:val="17"/>
              </w:rPr>
              <w:t>[redacted]</w:t>
            </w:r>
          </w:p>
        </w:tc>
        <w:tc>
          <w:tcPr>
            <w:tcW w:w="471" w:type="pct"/>
          </w:tcPr>
          <w:p w14:paraId="5FC6C6A0" w14:textId="45E0C752" w:rsidR="001E5E40" w:rsidRPr="005F62F4" w:rsidRDefault="001E5E40" w:rsidP="001E5E40">
            <w:pPr>
              <w:pStyle w:val="TableTextRight"/>
              <w:rPr>
                <w:lang w:val="en-AU"/>
              </w:rPr>
            </w:pPr>
            <w:r w:rsidRPr="001E5E40">
              <w:rPr>
                <w:sz w:val="17"/>
                <w:szCs w:val="17"/>
              </w:rPr>
              <w:t>[redacted]</w:t>
            </w:r>
          </w:p>
        </w:tc>
        <w:tc>
          <w:tcPr>
            <w:tcW w:w="471" w:type="pct"/>
          </w:tcPr>
          <w:p w14:paraId="67BED990" w14:textId="5B4B803C" w:rsidR="001E5E40" w:rsidRPr="005F62F4" w:rsidRDefault="001E5E40" w:rsidP="001E5E40">
            <w:pPr>
              <w:pStyle w:val="TableTextRight"/>
              <w:rPr>
                <w:lang w:val="en-AU"/>
              </w:rPr>
            </w:pPr>
            <w:r w:rsidRPr="001E5E40">
              <w:rPr>
                <w:sz w:val="17"/>
                <w:szCs w:val="17"/>
              </w:rPr>
              <w:t>[redacted]</w:t>
            </w:r>
          </w:p>
        </w:tc>
        <w:tc>
          <w:tcPr>
            <w:tcW w:w="471" w:type="pct"/>
          </w:tcPr>
          <w:p w14:paraId="3CC75E3C" w14:textId="7A8369C4" w:rsidR="001E5E40" w:rsidRPr="005F62F4" w:rsidRDefault="001E5E40" w:rsidP="001E5E40">
            <w:pPr>
              <w:pStyle w:val="TableTextRight"/>
              <w:rPr>
                <w:lang w:val="en-AU"/>
              </w:rPr>
            </w:pPr>
            <w:r w:rsidRPr="001E5E40">
              <w:rPr>
                <w:sz w:val="17"/>
                <w:szCs w:val="17"/>
              </w:rPr>
              <w:t>[redacted]</w:t>
            </w:r>
          </w:p>
        </w:tc>
        <w:tc>
          <w:tcPr>
            <w:tcW w:w="471" w:type="pct"/>
          </w:tcPr>
          <w:p w14:paraId="4776E8CE" w14:textId="4418EB64" w:rsidR="001E5E40" w:rsidRPr="005F62F4" w:rsidRDefault="001E5E40" w:rsidP="001E5E40">
            <w:pPr>
              <w:pStyle w:val="TableTextRight"/>
              <w:rPr>
                <w:lang w:val="en-AU"/>
              </w:rPr>
            </w:pPr>
            <w:r w:rsidRPr="005F62F4">
              <w:rPr>
                <w:lang w:val="en-AU"/>
              </w:rPr>
              <w:t>513</w:t>
            </w:r>
          </w:p>
        </w:tc>
        <w:tc>
          <w:tcPr>
            <w:tcW w:w="471" w:type="pct"/>
          </w:tcPr>
          <w:p w14:paraId="37CE0BD7" w14:textId="442AF901" w:rsidR="001E5E40" w:rsidRPr="005F62F4" w:rsidRDefault="001E5E40" w:rsidP="001E5E40">
            <w:pPr>
              <w:pStyle w:val="TableTextRight"/>
              <w:rPr>
                <w:lang w:val="en-AU"/>
              </w:rPr>
            </w:pPr>
            <w:r w:rsidRPr="005F62F4">
              <w:rPr>
                <w:lang w:val="en-AU"/>
              </w:rPr>
              <w:t>810</w:t>
            </w:r>
          </w:p>
        </w:tc>
        <w:tc>
          <w:tcPr>
            <w:tcW w:w="471" w:type="pct"/>
          </w:tcPr>
          <w:p w14:paraId="76A90B3F" w14:textId="43906A77" w:rsidR="001E5E40" w:rsidRPr="005F62F4" w:rsidRDefault="001E5E40" w:rsidP="001E5E40">
            <w:pPr>
              <w:pStyle w:val="TableTextRight"/>
              <w:rPr>
                <w:lang w:val="en-AU"/>
              </w:rPr>
            </w:pPr>
            <w:r w:rsidRPr="005F62F4">
              <w:rPr>
                <w:lang w:val="en-AU"/>
              </w:rPr>
              <w:t>1,087</w:t>
            </w:r>
          </w:p>
        </w:tc>
        <w:tc>
          <w:tcPr>
            <w:tcW w:w="472" w:type="pct"/>
          </w:tcPr>
          <w:p w14:paraId="4E216F6A" w14:textId="38B613E6" w:rsidR="001E5E40" w:rsidRPr="005F62F4" w:rsidRDefault="001E5E40" w:rsidP="001E5E40">
            <w:pPr>
              <w:pStyle w:val="TableTextRight"/>
              <w:rPr>
                <w:lang w:val="en-AU"/>
              </w:rPr>
            </w:pPr>
            <w:r w:rsidRPr="005F62F4">
              <w:rPr>
                <w:lang w:val="en-AU"/>
              </w:rPr>
              <w:t>2,409</w:t>
            </w:r>
          </w:p>
        </w:tc>
      </w:tr>
      <w:tr w:rsidR="001E5E40" w:rsidRPr="005F62F4" w14:paraId="4A81D279" w14:textId="77777777" w:rsidTr="001E5E40">
        <w:trPr>
          <w:trHeight w:val="170"/>
        </w:trPr>
        <w:tc>
          <w:tcPr>
            <w:tcW w:w="1231" w:type="pct"/>
          </w:tcPr>
          <w:p w14:paraId="27CB3B5F" w14:textId="61E631C6" w:rsidR="001E5E40" w:rsidRPr="005F62F4" w:rsidRDefault="001E5E40" w:rsidP="001E5E40">
            <w:pPr>
              <w:pStyle w:val="Tabletextkeep"/>
              <w:rPr>
                <w:rStyle w:val="Strong"/>
              </w:rPr>
            </w:pPr>
            <w:r w:rsidRPr="005F62F4">
              <w:rPr>
                <w:rStyle w:val="Strong"/>
              </w:rPr>
              <w:t>Average items per patient</w:t>
            </w:r>
          </w:p>
        </w:tc>
        <w:tc>
          <w:tcPr>
            <w:tcW w:w="471" w:type="pct"/>
          </w:tcPr>
          <w:p w14:paraId="27068BF0" w14:textId="731FA159" w:rsidR="001E5E40" w:rsidRPr="005F62F4" w:rsidRDefault="001E5E40" w:rsidP="001E5E40">
            <w:pPr>
              <w:pStyle w:val="TableTextRight"/>
              <w:rPr>
                <w:rStyle w:val="Strong"/>
              </w:rPr>
            </w:pPr>
            <w:r w:rsidRPr="001E5E40">
              <w:rPr>
                <w:sz w:val="17"/>
                <w:szCs w:val="17"/>
              </w:rPr>
              <w:t>[redacted]</w:t>
            </w:r>
          </w:p>
        </w:tc>
        <w:tc>
          <w:tcPr>
            <w:tcW w:w="471" w:type="pct"/>
          </w:tcPr>
          <w:p w14:paraId="4133501A" w14:textId="1F7DBE7B" w:rsidR="001E5E40" w:rsidRPr="005F62F4" w:rsidRDefault="001E5E40" w:rsidP="001E5E40">
            <w:pPr>
              <w:pStyle w:val="TableTextRight"/>
              <w:rPr>
                <w:rStyle w:val="Strong"/>
              </w:rPr>
            </w:pPr>
            <w:r w:rsidRPr="001E5E40">
              <w:rPr>
                <w:sz w:val="17"/>
                <w:szCs w:val="17"/>
              </w:rPr>
              <w:t>[redacted]</w:t>
            </w:r>
          </w:p>
        </w:tc>
        <w:tc>
          <w:tcPr>
            <w:tcW w:w="471" w:type="pct"/>
          </w:tcPr>
          <w:p w14:paraId="6894CE15" w14:textId="360144EF" w:rsidR="001E5E40" w:rsidRPr="005F62F4" w:rsidRDefault="001E5E40" w:rsidP="001E5E40">
            <w:pPr>
              <w:pStyle w:val="TableTextRight"/>
              <w:rPr>
                <w:rStyle w:val="Strong"/>
              </w:rPr>
            </w:pPr>
            <w:r w:rsidRPr="001E5E40">
              <w:rPr>
                <w:sz w:val="17"/>
                <w:szCs w:val="17"/>
              </w:rPr>
              <w:t>[redacted]</w:t>
            </w:r>
          </w:p>
        </w:tc>
        <w:tc>
          <w:tcPr>
            <w:tcW w:w="471" w:type="pct"/>
          </w:tcPr>
          <w:p w14:paraId="047241E7" w14:textId="69BE4CE7" w:rsidR="001E5E40" w:rsidRPr="005F62F4" w:rsidRDefault="001E5E40" w:rsidP="001E5E40">
            <w:pPr>
              <w:pStyle w:val="TableTextRight"/>
              <w:rPr>
                <w:rStyle w:val="Strong"/>
              </w:rPr>
            </w:pPr>
            <w:r w:rsidRPr="001E5E40">
              <w:rPr>
                <w:sz w:val="17"/>
                <w:szCs w:val="17"/>
              </w:rPr>
              <w:t>[redacted]</w:t>
            </w:r>
          </w:p>
        </w:tc>
        <w:tc>
          <w:tcPr>
            <w:tcW w:w="471" w:type="pct"/>
          </w:tcPr>
          <w:p w14:paraId="2E56E10F" w14:textId="38D863B1" w:rsidR="001E5E40" w:rsidRPr="005F62F4" w:rsidRDefault="001E5E40" w:rsidP="001E5E40">
            <w:pPr>
              <w:pStyle w:val="TableTextRight"/>
              <w:rPr>
                <w:rStyle w:val="Strong"/>
              </w:rPr>
            </w:pPr>
            <w:r w:rsidRPr="005F62F4">
              <w:rPr>
                <w:rStyle w:val="Strong"/>
              </w:rPr>
              <w:t>2.4</w:t>
            </w:r>
          </w:p>
        </w:tc>
        <w:tc>
          <w:tcPr>
            <w:tcW w:w="471" w:type="pct"/>
          </w:tcPr>
          <w:p w14:paraId="5604C162" w14:textId="6075400F" w:rsidR="001E5E40" w:rsidRPr="005F62F4" w:rsidRDefault="001E5E40" w:rsidP="001E5E40">
            <w:pPr>
              <w:pStyle w:val="TableTextRight"/>
              <w:rPr>
                <w:rStyle w:val="Strong"/>
              </w:rPr>
            </w:pPr>
            <w:r w:rsidRPr="005F62F4">
              <w:rPr>
                <w:rStyle w:val="Strong"/>
              </w:rPr>
              <w:t>2.6</w:t>
            </w:r>
          </w:p>
        </w:tc>
        <w:tc>
          <w:tcPr>
            <w:tcW w:w="471" w:type="pct"/>
          </w:tcPr>
          <w:p w14:paraId="0F7BAAA4" w14:textId="0D277996" w:rsidR="001E5E40" w:rsidRPr="005F62F4" w:rsidRDefault="001E5E40" w:rsidP="001E5E40">
            <w:pPr>
              <w:pStyle w:val="TableTextRight"/>
              <w:rPr>
                <w:rStyle w:val="Strong"/>
              </w:rPr>
            </w:pPr>
            <w:r w:rsidRPr="005F62F4">
              <w:rPr>
                <w:rStyle w:val="Strong"/>
              </w:rPr>
              <w:t>2.4</w:t>
            </w:r>
          </w:p>
        </w:tc>
        <w:tc>
          <w:tcPr>
            <w:tcW w:w="472" w:type="pct"/>
          </w:tcPr>
          <w:p w14:paraId="164E077C" w14:textId="3E7025D1" w:rsidR="001E5E40" w:rsidRPr="005F62F4" w:rsidRDefault="001E5E40" w:rsidP="001E5E40">
            <w:pPr>
              <w:pStyle w:val="TableTextRight"/>
              <w:rPr>
                <w:rStyle w:val="Strong"/>
              </w:rPr>
            </w:pPr>
            <w:r w:rsidRPr="005F62F4">
              <w:rPr>
                <w:rStyle w:val="Strong"/>
              </w:rPr>
              <w:t>2.1</w:t>
            </w:r>
          </w:p>
        </w:tc>
      </w:tr>
      <w:tr w:rsidR="001E5E40" w:rsidRPr="005F62F4" w14:paraId="2C0B2710" w14:textId="77777777" w:rsidTr="001E5E40">
        <w:trPr>
          <w:cnfStyle w:val="000000010000" w:firstRow="0" w:lastRow="0" w:firstColumn="0" w:lastColumn="0" w:oddVBand="0" w:evenVBand="0" w:oddHBand="0" w:evenHBand="1" w:firstRowFirstColumn="0" w:firstRowLastColumn="0" w:lastRowFirstColumn="0" w:lastRowLastColumn="0"/>
          <w:trHeight w:val="170"/>
        </w:trPr>
        <w:tc>
          <w:tcPr>
            <w:tcW w:w="1231" w:type="pct"/>
          </w:tcPr>
          <w:p w14:paraId="0085E38D" w14:textId="42E65D8A" w:rsidR="001E5E40" w:rsidRPr="005F62F4" w:rsidRDefault="001E5E40" w:rsidP="001E5E40">
            <w:pPr>
              <w:pStyle w:val="Tabletextkeep"/>
            </w:pPr>
            <w:r w:rsidRPr="005F62F4">
              <w:t>Number of separations</w:t>
            </w:r>
          </w:p>
        </w:tc>
        <w:tc>
          <w:tcPr>
            <w:tcW w:w="471" w:type="pct"/>
          </w:tcPr>
          <w:p w14:paraId="549C189A" w14:textId="67ED714E" w:rsidR="001E5E40" w:rsidRPr="005F62F4" w:rsidRDefault="001E5E40" w:rsidP="001E5E40">
            <w:pPr>
              <w:pStyle w:val="TableTextRight"/>
              <w:rPr>
                <w:lang w:val="en-AU"/>
              </w:rPr>
            </w:pPr>
            <w:r w:rsidRPr="001E5E40">
              <w:rPr>
                <w:sz w:val="17"/>
                <w:szCs w:val="17"/>
              </w:rPr>
              <w:t>[redacted]</w:t>
            </w:r>
          </w:p>
        </w:tc>
        <w:tc>
          <w:tcPr>
            <w:tcW w:w="471" w:type="pct"/>
          </w:tcPr>
          <w:p w14:paraId="03689DC5" w14:textId="1B20B992" w:rsidR="001E5E40" w:rsidRPr="005F62F4" w:rsidRDefault="001E5E40" w:rsidP="001E5E40">
            <w:pPr>
              <w:pStyle w:val="TableTextRight"/>
              <w:rPr>
                <w:lang w:val="en-AU"/>
              </w:rPr>
            </w:pPr>
            <w:r w:rsidRPr="001E5E40">
              <w:rPr>
                <w:sz w:val="17"/>
                <w:szCs w:val="17"/>
              </w:rPr>
              <w:t>[redacted]</w:t>
            </w:r>
          </w:p>
        </w:tc>
        <w:tc>
          <w:tcPr>
            <w:tcW w:w="471" w:type="pct"/>
          </w:tcPr>
          <w:p w14:paraId="5F794F87" w14:textId="517BCFA8" w:rsidR="001E5E40" w:rsidRPr="005F62F4" w:rsidRDefault="001E5E40" w:rsidP="001E5E40">
            <w:pPr>
              <w:pStyle w:val="TableTextRight"/>
              <w:rPr>
                <w:lang w:val="en-AU"/>
              </w:rPr>
            </w:pPr>
            <w:r w:rsidRPr="001E5E40">
              <w:rPr>
                <w:sz w:val="17"/>
                <w:szCs w:val="17"/>
              </w:rPr>
              <w:t>[redacted]</w:t>
            </w:r>
          </w:p>
        </w:tc>
        <w:tc>
          <w:tcPr>
            <w:tcW w:w="471" w:type="pct"/>
          </w:tcPr>
          <w:p w14:paraId="64841E72" w14:textId="15DA5406" w:rsidR="001E5E40" w:rsidRPr="005F62F4" w:rsidRDefault="001E5E40" w:rsidP="001E5E40">
            <w:pPr>
              <w:pStyle w:val="TableTextRight"/>
              <w:rPr>
                <w:lang w:val="en-AU"/>
              </w:rPr>
            </w:pPr>
            <w:r w:rsidRPr="001E5E40">
              <w:rPr>
                <w:sz w:val="17"/>
                <w:szCs w:val="17"/>
              </w:rPr>
              <w:t>[redacted]</w:t>
            </w:r>
          </w:p>
        </w:tc>
        <w:tc>
          <w:tcPr>
            <w:tcW w:w="471" w:type="pct"/>
          </w:tcPr>
          <w:p w14:paraId="3B90E763" w14:textId="3008BFF8" w:rsidR="001E5E40" w:rsidRPr="005F62F4" w:rsidRDefault="001E5E40" w:rsidP="001E5E40">
            <w:pPr>
              <w:pStyle w:val="TableTextRight"/>
              <w:rPr>
                <w:lang w:val="en-AU"/>
              </w:rPr>
            </w:pPr>
            <w:r w:rsidRPr="005F62F4">
              <w:rPr>
                <w:lang w:val="en-AU"/>
              </w:rPr>
              <w:t>518</w:t>
            </w:r>
          </w:p>
        </w:tc>
        <w:tc>
          <w:tcPr>
            <w:tcW w:w="471" w:type="pct"/>
          </w:tcPr>
          <w:p w14:paraId="410990FD" w14:textId="0F8604EC" w:rsidR="001E5E40" w:rsidRPr="005F62F4" w:rsidRDefault="001E5E40" w:rsidP="001E5E40">
            <w:pPr>
              <w:pStyle w:val="TableTextRight"/>
              <w:rPr>
                <w:lang w:val="en-AU"/>
              </w:rPr>
            </w:pPr>
            <w:r w:rsidRPr="005F62F4">
              <w:rPr>
                <w:lang w:val="en-AU"/>
              </w:rPr>
              <w:t>830</w:t>
            </w:r>
          </w:p>
        </w:tc>
        <w:tc>
          <w:tcPr>
            <w:tcW w:w="471" w:type="pct"/>
          </w:tcPr>
          <w:p w14:paraId="270C1374" w14:textId="7EA568D6" w:rsidR="001E5E40" w:rsidRPr="005F62F4" w:rsidRDefault="001E5E40" w:rsidP="001E5E40">
            <w:pPr>
              <w:pStyle w:val="TableTextRight"/>
              <w:rPr>
                <w:lang w:val="en-AU"/>
              </w:rPr>
            </w:pPr>
            <w:r w:rsidRPr="005F62F4">
              <w:rPr>
                <w:lang w:val="en-AU"/>
              </w:rPr>
              <w:t>1,100</w:t>
            </w:r>
          </w:p>
        </w:tc>
        <w:tc>
          <w:tcPr>
            <w:tcW w:w="472" w:type="pct"/>
          </w:tcPr>
          <w:p w14:paraId="1552FEF1" w14:textId="00DF4FAE" w:rsidR="001E5E40" w:rsidRPr="005F62F4" w:rsidRDefault="001E5E40" w:rsidP="001E5E40">
            <w:pPr>
              <w:pStyle w:val="TableTextRight"/>
              <w:rPr>
                <w:lang w:val="en-AU"/>
              </w:rPr>
            </w:pPr>
            <w:r w:rsidRPr="005F62F4">
              <w:rPr>
                <w:lang w:val="en-AU"/>
              </w:rPr>
              <w:t>2,460</w:t>
            </w:r>
          </w:p>
        </w:tc>
      </w:tr>
      <w:tr w:rsidR="001E5E40" w:rsidRPr="005F62F4" w14:paraId="3735A8A5" w14:textId="77777777" w:rsidTr="001E5E40">
        <w:trPr>
          <w:trHeight w:val="170"/>
        </w:trPr>
        <w:tc>
          <w:tcPr>
            <w:tcW w:w="1231" w:type="pct"/>
          </w:tcPr>
          <w:p w14:paraId="339010B0" w14:textId="294115DC" w:rsidR="001E5E40" w:rsidRPr="005F62F4" w:rsidRDefault="001E5E40" w:rsidP="001E5E40">
            <w:pPr>
              <w:pStyle w:val="TableText"/>
              <w:rPr>
                <w:rStyle w:val="Strong"/>
              </w:rPr>
            </w:pPr>
            <w:r w:rsidRPr="005F62F4">
              <w:rPr>
                <w:rStyle w:val="Strong"/>
              </w:rPr>
              <w:t>Average items per separation</w:t>
            </w:r>
          </w:p>
        </w:tc>
        <w:tc>
          <w:tcPr>
            <w:tcW w:w="471" w:type="pct"/>
          </w:tcPr>
          <w:p w14:paraId="17B4D2B8" w14:textId="02C2A5BC" w:rsidR="001E5E40" w:rsidRPr="005F62F4" w:rsidRDefault="001E5E40" w:rsidP="001E5E40">
            <w:pPr>
              <w:pStyle w:val="TableTextRight"/>
              <w:rPr>
                <w:rStyle w:val="Strong"/>
              </w:rPr>
            </w:pPr>
            <w:r w:rsidRPr="001E5E40">
              <w:rPr>
                <w:sz w:val="17"/>
                <w:szCs w:val="17"/>
              </w:rPr>
              <w:t>[redacted]</w:t>
            </w:r>
          </w:p>
        </w:tc>
        <w:tc>
          <w:tcPr>
            <w:tcW w:w="471" w:type="pct"/>
          </w:tcPr>
          <w:p w14:paraId="0F04AD9F" w14:textId="005CDD71" w:rsidR="001E5E40" w:rsidRPr="005F62F4" w:rsidRDefault="001E5E40" w:rsidP="001E5E40">
            <w:pPr>
              <w:pStyle w:val="TableTextRight"/>
              <w:rPr>
                <w:rStyle w:val="Strong"/>
              </w:rPr>
            </w:pPr>
            <w:r w:rsidRPr="001E5E40">
              <w:rPr>
                <w:sz w:val="17"/>
                <w:szCs w:val="17"/>
              </w:rPr>
              <w:t>[redacted]</w:t>
            </w:r>
          </w:p>
        </w:tc>
        <w:tc>
          <w:tcPr>
            <w:tcW w:w="471" w:type="pct"/>
          </w:tcPr>
          <w:p w14:paraId="418558E5" w14:textId="05A7E340" w:rsidR="001E5E40" w:rsidRPr="005F62F4" w:rsidRDefault="001E5E40" w:rsidP="001E5E40">
            <w:pPr>
              <w:pStyle w:val="TableTextRight"/>
              <w:rPr>
                <w:rStyle w:val="Strong"/>
              </w:rPr>
            </w:pPr>
            <w:r w:rsidRPr="001E5E40">
              <w:rPr>
                <w:sz w:val="17"/>
                <w:szCs w:val="17"/>
              </w:rPr>
              <w:t>[redacted]</w:t>
            </w:r>
          </w:p>
        </w:tc>
        <w:tc>
          <w:tcPr>
            <w:tcW w:w="471" w:type="pct"/>
          </w:tcPr>
          <w:p w14:paraId="617FAA2A" w14:textId="14C5B304" w:rsidR="001E5E40" w:rsidRPr="005F62F4" w:rsidRDefault="001E5E40" w:rsidP="001E5E40">
            <w:pPr>
              <w:pStyle w:val="TableTextRight"/>
              <w:rPr>
                <w:rStyle w:val="Strong"/>
              </w:rPr>
            </w:pPr>
            <w:r w:rsidRPr="001E5E40">
              <w:rPr>
                <w:sz w:val="17"/>
                <w:szCs w:val="17"/>
              </w:rPr>
              <w:t>[redacted]</w:t>
            </w:r>
          </w:p>
        </w:tc>
        <w:tc>
          <w:tcPr>
            <w:tcW w:w="471" w:type="pct"/>
            <w:vAlign w:val="center"/>
          </w:tcPr>
          <w:p w14:paraId="79AFE97E" w14:textId="0E6DB645" w:rsidR="001E5E40" w:rsidRPr="005F62F4" w:rsidRDefault="001E5E40" w:rsidP="001E5E40">
            <w:pPr>
              <w:pStyle w:val="TableTextRight"/>
              <w:rPr>
                <w:rStyle w:val="Strong"/>
              </w:rPr>
            </w:pPr>
            <w:r w:rsidRPr="005F62F4">
              <w:rPr>
                <w:rStyle w:val="Strong"/>
              </w:rPr>
              <w:t>2.3</w:t>
            </w:r>
          </w:p>
        </w:tc>
        <w:tc>
          <w:tcPr>
            <w:tcW w:w="471" w:type="pct"/>
            <w:vAlign w:val="center"/>
          </w:tcPr>
          <w:p w14:paraId="6C9D779D" w14:textId="21F6356F" w:rsidR="001E5E40" w:rsidRPr="005F62F4" w:rsidRDefault="001E5E40" w:rsidP="001E5E40">
            <w:pPr>
              <w:pStyle w:val="TableTextRight"/>
              <w:rPr>
                <w:rStyle w:val="Strong"/>
              </w:rPr>
            </w:pPr>
            <w:r w:rsidRPr="005F62F4">
              <w:rPr>
                <w:rStyle w:val="Strong"/>
              </w:rPr>
              <w:t>2.5</w:t>
            </w:r>
          </w:p>
        </w:tc>
        <w:tc>
          <w:tcPr>
            <w:tcW w:w="471" w:type="pct"/>
            <w:vAlign w:val="center"/>
          </w:tcPr>
          <w:p w14:paraId="7002B127" w14:textId="7D6C97EC" w:rsidR="001E5E40" w:rsidRPr="005F62F4" w:rsidRDefault="001E5E40" w:rsidP="001E5E40">
            <w:pPr>
              <w:pStyle w:val="TableTextRight"/>
              <w:rPr>
                <w:rStyle w:val="Strong"/>
              </w:rPr>
            </w:pPr>
            <w:r w:rsidRPr="005F62F4">
              <w:rPr>
                <w:rStyle w:val="Strong"/>
              </w:rPr>
              <w:t>2.3</w:t>
            </w:r>
          </w:p>
        </w:tc>
        <w:tc>
          <w:tcPr>
            <w:tcW w:w="472" w:type="pct"/>
            <w:vAlign w:val="center"/>
          </w:tcPr>
          <w:p w14:paraId="32530D65" w14:textId="4A0D2634" w:rsidR="001E5E40" w:rsidRPr="005F62F4" w:rsidRDefault="001E5E40" w:rsidP="001E5E40">
            <w:pPr>
              <w:pStyle w:val="TableTextRight"/>
              <w:keepNext/>
              <w:rPr>
                <w:rStyle w:val="Strong"/>
              </w:rPr>
            </w:pPr>
            <w:r w:rsidRPr="005F62F4">
              <w:rPr>
                <w:rStyle w:val="Strong"/>
              </w:rPr>
              <w:t>2.1</w:t>
            </w:r>
          </w:p>
        </w:tc>
      </w:tr>
    </w:tbl>
    <w:p w14:paraId="01231DFD" w14:textId="306D2A59" w:rsidR="009841B3" w:rsidRPr="005F62F4" w:rsidRDefault="008E2585" w:rsidP="00FC378D">
      <w:pPr>
        <w:pStyle w:val="Para"/>
        <w:rPr>
          <w:rFonts w:eastAsiaTheme="minorHAnsi"/>
        </w:rPr>
      </w:pPr>
      <w:r w:rsidRPr="005F62F4">
        <w:rPr>
          <w:lang w:eastAsia="en-AU"/>
        </w:rPr>
        <w:fldChar w:fldCharType="begin"/>
      </w:r>
      <w:r w:rsidRPr="005F62F4">
        <w:rPr>
          <w:lang w:eastAsia="en-AU"/>
        </w:rPr>
        <w:instrText xml:space="preserve"> REF _Ref119871207 \h </w:instrText>
      </w:r>
      <w:r w:rsidR="005F62F4">
        <w:rPr>
          <w:lang w:eastAsia="en-AU"/>
        </w:rPr>
        <w:instrText xml:space="preserve"> \* MERGEFORMAT </w:instrText>
      </w:r>
      <w:r w:rsidRPr="005F62F4">
        <w:rPr>
          <w:lang w:eastAsia="en-AU"/>
        </w:rPr>
      </w:r>
      <w:r w:rsidRPr="005F62F4">
        <w:rPr>
          <w:lang w:eastAsia="en-AU"/>
        </w:rPr>
        <w:fldChar w:fldCharType="separate"/>
      </w:r>
      <w:r w:rsidR="005606BF" w:rsidRPr="005F62F4">
        <w:t>Table </w:t>
      </w:r>
      <w:r w:rsidR="005606BF">
        <w:t>8</w:t>
      </w:r>
      <w:r w:rsidRPr="005F62F4">
        <w:rPr>
          <w:lang w:eastAsia="en-AU"/>
        </w:rPr>
        <w:fldChar w:fldCharType="end"/>
      </w:r>
      <w:r w:rsidRPr="005F62F4">
        <w:rPr>
          <w:lang w:eastAsia="en-AU"/>
        </w:rPr>
        <w:t xml:space="preserve"> and </w:t>
      </w:r>
      <w:r w:rsidRPr="005F62F4">
        <w:rPr>
          <w:lang w:eastAsia="en-AU"/>
        </w:rPr>
        <w:fldChar w:fldCharType="begin"/>
      </w:r>
      <w:r w:rsidRPr="005F62F4">
        <w:rPr>
          <w:lang w:eastAsia="en-AU"/>
        </w:rPr>
        <w:instrText xml:space="preserve"> REF _Ref120269485 \h </w:instrText>
      </w:r>
      <w:r w:rsidR="005F62F4">
        <w:rPr>
          <w:lang w:eastAsia="en-AU"/>
        </w:rPr>
        <w:instrText xml:space="preserve"> \* MERGEFORMAT </w:instrText>
      </w:r>
      <w:r w:rsidRPr="005F62F4">
        <w:rPr>
          <w:lang w:eastAsia="en-AU"/>
        </w:rPr>
      </w:r>
      <w:r w:rsidRPr="005F62F4">
        <w:rPr>
          <w:lang w:eastAsia="en-AU"/>
        </w:rPr>
        <w:fldChar w:fldCharType="separate"/>
      </w:r>
      <w:r w:rsidR="005606BF" w:rsidRPr="005F62F4">
        <w:t>Table </w:t>
      </w:r>
      <w:r w:rsidR="005606BF">
        <w:t>9</w:t>
      </w:r>
      <w:r w:rsidRPr="005F62F4">
        <w:rPr>
          <w:lang w:eastAsia="en-AU"/>
        </w:rPr>
        <w:fldChar w:fldCharType="end"/>
      </w:r>
      <w:r w:rsidR="00BF0197" w:rsidRPr="005F62F4">
        <w:rPr>
          <w:lang w:eastAsia="en-AU"/>
        </w:rPr>
        <w:t xml:space="preserve"> </w:t>
      </w:r>
      <w:r w:rsidR="00730F36" w:rsidRPr="005F62F4">
        <w:rPr>
          <w:lang w:eastAsia="en-AU"/>
        </w:rPr>
        <w:t xml:space="preserve">explore the </w:t>
      </w:r>
      <w:r w:rsidR="004812B2" w:rsidRPr="005F62F4">
        <w:rPr>
          <w:lang w:eastAsia="en-AU"/>
        </w:rPr>
        <w:t xml:space="preserve">number </w:t>
      </w:r>
      <w:r w:rsidR="00730F36" w:rsidRPr="005F62F4">
        <w:rPr>
          <w:lang w:eastAsia="en-AU"/>
        </w:rPr>
        <w:t xml:space="preserve">of items to separations in more detail. </w:t>
      </w:r>
      <w:r w:rsidR="003E7E4E" w:rsidRPr="005F62F4">
        <w:rPr>
          <w:lang w:eastAsia="en-AU"/>
        </w:rPr>
        <w:t>W</w:t>
      </w:r>
      <w:r w:rsidR="001A568F" w:rsidRPr="005F62F4">
        <w:rPr>
          <w:lang w:eastAsia="en-AU"/>
        </w:rPr>
        <w:t>hile</w:t>
      </w:r>
      <w:r w:rsidR="00730F36" w:rsidRPr="005F62F4">
        <w:rPr>
          <w:lang w:eastAsia="en-AU"/>
        </w:rPr>
        <w:t xml:space="preserve"> </w:t>
      </w:r>
      <w:proofErr w:type="gramStart"/>
      <w:r w:rsidR="00730F36" w:rsidRPr="005F62F4">
        <w:rPr>
          <w:lang w:eastAsia="en-AU"/>
        </w:rPr>
        <w:t>the vast majority of</w:t>
      </w:r>
      <w:proofErr w:type="gramEnd"/>
      <w:r w:rsidR="00730F36" w:rsidRPr="005F62F4">
        <w:rPr>
          <w:lang w:eastAsia="en-AU"/>
        </w:rPr>
        <w:t xml:space="preserve"> </w:t>
      </w:r>
      <w:r w:rsidR="00EF23AF" w:rsidRPr="005F62F4">
        <w:rPr>
          <w:lang w:eastAsia="en-AU"/>
        </w:rPr>
        <w:t xml:space="preserve">hospital separations involved just one or 2 items, </w:t>
      </w:r>
      <w:r w:rsidR="003E7E4E" w:rsidRPr="005F62F4">
        <w:rPr>
          <w:lang w:eastAsia="en-AU"/>
        </w:rPr>
        <w:t>rece</w:t>
      </w:r>
      <w:r w:rsidR="009E68F2" w:rsidRPr="005F62F4">
        <w:rPr>
          <w:lang w:eastAsia="en-AU"/>
        </w:rPr>
        <w:t xml:space="preserve">nt years </w:t>
      </w:r>
      <w:r w:rsidR="00B37A66" w:rsidRPr="005F62F4">
        <w:rPr>
          <w:lang w:eastAsia="en-AU"/>
        </w:rPr>
        <w:t xml:space="preserve">have seen </w:t>
      </w:r>
      <w:r w:rsidR="00E84C6A" w:rsidRPr="005F62F4">
        <w:rPr>
          <w:lang w:eastAsia="en-AU"/>
        </w:rPr>
        <w:t xml:space="preserve">large numbers of items used in </w:t>
      </w:r>
      <w:r w:rsidR="00B37A66" w:rsidRPr="005F62F4">
        <w:rPr>
          <w:lang w:eastAsia="en-AU"/>
        </w:rPr>
        <w:t>a small but growing number of separations</w:t>
      </w:r>
      <w:r w:rsidR="009B5F85" w:rsidRPr="005F62F4">
        <w:rPr>
          <w:lang w:eastAsia="en-AU"/>
        </w:rPr>
        <w:t>. In 2020</w:t>
      </w:r>
      <w:r w:rsidR="009B5F85" w:rsidRPr="005F62F4">
        <w:t xml:space="preserve">–21, </w:t>
      </w:r>
      <w:r w:rsidR="00143AE9" w:rsidRPr="005F62F4">
        <w:t xml:space="preserve">5 or more </w:t>
      </w:r>
      <w:r w:rsidR="00286835" w:rsidRPr="005F62F4">
        <w:t xml:space="preserve">surgical guides and </w:t>
      </w:r>
      <w:proofErr w:type="spellStart"/>
      <w:r w:rsidR="00286835" w:rsidRPr="005F62F4">
        <w:t>biomodels</w:t>
      </w:r>
      <w:proofErr w:type="spellEnd"/>
      <w:r w:rsidR="00286835" w:rsidRPr="005F62F4">
        <w:t xml:space="preserve"> </w:t>
      </w:r>
      <w:r w:rsidR="00143AE9" w:rsidRPr="005F62F4">
        <w:t xml:space="preserve">were used in </w:t>
      </w:r>
      <w:r w:rsidR="009B5F85" w:rsidRPr="005F62F4">
        <w:t xml:space="preserve">5% </w:t>
      </w:r>
      <w:r w:rsidR="00143AE9" w:rsidRPr="005F62F4">
        <w:t xml:space="preserve">and 8% of </w:t>
      </w:r>
      <w:r w:rsidR="003712D9" w:rsidRPr="005F62F4">
        <w:t>separations, respectively</w:t>
      </w:r>
      <w:r w:rsidR="00EF23AF" w:rsidRPr="005F62F4">
        <w:rPr>
          <w:lang w:eastAsia="en-AU"/>
        </w:rPr>
        <w:t>.</w:t>
      </w:r>
    </w:p>
    <w:p w14:paraId="03F63051" w14:textId="58910BCC" w:rsidR="002E0C0C" w:rsidRPr="005F62F4" w:rsidRDefault="00E56C05" w:rsidP="002E0C0C">
      <w:pPr>
        <w:pStyle w:val="Caption"/>
      </w:pPr>
      <w:bookmarkStart w:id="170" w:name="_Ref119871207"/>
      <w:bookmarkStart w:id="171" w:name="_Toc129954645"/>
      <w:r w:rsidRPr="005F62F4">
        <w:t>Table </w:t>
      </w:r>
      <w:r w:rsidRPr="005F62F4">
        <w:fldChar w:fldCharType="begin"/>
      </w:r>
      <w:r w:rsidRPr="005F62F4">
        <w:instrText>SEQ Table \* ARABIC</w:instrText>
      </w:r>
      <w:r w:rsidRPr="005F62F4">
        <w:fldChar w:fldCharType="separate"/>
      </w:r>
      <w:r w:rsidR="005606BF">
        <w:rPr>
          <w:noProof/>
        </w:rPr>
        <w:t>8</w:t>
      </w:r>
      <w:r w:rsidRPr="005F62F4">
        <w:fldChar w:fldCharType="end"/>
      </w:r>
      <w:bookmarkEnd w:id="170"/>
      <w:r w:rsidR="002E0C0C" w:rsidRPr="005F62F4">
        <w:t xml:space="preserve">: Number of </w:t>
      </w:r>
      <w:proofErr w:type="spellStart"/>
      <w:r w:rsidR="002E0C0C" w:rsidRPr="005F62F4">
        <w:t>biomodels</w:t>
      </w:r>
      <w:proofErr w:type="spellEnd"/>
      <w:r w:rsidR="002E0C0C" w:rsidRPr="005F62F4">
        <w:t xml:space="preserve"> used per separation, by financial year</w:t>
      </w:r>
      <w:bookmarkEnd w:id="171"/>
    </w:p>
    <w:tbl>
      <w:tblPr>
        <w:tblStyle w:val="SGB"/>
        <w:tblW w:w="9436" w:type="dxa"/>
        <w:tblLayout w:type="fixed"/>
        <w:tblLook w:val="0420" w:firstRow="1" w:lastRow="0" w:firstColumn="0" w:lastColumn="0" w:noHBand="0" w:noVBand="1"/>
      </w:tblPr>
      <w:tblGrid>
        <w:gridCol w:w="1276"/>
        <w:gridCol w:w="1020"/>
        <w:gridCol w:w="1020"/>
        <w:gridCol w:w="1020"/>
        <w:gridCol w:w="1020"/>
        <w:gridCol w:w="1020"/>
        <w:gridCol w:w="1020"/>
        <w:gridCol w:w="1020"/>
        <w:gridCol w:w="1020"/>
      </w:tblGrid>
      <w:tr w:rsidR="00D836E1" w:rsidRPr="005F62F4" w14:paraId="230C0A53" w14:textId="55FE6743" w:rsidTr="004D3C39">
        <w:trPr>
          <w:cnfStyle w:val="100000000000" w:firstRow="1" w:lastRow="0" w:firstColumn="0" w:lastColumn="0" w:oddVBand="0" w:evenVBand="0" w:oddHBand="0" w:evenHBand="0" w:firstRowFirstColumn="0" w:firstRowLastColumn="0" w:lastRowFirstColumn="0" w:lastRowLastColumn="0"/>
          <w:trHeight w:val="411"/>
        </w:trPr>
        <w:tc>
          <w:tcPr>
            <w:tcW w:w="1276" w:type="dxa"/>
          </w:tcPr>
          <w:p w14:paraId="5B4B08A7" w14:textId="6FBC43A1" w:rsidR="00F80DE6" w:rsidRPr="005F62F4" w:rsidRDefault="00F80DE6" w:rsidP="004D3C39">
            <w:pPr>
              <w:pStyle w:val="Tabletextkeep"/>
              <w:rPr>
                <w:b w:val="0"/>
                <w:szCs w:val="18"/>
              </w:rPr>
            </w:pPr>
            <w:bookmarkStart w:id="172" w:name="Title_10" w:colFirst="0" w:colLast="0"/>
            <w:bookmarkStart w:id="173" w:name="_Hlk119484716"/>
            <w:r w:rsidRPr="005F62F4">
              <w:rPr>
                <w:szCs w:val="18"/>
              </w:rPr>
              <w:t xml:space="preserve">Number </w:t>
            </w:r>
          </w:p>
        </w:tc>
        <w:tc>
          <w:tcPr>
            <w:tcW w:w="1020" w:type="dxa"/>
          </w:tcPr>
          <w:p w14:paraId="6897CFCE" w14:textId="776A815B" w:rsidR="00F80DE6" w:rsidRPr="005F62F4" w:rsidRDefault="007067D1" w:rsidP="004D3C39">
            <w:pPr>
              <w:pStyle w:val="TableTextRight"/>
              <w:rPr>
                <w:b w:val="0"/>
                <w:szCs w:val="18"/>
                <w:lang w:val="en-AU"/>
              </w:rPr>
            </w:pPr>
            <w:r w:rsidRPr="005F62F4">
              <w:rPr>
                <w:szCs w:val="18"/>
                <w:lang w:val="en-AU"/>
              </w:rPr>
              <w:t>2013–</w:t>
            </w:r>
            <w:r w:rsidR="00F80DE6" w:rsidRPr="005F62F4">
              <w:rPr>
                <w:szCs w:val="18"/>
                <w:lang w:val="en-AU"/>
              </w:rPr>
              <w:t>14</w:t>
            </w:r>
          </w:p>
        </w:tc>
        <w:tc>
          <w:tcPr>
            <w:tcW w:w="1020" w:type="dxa"/>
          </w:tcPr>
          <w:p w14:paraId="6325714E" w14:textId="17740DBF" w:rsidR="00F80DE6" w:rsidRPr="005F62F4" w:rsidRDefault="007067D1" w:rsidP="004D3C39">
            <w:pPr>
              <w:pStyle w:val="TableTextRight"/>
              <w:rPr>
                <w:szCs w:val="18"/>
                <w:lang w:val="en-AU"/>
              </w:rPr>
            </w:pPr>
            <w:r w:rsidRPr="005F62F4">
              <w:rPr>
                <w:szCs w:val="18"/>
                <w:lang w:val="en-AU"/>
              </w:rPr>
              <w:t>2014–</w:t>
            </w:r>
            <w:r w:rsidR="00F80DE6" w:rsidRPr="005F62F4">
              <w:rPr>
                <w:szCs w:val="18"/>
                <w:lang w:val="en-AU"/>
              </w:rPr>
              <w:t>15</w:t>
            </w:r>
          </w:p>
        </w:tc>
        <w:tc>
          <w:tcPr>
            <w:tcW w:w="1020" w:type="dxa"/>
          </w:tcPr>
          <w:p w14:paraId="59AE7BE5" w14:textId="34BACC7A" w:rsidR="00F80DE6" w:rsidRPr="005F62F4" w:rsidRDefault="007067D1" w:rsidP="004D3C39">
            <w:pPr>
              <w:pStyle w:val="TableTextRight"/>
              <w:rPr>
                <w:szCs w:val="18"/>
                <w:lang w:val="en-AU"/>
              </w:rPr>
            </w:pPr>
            <w:r w:rsidRPr="005F62F4">
              <w:rPr>
                <w:szCs w:val="18"/>
                <w:lang w:val="en-AU"/>
              </w:rPr>
              <w:t>2015–</w:t>
            </w:r>
            <w:r w:rsidR="00F80DE6" w:rsidRPr="005F62F4">
              <w:rPr>
                <w:szCs w:val="18"/>
                <w:lang w:val="en-AU"/>
              </w:rPr>
              <w:t>16</w:t>
            </w:r>
          </w:p>
        </w:tc>
        <w:tc>
          <w:tcPr>
            <w:tcW w:w="1020" w:type="dxa"/>
          </w:tcPr>
          <w:p w14:paraId="5329ECE9" w14:textId="2CEF4636" w:rsidR="00F80DE6" w:rsidRPr="005F62F4" w:rsidRDefault="007067D1" w:rsidP="004D3C39">
            <w:pPr>
              <w:pStyle w:val="TableTextRight"/>
              <w:rPr>
                <w:szCs w:val="18"/>
                <w:lang w:val="en-AU"/>
              </w:rPr>
            </w:pPr>
            <w:r w:rsidRPr="005F62F4">
              <w:rPr>
                <w:szCs w:val="18"/>
                <w:lang w:val="en-AU"/>
              </w:rPr>
              <w:t>2016–</w:t>
            </w:r>
            <w:r w:rsidR="00F80DE6" w:rsidRPr="005F62F4">
              <w:rPr>
                <w:szCs w:val="18"/>
                <w:lang w:val="en-AU"/>
              </w:rPr>
              <w:t>17</w:t>
            </w:r>
          </w:p>
        </w:tc>
        <w:tc>
          <w:tcPr>
            <w:tcW w:w="1020" w:type="dxa"/>
          </w:tcPr>
          <w:p w14:paraId="2837B2E7" w14:textId="1D084B4D" w:rsidR="00F80DE6" w:rsidRPr="005F62F4" w:rsidRDefault="007067D1" w:rsidP="004D3C39">
            <w:pPr>
              <w:pStyle w:val="TableTextRight"/>
              <w:rPr>
                <w:szCs w:val="18"/>
                <w:lang w:val="en-AU"/>
              </w:rPr>
            </w:pPr>
            <w:r w:rsidRPr="005F62F4">
              <w:rPr>
                <w:szCs w:val="18"/>
                <w:lang w:val="en-AU"/>
              </w:rPr>
              <w:t>2017–</w:t>
            </w:r>
            <w:r w:rsidR="00F80DE6" w:rsidRPr="005F62F4">
              <w:rPr>
                <w:szCs w:val="18"/>
                <w:lang w:val="en-AU"/>
              </w:rPr>
              <w:t>18</w:t>
            </w:r>
          </w:p>
        </w:tc>
        <w:tc>
          <w:tcPr>
            <w:tcW w:w="1020" w:type="dxa"/>
          </w:tcPr>
          <w:p w14:paraId="14B70CE1" w14:textId="7680465B" w:rsidR="00F80DE6" w:rsidRPr="005F62F4" w:rsidRDefault="007067D1" w:rsidP="004D3C39">
            <w:pPr>
              <w:pStyle w:val="TableTextRight"/>
              <w:rPr>
                <w:szCs w:val="18"/>
                <w:lang w:val="en-AU"/>
              </w:rPr>
            </w:pPr>
            <w:r w:rsidRPr="005F62F4">
              <w:rPr>
                <w:szCs w:val="18"/>
                <w:lang w:val="en-AU"/>
              </w:rPr>
              <w:t>2018–</w:t>
            </w:r>
            <w:r w:rsidR="00F80DE6" w:rsidRPr="005F62F4">
              <w:rPr>
                <w:szCs w:val="18"/>
                <w:lang w:val="en-AU"/>
              </w:rPr>
              <w:t>19</w:t>
            </w:r>
          </w:p>
        </w:tc>
        <w:tc>
          <w:tcPr>
            <w:tcW w:w="1020" w:type="dxa"/>
          </w:tcPr>
          <w:p w14:paraId="5B1C5380" w14:textId="772029EC" w:rsidR="00F80DE6" w:rsidRPr="005F62F4" w:rsidRDefault="007067D1" w:rsidP="004D3C39">
            <w:pPr>
              <w:pStyle w:val="TableTextRight"/>
              <w:rPr>
                <w:szCs w:val="18"/>
                <w:lang w:val="en-AU"/>
              </w:rPr>
            </w:pPr>
            <w:r w:rsidRPr="005F62F4">
              <w:rPr>
                <w:szCs w:val="18"/>
                <w:lang w:val="en-AU"/>
              </w:rPr>
              <w:t>2019–</w:t>
            </w:r>
            <w:r w:rsidR="00F80DE6" w:rsidRPr="005F62F4">
              <w:rPr>
                <w:szCs w:val="18"/>
                <w:lang w:val="en-AU"/>
              </w:rPr>
              <w:t>20</w:t>
            </w:r>
          </w:p>
        </w:tc>
        <w:tc>
          <w:tcPr>
            <w:tcW w:w="1020" w:type="dxa"/>
          </w:tcPr>
          <w:p w14:paraId="1BCC589F" w14:textId="0725EBFB" w:rsidR="00F80DE6" w:rsidRPr="005F62F4" w:rsidRDefault="007067D1" w:rsidP="004D3C39">
            <w:pPr>
              <w:pStyle w:val="TableTextRight"/>
              <w:rPr>
                <w:szCs w:val="18"/>
                <w:lang w:val="en-AU"/>
              </w:rPr>
            </w:pPr>
            <w:r w:rsidRPr="005F62F4">
              <w:rPr>
                <w:szCs w:val="18"/>
                <w:lang w:val="en-AU"/>
              </w:rPr>
              <w:t>2020–</w:t>
            </w:r>
            <w:r w:rsidR="00F80DE6" w:rsidRPr="005F62F4">
              <w:rPr>
                <w:szCs w:val="18"/>
                <w:lang w:val="en-AU"/>
              </w:rPr>
              <w:t>21</w:t>
            </w:r>
          </w:p>
        </w:tc>
      </w:tr>
      <w:bookmarkEnd w:id="172"/>
      <w:tr w:rsidR="00CB7FD8" w:rsidRPr="005F62F4" w14:paraId="760B20E8" w14:textId="0980310D" w:rsidTr="00CB7FD8">
        <w:trPr>
          <w:trHeight w:val="170"/>
        </w:trPr>
        <w:tc>
          <w:tcPr>
            <w:tcW w:w="1276" w:type="dxa"/>
          </w:tcPr>
          <w:p w14:paraId="1FF4C8A1" w14:textId="787A3F8D" w:rsidR="00CB7FD8" w:rsidRPr="005F62F4" w:rsidRDefault="00CB7FD8" w:rsidP="004D3C39">
            <w:pPr>
              <w:pStyle w:val="Tabletextkeep"/>
              <w:rPr>
                <w:szCs w:val="18"/>
              </w:rPr>
            </w:pPr>
            <w:r w:rsidRPr="005F62F4">
              <w:rPr>
                <w:szCs w:val="18"/>
              </w:rPr>
              <w:t>1</w:t>
            </w:r>
          </w:p>
        </w:tc>
        <w:tc>
          <w:tcPr>
            <w:tcW w:w="1020" w:type="dxa"/>
          </w:tcPr>
          <w:p w14:paraId="37755E6D" w14:textId="77777777" w:rsidR="00CB7FD8" w:rsidRPr="005F62F4" w:rsidRDefault="00CB7FD8" w:rsidP="00CB7FD8">
            <w:pPr>
              <w:pStyle w:val="TableTextRight"/>
              <w:rPr>
                <w:szCs w:val="18"/>
                <w:lang w:val="en-AU"/>
              </w:rPr>
            </w:pPr>
            <w:r>
              <w:t>[redacted]</w:t>
            </w:r>
          </w:p>
        </w:tc>
        <w:tc>
          <w:tcPr>
            <w:tcW w:w="1020" w:type="dxa"/>
          </w:tcPr>
          <w:p w14:paraId="4B5A9293" w14:textId="642E5246" w:rsidR="00CB7FD8" w:rsidRPr="005F62F4" w:rsidRDefault="00CB7FD8" w:rsidP="00CB7FD8">
            <w:pPr>
              <w:pStyle w:val="TableTextRight"/>
              <w:rPr>
                <w:szCs w:val="18"/>
                <w:lang w:val="en-AU"/>
              </w:rPr>
            </w:pPr>
            <w:r>
              <w:t>[redacted]</w:t>
            </w:r>
          </w:p>
        </w:tc>
        <w:tc>
          <w:tcPr>
            <w:tcW w:w="1020" w:type="dxa"/>
          </w:tcPr>
          <w:p w14:paraId="7E31EA4B" w14:textId="42CE2714" w:rsidR="00CB7FD8" w:rsidRPr="005F62F4" w:rsidRDefault="00CB7FD8" w:rsidP="00CB7FD8">
            <w:pPr>
              <w:pStyle w:val="TableTextRight"/>
              <w:rPr>
                <w:szCs w:val="18"/>
                <w:lang w:val="en-AU"/>
              </w:rPr>
            </w:pPr>
            <w:r>
              <w:t>[redacted]</w:t>
            </w:r>
          </w:p>
        </w:tc>
        <w:tc>
          <w:tcPr>
            <w:tcW w:w="1020" w:type="dxa"/>
          </w:tcPr>
          <w:p w14:paraId="41646E43" w14:textId="599BF600" w:rsidR="00CB7FD8" w:rsidRPr="005F62F4" w:rsidRDefault="00CB7FD8" w:rsidP="00CB7FD8">
            <w:pPr>
              <w:pStyle w:val="TableTextRight"/>
              <w:rPr>
                <w:szCs w:val="18"/>
                <w:lang w:val="en-AU"/>
              </w:rPr>
            </w:pPr>
            <w:r>
              <w:t>[redacted]</w:t>
            </w:r>
          </w:p>
        </w:tc>
        <w:tc>
          <w:tcPr>
            <w:tcW w:w="1020" w:type="dxa"/>
          </w:tcPr>
          <w:p w14:paraId="7396B04B" w14:textId="336CB23E" w:rsidR="00CB7FD8" w:rsidRPr="005F62F4" w:rsidRDefault="00CB7FD8" w:rsidP="004D3C39">
            <w:pPr>
              <w:pStyle w:val="TableTextRight"/>
              <w:rPr>
                <w:szCs w:val="18"/>
                <w:lang w:val="en-AU"/>
              </w:rPr>
            </w:pPr>
            <w:r w:rsidRPr="005F62F4">
              <w:rPr>
                <w:szCs w:val="18"/>
                <w:lang w:val="en-AU"/>
              </w:rPr>
              <w:t>92</w:t>
            </w:r>
          </w:p>
        </w:tc>
        <w:tc>
          <w:tcPr>
            <w:tcW w:w="1020" w:type="dxa"/>
          </w:tcPr>
          <w:p w14:paraId="56A039C6" w14:textId="1DD11C7B" w:rsidR="00CB7FD8" w:rsidRPr="005F62F4" w:rsidRDefault="00CB7FD8" w:rsidP="004D3C39">
            <w:pPr>
              <w:pStyle w:val="TableTextRight"/>
              <w:rPr>
                <w:szCs w:val="18"/>
                <w:lang w:val="en-AU"/>
              </w:rPr>
            </w:pPr>
            <w:r w:rsidRPr="005F62F4">
              <w:rPr>
                <w:szCs w:val="18"/>
                <w:lang w:val="en-AU"/>
              </w:rPr>
              <w:t>125</w:t>
            </w:r>
          </w:p>
        </w:tc>
        <w:tc>
          <w:tcPr>
            <w:tcW w:w="1020" w:type="dxa"/>
          </w:tcPr>
          <w:p w14:paraId="34F05B74" w14:textId="598682A5" w:rsidR="00CB7FD8" w:rsidRPr="005F62F4" w:rsidRDefault="00CB7FD8" w:rsidP="004D3C39">
            <w:pPr>
              <w:pStyle w:val="TableTextRight"/>
              <w:rPr>
                <w:szCs w:val="18"/>
                <w:lang w:val="en-AU"/>
              </w:rPr>
            </w:pPr>
            <w:r w:rsidRPr="005F62F4">
              <w:rPr>
                <w:szCs w:val="18"/>
                <w:lang w:val="en-AU"/>
              </w:rPr>
              <w:t>289</w:t>
            </w:r>
          </w:p>
        </w:tc>
        <w:tc>
          <w:tcPr>
            <w:tcW w:w="1020" w:type="dxa"/>
          </w:tcPr>
          <w:p w14:paraId="15E675C0" w14:textId="1AB5371C" w:rsidR="00CB7FD8" w:rsidRPr="005F62F4" w:rsidRDefault="00CB7FD8" w:rsidP="004D3C39">
            <w:pPr>
              <w:pStyle w:val="TableTextRight"/>
              <w:rPr>
                <w:szCs w:val="18"/>
                <w:lang w:val="en-AU"/>
              </w:rPr>
            </w:pPr>
            <w:r w:rsidRPr="005F62F4">
              <w:rPr>
                <w:szCs w:val="18"/>
                <w:lang w:val="en-AU"/>
              </w:rPr>
              <w:t>703</w:t>
            </w:r>
          </w:p>
        </w:tc>
      </w:tr>
      <w:tr w:rsidR="006F209B" w:rsidRPr="005F62F4" w14:paraId="38819B50" w14:textId="14D8FA7E" w:rsidTr="00CB7FD8">
        <w:trPr>
          <w:cnfStyle w:val="000000010000" w:firstRow="0" w:lastRow="0" w:firstColumn="0" w:lastColumn="0" w:oddVBand="0" w:evenVBand="0" w:oddHBand="0" w:evenHBand="1" w:firstRowFirstColumn="0" w:firstRowLastColumn="0" w:lastRowFirstColumn="0" w:lastRowLastColumn="0"/>
          <w:trHeight w:val="170"/>
        </w:trPr>
        <w:tc>
          <w:tcPr>
            <w:tcW w:w="1276" w:type="dxa"/>
          </w:tcPr>
          <w:p w14:paraId="23FA67DB" w14:textId="6D12EE23" w:rsidR="006F209B" w:rsidRPr="005F62F4" w:rsidRDefault="006F209B" w:rsidP="004D3C39">
            <w:pPr>
              <w:pStyle w:val="Tabletextkeep"/>
              <w:rPr>
                <w:szCs w:val="18"/>
              </w:rPr>
            </w:pPr>
            <w:r w:rsidRPr="005F62F4">
              <w:rPr>
                <w:szCs w:val="18"/>
              </w:rPr>
              <w:t>2</w:t>
            </w:r>
          </w:p>
        </w:tc>
        <w:tc>
          <w:tcPr>
            <w:tcW w:w="1020" w:type="dxa"/>
          </w:tcPr>
          <w:p w14:paraId="586F14E6" w14:textId="081A0CA8" w:rsidR="006F209B" w:rsidRPr="005F62F4" w:rsidRDefault="006F209B" w:rsidP="00CB7FD8">
            <w:pPr>
              <w:pStyle w:val="TableTextRight"/>
              <w:rPr>
                <w:szCs w:val="18"/>
                <w:lang w:val="en-AU"/>
              </w:rPr>
            </w:pPr>
          </w:p>
        </w:tc>
        <w:tc>
          <w:tcPr>
            <w:tcW w:w="1020" w:type="dxa"/>
          </w:tcPr>
          <w:p w14:paraId="6BE22459" w14:textId="1BA1109F" w:rsidR="006F209B" w:rsidRPr="005F62F4" w:rsidRDefault="006F209B" w:rsidP="00CB7FD8">
            <w:pPr>
              <w:pStyle w:val="TableTextRight"/>
              <w:rPr>
                <w:szCs w:val="18"/>
                <w:lang w:val="en-AU"/>
              </w:rPr>
            </w:pPr>
            <w:r>
              <w:t>[redacted]</w:t>
            </w:r>
          </w:p>
        </w:tc>
        <w:tc>
          <w:tcPr>
            <w:tcW w:w="1020" w:type="dxa"/>
          </w:tcPr>
          <w:p w14:paraId="5D995075" w14:textId="7A524423" w:rsidR="006F209B" w:rsidRPr="005F62F4" w:rsidRDefault="006F209B" w:rsidP="00CB7FD8">
            <w:pPr>
              <w:pStyle w:val="TableTextRight"/>
              <w:rPr>
                <w:szCs w:val="18"/>
                <w:lang w:val="en-AU"/>
              </w:rPr>
            </w:pPr>
            <w:r>
              <w:t>[redacted]</w:t>
            </w:r>
          </w:p>
        </w:tc>
        <w:tc>
          <w:tcPr>
            <w:tcW w:w="1020" w:type="dxa"/>
          </w:tcPr>
          <w:p w14:paraId="43B7625A" w14:textId="4EFD195B" w:rsidR="006F209B" w:rsidRPr="005F62F4" w:rsidRDefault="006F209B" w:rsidP="00CB7FD8">
            <w:pPr>
              <w:pStyle w:val="TableTextRight"/>
              <w:rPr>
                <w:szCs w:val="18"/>
                <w:lang w:val="en-AU"/>
              </w:rPr>
            </w:pPr>
            <w:r>
              <w:t>[redacted]</w:t>
            </w:r>
          </w:p>
        </w:tc>
        <w:tc>
          <w:tcPr>
            <w:tcW w:w="1020" w:type="dxa"/>
          </w:tcPr>
          <w:p w14:paraId="1663DDC6" w14:textId="461CE23F" w:rsidR="006F209B" w:rsidRPr="005F62F4" w:rsidRDefault="006F209B" w:rsidP="004D3C39">
            <w:pPr>
              <w:pStyle w:val="TableTextRight"/>
              <w:rPr>
                <w:szCs w:val="18"/>
                <w:lang w:val="en-AU"/>
              </w:rPr>
            </w:pPr>
            <w:r w:rsidRPr="005F62F4">
              <w:rPr>
                <w:szCs w:val="18"/>
                <w:lang w:val="en-AU"/>
              </w:rPr>
              <w:t>150</w:t>
            </w:r>
          </w:p>
        </w:tc>
        <w:tc>
          <w:tcPr>
            <w:tcW w:w="1020" w:type="dxa"/>
          </w:tcPr>
          <w:p w14:paraId="0D89B2DA" w14:textId="389E994C" w:rsidR="006F209B" w:rsidRPr="005F62F4" w:rsidRDefault="006F209B" w:rsidP="004D3C39">
            <w:pPr>
              <w:pStyle w:val="TableTextRight"/>
              <w:rPr>
                <w:szCs w:val="18"/>
                <w:lang w:val="en-AU"/>
              </w:rPr>
            </w:pPr>
            <w:r w:rsidRPr="005F62F4">
              <w:rPr>
                <w:szCs w:val="18"/>
                <w:lang w:val="en-AU"/>
              </w:rPr>
              <w:t>241</w:t>
            </w:r>
          </w:p>
        </w:tc>
        <w:tc>
          <w:tcPr>
            <w:tcW w:w="1020" w:type="dxa"/>
          </w:tcPr>
          <w:p w14:paraId="3EDA0F50" w14:textId="5A88934B" w:rsidR="006F209B" w:rsidRPr="005F62F4" w:rsidRDefault="006F209B" w:rsidP="004D3C39">
            <w:pPr>
              <w:pStyle w:val="TableTextRight"/>
              <w:rPr>
                <w:szCs w:val="18"/>
                <w:lang w:val="en-AU"/>
              </w:rPr>
            </w:pPr>
            <w:r w:rsidRPr="005F62F4">
              <w:rPr>
                <w:szCs w:val="18"/>
                <w:lang w:val="en-AU"/>
              </w:rPr>
              <w:t>291</w:t>
            </w:r>
          </w:p>
        </w:tc>
        <w:tc>
          <w:tcPr>
            <w:tcW w:w="1020" w:type="dxa"/>
          </w:tcPr>
          <w:p w14:paraId="630E7AE1" w14:textId="358DD54C" w:rsidR="006F209B" w:rsidRPr="005F62F4" w:rsidRDefault="006F209B" w:rsidP="004D3C39">
            <w:pPr>
              <w:pStyle w:val="TableTextRight"/>
              <w:rPr>
                <w:szCs w:val="18"/>
                <w:lang w:val="en-AU"/>
              </w:rPr>
            </w:pPr>
            <w:r w:rsidRPr="005F62F4">
              <w:rPr>
                <w:szCs w:val="18"/>
                <w:lang w:val="en-AU"/>
              </w:rPr>
              <w:t>469</w:t>
            </w:r>
          </w:p>
        </w:tc>
      </w:tr>
      <w:tr w:rsidR="00A353E6" w:rsidRPr="005F62F4" w14:paraId="1037CE98" w14:textId="7FF954F9" w:rsidTr="00CB7FD8">
        <w:trPr>
          <w:trHeight w:val="170"/>
        </w:trPr>
        <w:tc>
          <w:tcPr>
            <w:tcW w:w="1276" w:type="dxa"/>
          </w:tcPr>
          <w:p w14:paraId="5F302B25" w14:textId="1D8A954D" w:rsidR="00F80DE6" w:rsidRPr="005F62F4" w:rsidRDefault="00F80DE6" w:rsidP="004D3C39">
            <w:pPr>
              <w:pStyle w:val="Tabletextkeep"/>
              <w:rPr>
                <w:rFonts w:cs="Arial"/>
                <w:szCs w:val="18"/>
              </w:rPr>
            </w:pPr>
            <w:r w:rsidRPr="005F62F4">
              <w:rPr>
                <w:rFonts w:cs="Arial"/>
                <w:szCs w:val="18"/>
              </w:rPr>
              <w:t>3</w:t>
            </w:r>
          </w:p>
        </w:tc>
        <w:tc>
          <w:tcPr>
            <w:tcW w:w="1020" w:type="dxa"/>
          </w:tcPr>
          <w:p w14:paraId="55F41789" w14:textId="77777777" w:rsidR="00F80DE6" w:rsidRPr="005F62F4" w:rsidRDefault="00F80DE6" w:rsidP="00CB7FD8">
            <w:pPr>
              <w:pStyle w:val="TableTextRight"/>
              <w:rPr>
                <w:rFonts w:cs="Arial"/>
                <w:szCs w:val="18"/>
                <w:lang w:val="en-AU"/>
              </w:rPr>
            </w:pPr>
          </w:p>
        </w:tc>
        <w:tc>
          <w:tcPr>
            <w:tcW w:w="1020" w:type="dxa"/>
          </w:tcPr>
          <w:p w14:paraId="4290E7CE" w14:textId="77777777" w:rsidR="00F80DE6" w:rsidRPr="005F62F4" w:rsidRDefault="00F80DE6" w:rsidP="00CB7FD8">
            <w:pPr>
              <w:pStyle w:val="TableTextRight"/>
              <w:rPr>
                <w:rFonts w:cs="Arial"/>
                <w:szCs w:val="18"/>
                <w:lang w:val="en-AU"/>
              </w:rPr>
            </w:pPr>
          </w:p>
        </w:tc>
        <w:tc>
          <w:tcPr>
            <w:tcW w:w="1020" w:type="dxa"/>
          </w:tcPr>
          <w:p w14:paraId="4001ACDE" w14:textId="77777777" w:rsidR="00F80DE6" w:rsidRPr="005F62F4" w:rsidRDefault="00F80DE6" w:rsidP="00CB7FD8">
            <w:pPr>
              <w:pStyle w:val="TableTextRight"/>
              <w:rPr>
                <w:rFonts w:cs="Arial"/>
                <w:szCs w:val="18"/>
                <w:lang w:val="en-AU"/>
              </w:rPr>
            </w:pPr>
          </w:p>
        </w:tc>
        <w:tc>
          <w:tcPr>
            <w:tcW w:w="1020" w:type="dxa"/>
          </w:tcPr>
          <w:p w14:paraId="4560FA97" w14:textId="64540E4D" w:rsidR="00F80DE6" w:rsidRPr="005F62F4" w:rsidRDefault="00AC5B2E" w:rsidP="00CB7FD8">
            <w:pPr>
              <w:pStyle w:val="TableTextRight"/>
              <w:rPr>
                <w:rFonts w:cs="Arial"/>
                <w:szCs w:val="18"/>
                <w:lang w:val="en-AU"/>
              </w:rPr>
            </w:pPr>
            <w:r>
              <w:t>[redacted]</w:t>
            </w:r>
          </w:p>
        </w:tc>
        <w:tc>
          <w:tcPr>
            <w:tcW w:w="1020" w:type="dxa"/>
          </w:tcPr>
          <w:p w14:paraId="6147F30D" w14:textId="63473E5E" w:rsidR="00F80DE6" w:rsidRPr="005F62F4" w:rsidRDefault="00F80DE6" w:rsidP="004D3C39">
            <w:pPr>
              <w:pStyle w:val="TableTextRight"/>
              <w:rPr>
                <w:rFonts w:cs="Arial"/>
                <w:szCs w:val="18"/>
                <w:lang w:val="en-AU"/>
              </w:rPr>
            </w:pPr>
            <w:proofErr w:type="spellStart"/>
            <w:r w:rsidRPr="005F62F4">
              <w:rPr>
                <w:rFonts w:cs="Arial"/>
                <w:szCs w:val="18"/>
                <w:lang w:val="en-AU"/>
              </w:rPr>
              <w:t>n.p.</w:t>
            </w:r>
            <w:proofErr w:type="spellEnd"/>
          </w:p>
        </w:tc>
        <w:tc>
          <w:tcPr>
            <w:tcW w:w="1020" w:type="dxa"/>
          </w:tcPr>
          <w:p w14:paraId="49D9B0E0" w14:textId="2DC1F6B0" w:rsidR="00F80DE6" w:rsidRPr="005F62F4" w:rsidRDefault="00F80DE6" w:rsidP="004D3C39">
            <w:pPr>
              <w:pStyle w:val="TableTextRight"/>
              <w:rPr>
                <w:rFonts w:cs="Arial"/>
                <w:szCs w:val="18"/>
                <w:lang w:val="en-AU"/>
              </w:rPr>
            </w:pPr>
            <w:r w:rsidRPr="005F62F4">
              <w:rPr>
                <w:rFonts w:cs="Arial"/>
                <w:szCs w:val="18"/>
                <w:lang w:val="en-AU"/>
              </w:rPr>
              <w:t>12</w:t>
            </w:r>
          </w:p>
        </w:tc>
        <w:tc>
          <w:tcPr>
            <w:tcW w:w="1020" w:type="dxa"/>
          </w:tcPr>
          <w:p w14:paraId="5F53E860" w14:textId="0DDFE4D6" w:rsidR="00F80DE6" w:rsidRPr="005F62F4" w:rsidRDefault="00F80DE6" w:rsidP="004D3C39">
            <w:pPr>
              <w:pStyle w:val="TableTextRight"/>
              <w:rPr>
                <w:rFonts w:cs="Arial"/>
                <w:szCs w:val="18"/>
                <w:lang w:val="en-AU"/>
              </w:rPr>
            </w:pPr>
            <w:r w:rsidRPr="005F62F4">
              <w:rPr>
                <w:rFonts w:cs="Arial"/>
                <w:szCs w:val="18"/>
                <w:lang w:val="en-AU"/>
              </w:rPr>
              <w:t>17</w:t>
            </w:r>
          </w:p>
        </w:tc>
        <w:tc>
          <w:tcPr>
            <w:tcW w:w="1020" w:type="dxa"/>
          </w:tcPr>
          <w:p w14:paraId="1B3DC4A1" w14:textId="0A790581" w:rsidR="00F80DE6" w:rsidRPr="005F62F4" w:rsidRDefault="00F80DE6" w:rsidP="004D3C39">
            <w:pPr>
              <w:pStyle w:val="TableTextRight"/>
              <w:rPr>
                <w:rFonts w:cs="Arial"/>
                <w:szCs w:val="18"/>
                <w:lang w:val="en-AU"/>
              </w:rPr>
            </w:pPr>
            <w:r w:rsidRPr="005F62F4">
              <w:rPr>
                <w:rFonts w:cs="Arial"/>
                <w:szCs w:val="18"/>
                <w:lang w:val="en-AU"/>
              </w:rPr>
              <w:t>46</w:t>
            </w:r>
          </w:p>
        </w:tc>
      </w:tr>
      <w:tr w:rsidR="00F578CD" w:rsidRPr="005F62F4" w14:paraId="12BA3F94" w14:textId="77777777" w:rsidTr="00CB7FD8">
        <w:trPr>
          <w:cnfStyle w:val="000000010000" w:firstRow="0" w:lastRow="0" w:firstColumn="0" w:lastColumn="0" w:oddVBand="0" w:evenVBand="0" w:oddHBand="0" w:evenHBand="1" w:firstRowFirstColumn="0" w:firstRowLastColumn="0" w:lastRowFirstColumn="0" w:lastRowLastColumn="0"/>
          <w:trHeight w:val="170"/>
        </w:trPr>
        <w:tc>
          <w:tcPr>
            <w:tcW w:w="1276" w:type="dxa"/>
          </w:tcPr>
          <w:p w14:paraId="288B8971" w14:textId="0D63DAB1" w:rsidR="00F80DE6" w:rsidRPr="005F62F4" w:rsidRDefault="00F80DE6" w:rsidP="004D3C39">
            <w:pPr>
              <w:pStyle w:val="Tabletextkeep"/>
              <w:rPr>
                <w:rFonts w:cs="Arial"/>
                <w:szCs w:val="18"/>
              </w:rPr>
            </w:pPr>
            <w:r w:rsidRPr="005F62F4">
              <w:rPr>
                <w:rFonts w:cs="Arial"/>
                <w:szCs w:val="18"/>
              </w:rPr>
              <w:t>4</w:t>
            </w:r>
          </w:p>
        </w:tc>
        <w:tc>
          <w:tcPr>
            <w:tcW w:w="1020" w:type="dxa"/>
          </w:tcPr>
          <w:p w14:paraId="0C24814E" w14:textId="77777777" w:rsidR="00F80DE6" w:rsidRPr="005F62F4" w:rsidRDefault="00F80DE6" w:rsidP="00CB7FD8">
            <w:pPr>
              <w:pStyle w:val="TableTextRight"/>
              <w:rPr>
                <w:rFonts w:cs="Arial"/>
                <w:szCs w:val="18"/>
                <w:lang w:val="en-AU"/>
              </w:rPr>
            </w:pPr>
          </w:p>
        </w:tc>
        <w:tc>
          <w:tcPr>
            <w:tcW w:w="1020" w:type="dxa"/>
          </w:tcPr>
          <w:p w14:paraId="6F814B39" w14:textId="77777777" w:rsidR="00F80DE6" w:rsidRPr="005F62F4" w:rsidRDefault="00F80DE6" w:rsidP="00CB7FD8">
            <w:pPr>
              <w:pStyle w:val="TableTextRight"/>
              <w:rPr>
                <w:rFonts w:cs="Arial"/>
                <w:szCs w:val="18"/>
                <w:lang w:val="en-AU"/>
              </w:rPr>
            </w:pPr>
          </w:p>
        </w:tc>
        <w:tc>
          <w:tcPr>
            <w:tcW w:w="1020" w:type="dxa"/>
          </w:tcPr>
          <w:p w14:paraId="4E2FCB42" w14:textId="77777777" w:rsidR="00F80DE6" w:rsidRPr="005F62F4" w:rsidRDefault="00F80DE6" w:rsidP="00CB7FD8">
            <w:pPr>
              <w:pStyle w:val="TableTextRight"/>
              <w:rPr>
                <w:rFonts w:cs="Arial"/>
                <w:szCs w:val="18"/>
                <w:lang w:val="en-AU"/>
              </w:rPr>
            </w:pPr>
          </w:p>
        </w:tc>
        <w:tc>
          <w:tcPr>
            <w:tcW w:w="1020" w:type="dxa"/>
          </w:tcPr>
          <w:p w14:paraId="1A957F11" w14:textId="5EBC4EB3" w:rsidR="00F80DE6" w:rsidRPr="005F62F4" w:rsidRDefault="00AC5B2E" w:rsidP="00CB7FD8">
            <w:pPr>
              <w:pStyle w:val="TableTextRight"/>
              <w:rPr>
                <w:rFonts w:cs="Arial"/>
                <w:szCs w:val="18"/>
                <w:lang w:val="en-AU"/>
              </w:rPr>
            </w:pPr>
            <w:r>
              <w:t>[redacted]</w:t>
            </w:r>
          </w:p>
        </w:tc>
        <w:tc>
          <w:tcPr>
            <w:tcW w:w="1020" w:type="dxa"/>
          </w:tcPr>
          <w:p w14:paraId="74386BB7" w14:textId="3122BBCD" w:rsidR="00F80DE6" w:rsidRPr="005F62F4" w:rsidRDefault="00F80DE6" w:rsidP="004D3C39">
            <w:pPr>
              <w:pStyle w:val="TableTextRight"/>
              <w:rPr>
                <w:rFonts w:cs="Arial"/>
                <w:szCs w:val="18"/>
                <w:lang w:val="en-AU"/>
              </w:rPr>
            </w:pPr>
            <w:r w:rsidRPr="005F62F4">
              <w:rPr>
                <w:rFonts w:cs="Arial"/>
                <w:szCs w:val="18"/>
                <w:lang w:val="en-AU"/>
              </w:rPr>
              <w:t>18</w:t>
            </w:r>
          </w:p>
        </w:tc>
        <w:tc>
          <w:tcPr>
            <w:tcW w:w="1020" w:type="dxa"/>
          </w:tcPr>
          <w:p w14:paraId="338942B1" w14:textId="7433DB03" w:rsidR="00F80DE6" w:rsidRPr="005F62F4" w:rsidRDefault="00F80DE6" w:rsidP="004D3C39">
            <w:pPr>
              <w:pStyle w:val="TableTextRight"/>
              <w:rPr>
                <w:rFonts w:cs="Arial"/>
                <w:szCs w:val="18"/>
                <w:lang w:val="en-AU"/>
              </w:rPr>
            </w:pPr>
            <w:r w:rsidRPr="005F62F4">
              <w:rPr>
                <w:rFonts w:cs="Arial"/>
                <w:szCs w:val="18"/>
                <w:lang w:val="en-AU"/>
              </w:rPr>
              <w:t>44</w:t>
            </w:r>
          </w:p>
        </w:tc>
        <w:tc>
          <w:tcPr>
            <w:tcW w:w="1020" w:type="dxa"/>
          </w:tcPr>
          <w:p w14:paraId="33D059D7" w14:textId="1B9A7825" w:rsidR="00F80DE6" w:rsidRPr="005F62F4" w:rsidRDefault="00F80DE6" w:rsidP="004D3C39">
            <w:pPr>
              <w:pStyle w:val="TableTextRight"/>
              <w:rPr>
                <w:rFonts w:cs="Arial"/>
                <w:szCs w:val="18"/>
                <w:lang w:val="en-AU"/>
              </w:rPr>
            </w:pPr>
            <w:r w:rsidRPr="005F62F4">
              <w:rPr>
                <w:rFonts w:cs="Arial"/>
                <w:szCs w:val="18"/>
                <w:lang w:val="en-AU"/>
              </w:rPr>
              <w:t>46</w:t>
            </w:r>
          </w:p>
        </w:tc>
        <w:tc>
          <w:tcPr>
            <w:tcW w:w="1020" w:type="dxa"/>
          </w:tcPr>
          <w:p w14:paraId="5B136944" w14:textId="1BCE60A3" w:rsidR="00F80DE6" w:rsidRPr="005F62F4" w:rsidRDefault="00F80DE6" w:rsidP="004D3C39">
            <w:pPr>
              <w:pStyle w:val="TableTextRight"/>
              <w:rPr>
                <w:rFonts w:cs="Arial"/>
                <w:szCs w:val="18"/>
                <w:lang w:val="en-AU"/>
              </w:rPr>
            </w:pPr>
            <w:r w:rsidRPr="005F62F4">
              <w:rPr>
                <w:rFonts w:cs="Arial"/>
                <w:szCs w:val="18"/>
                <w:lang w:val="en-AU"/>
              </w:rPr>
              <w:t>76</w:t>
            </w:r>
          </w:p>
        </w:tc>
      </w:tr>
      <w:tr w:rsidR="00A353E6" w:rsidRPr="005F62F4" w14:paraId="3E18E247" w14:textId="77777777" w:rsidTr="004D3C39">
        <w:trPr>
          <w:trHeight w:val="170"/>
        </w:trPr>
        <w:tc>
          <w:tcPr>
            <w:tcW w:w="1276" w:type="dxa"/>
          </w:tcPr>
          <w:p w14:paraId="55173086" w14:textId="7B53C463" w:rsidR="00F80DE6" w:rsidRPr="005F62F4" w:rsidRDefault="00F80DE6" w:rsidP="004D3C39">
            <w:pPr>
              <w:pStyle w:val="TableText"/>
              <w:rPr>
                <w:szCs w:val="18"/>
              </w:rPr>
            </w:pPr>
            <w:r w:rsidRPr="005F62F4">
              <w:rPr>
                <w:szCs w:val="18"/>
              </w:rPr>
              <w:t>5 or more</w:t>
            </w:r>
          </w:p>
        </w:tc>
        <w:tc>
          <w:tcPr>
            <w:tcW w:w="1020" w:type="dxa"/>
          </w:tcPr>
          <w:p w14:paraId="75AD5F6A" w14:textId="77777777" w:rsidR="00F80DE6" w:rsidRPr="005F62F4" w:rsidRDefault="00F80DE6" w:rsidP="004D3C39">
            <w:pPr>
              <w:pStyle w:val="TableTextRight"/>
              <w:rPr>
                <w:rFonts w:cs="Arial"/>
                <w:szCs w:val="18"/>
                <w:lang w:val="en-AU"/>
              </w:rPr>
            </w:pPr>
          </w:p>
        </w:tc>
        <w:tc>
          <w:tcPr>
            <w:tcW w:w="1020" w:type="dxa"/>
          </w:tcPr>
          <w:p w14:paraId="17326470" w14:textId="77777777" w:rsidR="00F80DE6" w:rsidRPr="005F62F4" w:rsidRDefault="00F80DE6" w:rsidP="004D3C39">
            <w:pPr>
              <w:pStyle w:val="TableTextRight"/>
              <w:rPr>
                <w:rFonts w:cs="Arial"/>
                <w:szCs w:val="18"/>
                <w:lang w:val="en-AU"/>
              </w:rPr>
            </w:pPr>
          </w:p>
        </w:tc>
        <w:tc>
          <w:tcPr>
            <w:tcW w:w="1020" w:type="dxa"/>
          </w:tcPr>
          <w:p w14:paraId="0343EB24" w14:textId="77777777" w:rsidR="00F80DE6" w:rsidRPr="005F62F4" w:rsidRDefault="00F80DE6" w:rsidP="004D3C39">
            <w:pPr>
              <w:pStyle w:val="TableTextRight"/>
              <w:rPr>
                <w:rFonts w:cs="Arial"/>
                <w:szCs w:val="18"/>
                <w:lang w:val="en-AU"/>
              </w:rPr>
            </w:pPr>
          </w:p>
        </w:tc>
        <w:tc>
          <w:tcPr>
            <w:tcW w:w="1020" w:type="dxa"/>
          </w:tcPr>
          <w:p w14:paraId="5FA07E5F" w14:textId="77777777" w:rsidR="00F80DE6" w:rsidRPr="005F62F4" w:rsidRDefault="00F80DE6" w:rsidP="004D3C39">
            <w:pPr>
              <w:pStyle w:val="TableTextRight"/>
              <w:rPr>
                <w:rFonts w:cs="Arial"/>
                <w:szCs w:val="18"/>
                <w:lang w:val="en-AU"/>
              </w:rPr>
            </w:pPr>
          </w:p>
        </w:tc>
        <w:tc>
          <w:tcPr>
            <w:tcW w:w="1020" w:type="dxa"/>
          </w:tcPr>
          <w:p w14:paraId="2B1CE87E" w14:textId="011708FC" w:rsidR="00F80DE6" w:rsidRPr="005F62F4" w:rsidRDefault="00F80DE6" w:rsidP="004D3C39">
            <w:pPr>
              <w:pStyle w:val="TableTextRight"/>
              <w:rPr>
                <w:rFonts w:cs="Arial"/>
                <w:szCs w:val="18"/>
                <w:lang w:val="en-AU"/>
              </w:rPr>
            </w:pPr>
            <w:proofErr w:type="spellStart"/>
            <w:r w:rsidRPr="005F62F4">
              <w:rPr>
                <w:rFonts w:cs="Arial"/>
                <w:szCs w:val="18"/>
                <w:lang w:val="en-AU"/>
              </w:rPr>
              <w:t>n.p.</w:t>
            </w:r>
            <w:proofErr w:type="spellEnd"/>
          </w:p>
        </w:tc>
        <w:tc>
          <w:tcPr>
            <w:tcW w:w="1020" w:type="dxa"/>
          </w:tcPr>
          <w:p w14:paraId="0F0FFC6C" w14:textId="60C424B3" w:rsidR="00F80DE6" w:rsidRPr="005F62F4" w:rsidRDefault="00F80DE6" w:rsidP="004D3C39">
            <w:pPr>
              <w:pStyle w:val="TableTextRight"/>
              <w:rPr>
                <w:rFonts w:cs="Arial"/>
                <w:szCs w:val="18"/>
                <w:lang w:val="en-AU"/>
              </w:rPr>
            </w:pPr>
            <w:r w:rsidRPr="005F62F4">
              <w:rPr>
                <w:rFonts w:cs="Arial"/>
                <w:szCs w:val="18"/>
                <w:lang w:val="en-AU"/>
              </w:rPr>
              <w:t>20</w:t>
            </w:r>
          </w:p>
        </w:tc>
        <w:tc>
          <w:tcPr>
            <w:tcW w:w="1020" w:type="dxa"/>
          </w:tcPr>
          <w:p w14:paraId="73537C1F" w14:textId="0427B0F0" w:rsidR="00F80DE6" w:rsidRPr="005F62F4" w:rsidRDefault="00F80DE6" w:rsidP="004D3C39">
            <w:pPr>
              <w:pStyle w:val="TableTextRight"/>
              <w:rPr>
                <w:rFonts w:cs="Arial"/>
                <w:szCs w:val="18"/>
                <w:lang w:val="en-AU"/>
              </w:rPr>
            </w:pPr>
            <w:r w:rsidRPr="005F62F4">
              <w:rPr>
                <w:rFonts w:cs="Arial"/>
                <w:szCs w:val="18"/>
                <w:lang w:val="en-AU"/>
              </w:rPr>
              <w:t>29</w:t>
            </w:r>
          </w:p>
        </w:tc>
        <w:tc>
          <w:tcPr>
            <w:tcW w:w="1020" w:type="dxa"/>
          </w:tcPr>
          <w:p w14:paraId="64CD96A3" w14:textId="19736BBD" w:rsidR="00F80DE6" w:rsidRPr="005F62F4" w:rsidRDefault="00F80DE6" w:rsidP="002A656F">
            <w:pPr>
              <w:pStyle w:val="TableTextRight"/>
              <w:keepNext/>
              <w:rPr>
                <w:rFonts w:cs="Arial"/>
                <w:szCs w:val="18"/>
                <w:lang w:val="en-AU"/>
              </w:rPr>
            </w:pPr>
            <w:r w:rsidRPr="005F62F4">
              <w:rPr>
                <w:rFonts w:cs="Arial"/>
                <w:szCs w:val="18"/>
                <w:lang w:val="en-AU"/>
              </w:rPr>
              <w:t>63</w:t>
            </w:r>
          </w:p>
        </w:tc>
      </w:tr>
    </w:tbl>
    <w:p w14:paraId="4898F7F9" w14:textId="0ADD12D3" w:rsidR="004F51CE" w:rsidRPr="005F62F4" w:rsidRDefault="004F51CE" w:rsidP="0000497A">
      <w:pPr>
        <w:pStyle w:val="TableText"/>
        <w:rPr>
          <w:lang w:eastAsia="en-AU"/>
        </w:rPr>
      </w:pPr>
      <w:bookmarkStart w:id="174" w:name="_Ref119871218"/>
      <w:r w:rsidRPr="005F62F4">
        <w:t xml:space="preserve">Cells annotated with </w:t>
      </w:r>
      <w:proofErr w:type="spellStart"/>
      <w:r w:rsidRPr="005F62F4">
        <w:t>n.p.</w:t>
      </w:r>
      <w:proofErr w:type="spellEnd"/>
      <w:r w:rsidRPr="005F62F4">
        <w:t xml:space="preserve"> indicate that there were fewer than 10 datapoints available and that the data was suppressed in files supplied by the department.</w:t>
      </w:r>
    </w:p>
    <w:p w14:paraId="156697D6" w14:textId="690965B4" w:rsidR="002E0C0C" w:rsidRPr="005F62F4" w:rsidRDefault="00E56C05" w:rsidP="002E0C0C">
      <w:pPr>
        <w:pStyle w:val="Caption"/>
      </w:pPr>
      <w:bookmarkStart w:id="175" w:name="_Ref120269485"/>
      <w:bookmarkStart w:id="176" w:name="_Toc129954646"/>
      <w:r w:rsidRPr="005F62F4">
        <w:t>Table </w:t>
      </w:r>
      <w:r w:rsidRPr="005F62F4">
        <w:fldChar w:fldCharType="begin"/>
      </w:r>
      <w:r w:rsidRPr="005F62F4">
        <w:instrText>SEQ Table \* ARABIC</w:instrText>
      </w:r>
      <w:r w:rsidRPr="005F62F4">
        <w:fldChar w:fldCharType="separate"/>
      </w:r>
      <w:r w:rsidR="005606BF">
        <w:rPr>
          <w:noProof/>
        </w:rPr>
        <w:t>9</w:t>
      </w:r>
      <w:r w:rsidRPr="005F62F4">
        <w:fldChar w:fldCharType="end"/>
      </w:r>
      <w:bookmarkEnd w:id="174"/>
      <w:bookmarkEnd w:id="175"/>
      <w:r w:rsidR="002E0C0C" w:rsidRPr="005F62F4">
        <w:t>: Number of surgical guides used per separation, by financial year</w:t>
      </w:r>
      <w:bookmarkEnd w:id="176"/>
    </w:p>
    <w:tbl>
      <w:tblPr>
        <w:tblStyle w:val="SGB"/>
        <w:tblW w:w="5000" w:type="pct"/>
        <w:tblLook w:val="0420" w:firstRow="1" w:lastRow="0" w:firstColumn="0" w:lastColumn="0" w:noHBand="0" w:noVBand="1"/>
      </w:tblPr>
      <w:tblGrid>
        <w:gridCol w:w="1037"/>
        <w:gridCol w:w="1037"/>
        <w:gridCol w:w="1038"/>
        <w:gridCol w:w="1038"/>
        <w:gridCol w:w="1038"/>
        <w:gridCol w:w="1038"/>
        <w:gridCol w:w="1038"/>
        <w:gridCol w:w="1038"/>
        <w:gridCol w:w="1030"/>
      </w:tblGrid>
      <w:tr w:rsidR="004D3C39" w:rsidRPr="005F62F4" w14:paraId="79E038CF" w14:textId="77777777" w:rsidTr="00A429DA">
        <w:trPr>
          <w:cnfStyle w:val="100000000000" w:firstRow="1" w:lastRow="0" w:firstColumn="0" w:lastColumn="0" w:oddVBand="0" w:evenVBand="0" w:oddHBand="0" w:evenHBand="0" w:firstRowFirstColumn="0" w:firstRowLastColumn="0" w:lastRowFirstColumn="0" w:lastRowLastColumn="0"/>
          <w:trHeight w:val="411"/>
        </w:trPr>
        <w:tc>
          <w:tcPr>
            <w:tcW w:w="556" w:type="pct"/>
          </w:tcPr>
          <w:p w14:paraId="79577F8C" w14:textId="77777777" w:rsidR="004D3C39" w:rsidRPr="005F62F4" w:rsidRDefault="004D3C39" w:rsidP="004D3C39">
            <w:pPr>
              <w:pStyle w:val="Tabletextkeep"/>
              <w:rPr>
                <w:b w:val="0"/>
                <w:szCs w:val="18"/>
              </w:rPr>
            </w:pPr>
            <w:bookmarkStart w:id="177" w:name="Title_11" w:colFirst="0" w:colLast="0"/>
            <w:r w:rsidRPr="005F62F4">
              <w:rPr>
                <w:szCs w:val="18"/>
              </w:rPr>
              <w:t xml:space="preserve">Number </w:t>
            </w:r>
          </w:p>
        </w:tc>
        <w:tc>
          <w:tcPr>
            <w:tcW w:w="556" w:type="pct"/>
          </w:tcPr>
          <w:p w14:paraId="2CC51E96" w14:textId="31943854" w:rsidR="004D3C39" w:rsidRPr="005F62F4" w:rsidRDefault="007067D1" w:rsidP="004D3C39">
            <w:pPr>
              <w:pStyle w:val="TableTextRight"/>
              <w:rPr>
                <w:b w:val="0"/>
                <w:szCs w:val="18"/>
                <w:lang w:val="en-AU"/>
              </w:rPr>
            </w:pPr>
            <w:r w:rsidRPr="005F62F4">
              <w:rPr>
                <w:szCs w:val="18"/>
                <w:lang w:val="en-AU"/>
              </w:rPr>
              <w:t>2013–</w:t>
            </w:r>
            <w:r w:rsidR="004D3C39" w:rsidRPr="005F62F4">
              <w:rPr>
                <w:szCs w:val="18"/>
                <w:lang w:val="en-AU"/>
              </w:rPr>
              <w:t>14</w:t>
            </w:r>
          </w:p>
        </w:tc>
        <w:tc>
          <w:tcPr>
            <w:tcW w:w="556" w:type="pct"/>
          </w:tcPr>
          <w:p w14:paraId="21333CBB" w14:textId="1E858C17" w:rsidR="004D3C39" w:rsidRPr="005F62F4" w:rsidRDefault="007067D1" w:rsidP="004D3C39">
            <w:pPr>
              <w:pStyle w:val="TableTextRight"/>
              <w:rPr>
                <w:szCs w:val="18"/>
                <w:lang w:val="en-AU"/>
              </w:rPr>
            </w:pPr>
            <w:r w:rsidRPr="005F62F4">
              <w:rPr>
                <w:szCs w:val="18"/>
                <w:lang w:val="en-AU"/>
              </w:rPr>
              <w:t>2014–</w:t>
            </w:r>
            <w:r w:rsidR="004D3C39" w:rsidRPr="005F62F4">
              <w:rPr>
                <w:szCs w:val="18"/>
                <w:lang w:val="en-AU"/>
              </w:rPr>
              <w:t>15</w:t>
            </w:r>
          </w:p>
        </w:tc>
        <w:tc>
          <w:tcPr>
            <w:tcW w:w="556" w:type="pct"/>
          </w:tcPr>
          <w:p w14:paraId="45AD9C6A" w14:textId="709B573A" w:rsidR="004D3C39" w:rsidRPr="005F62F4" w:rsidRDefault="007067D1" w:rsidP="004D3C39">
            <w:pPr>
              <w:pStyle w:val="TableTextRight"/>
              <w:rPr>
                <w:szCs w:val="18"/>
                <w:lang w:val="en-AU"/>
              </w:rPr>
            </w:pPr>
            <w:r w:rsidRPr="005F62F4">
              <w:rPr>
                <w:szCs w:val="18"/>
                <w:lang w:val="en-AU"/>
              </w:rPr>
              <w:t>2015–</w:t>
            </w:r>
            <w:r w:rsidR="004D3C39" w:rsidRPr="005F62F4">
              <w:rPr>
                <w:szCs w:val="18"/>
                <w:lang w:val="en-AU"/>
              </w:rPr>
              <w:t>16</w:t>
            </w:r>
          </w:p>
        </w:tc>
        <w:tc>
          <w:tcPr>
            <w:tcW w:w="556" w:type="pct"/>
          </w:tcPr>
          <w:p w14:paraId="3056571D" w14:textId="55072E90" w:rsidR="004D3C39" w:rsidRPr="005F62F4" w:rsidRDefault="007067D1" w:rsidP="004D3C39">
            <w:pPr>
              <w:pStyle w:val="TableTextRight"/>
              <w:rPr>
                <w:szCs w:val="18"/>
                <w:lang w:val="en-AU"/>
              </w:rPr>
            </w:pPr>
            <w:r w:rsidRPr="005F62F4">
              <w:rPr>
                <w:szCs w:val="18"/>
                <w:lang w:val="en-AU"/>
              </w:rPr>
              <w:t>2016–</w:t>
            </w:r>
            <w:r w:rsidR="004D3C39" w:rsidRPr="005F62F4">
              <w:rPr>
                <w:szCs w:val="18"/>
                <w:lang w:val="en-AU"/>
              </w:rPr>
              <w:t>17</w:t>
            </w:r>
          </w:p>
        </w:tc>
        <w:tc>
          <w:tcPr>
            <w:tcW w:w="556" w:type="pct"/>
          </w:tcPr>
          <w:p w14:paraId="7B58CDBF" w14:textId="1CF9596C" w:rsidR="004D3C39" w:rsidRPr="005F62F4" w:rsidRDefault="007067D1" w:rsidP="004D3C39">
            <w:pPr>
              <w:pStyle w:val="TableTextRight"/>
              <w:rPr>
                <w:szCs w:val="18"/>
                <w:lang w:val="en-AU"/>
              </w:rPr>
            </w:pPr>
            <w:r w:rsidRPr="005F62F4">
              <w:rPr>
                <w:szCs w:val="18"/>
                <w:lang w:val="en-AU"/>
              </w:rPr>
              <w:t>2017–</w:t>
            </w:r>
            <w:r w:rsidR="004D3C39" w:rsidRPr="005F62F4">
              <w:rPr>
                <w:szCs w:val="18"/>
                <w:lang w:val="en-AU"/>
              </w:rPr>
              <w:t>18</w:t>
            </w:r>
          </w:p>
        </w:tc>
        <w:tc>
          <w:tcPr>
            <w:tcW w:w="556" w:type="pct"/>
          </w:tcPr>
          <w:p w14:paraId="18DA0CE7" w14:textId="1B35C2E5" w:rsidR="004D3C39" w:rsidRPr="005F62F4" w:rsidRDefault="007067D1" w:rsidP="004D3C39">
            <w:pPr>
              <w:pStyle w:val="TableTextRight"/>
              <w:rPr>
                <w:szCs w:val="18"/>
                <w:lang w:val="en-AU"/>
              </w:rPr>
            </w:pPr>
            <w:r w:rsidRPr="005F62F4">
              <w:rPr>
                <w:szCs w:val="18"/>
                <w:lang w:val="en-AU"/>
              </w:rPr>
              <w:t>2018–</w:t>
            </w:r>
            <w:r w:rsidR="004D3C39" w:rsidRPr="005F62F4">
              <w:rPr>
                <w:szCs w:val="18"/>
                <w:lang w:val="en-AU"/>
              </w:rPr>
              <w:t>19</w:t>
            </w:r>
          </w:p>
        </w:tc>
        <w:tc>
          <w:tcPr>
            <w:tcW w:w="556" w:type="pct"/>
          </w:tcPr>
          <w:p w14:paraId="002DBEC8" w14:textId="375BB3D8" w:rsidR="004D3C39" w:rsidRPr="005F62F4" w:rsidRDefault="007067D1" w:rsidP="004D3C39">
            <w:pPr>
              <w:pStyle w:val="TableTextRight"/>
              <w:rPr>
                <w:szCs w:val="18"/>
                <w:lang w:val="en-AU"/>
              </w:rPr>
            </w:pPr>
            <w:r w:rsidRPr="005F62F4">
              <w:rPr>
                <w:szCs w:val="18"/>
                <w:lang w:val="en-AU"/>
              </w:rPr>
              <w:t>2019–</w:t>
            </w:r>
            <w:r w:rsidR="004D3C39" w:rsidRPr="005F62F4">
              <w:rPr>
                <w:szCs w:val="18"/>
                <w:lang w:val="en-AU"/>
              </w:rPr>
              <w:t>20</w:t>
            </w:r>
          </w:p>
        </w:tc>
        <w:tc>
          <w:tcPr>
            <w:tcW w:w="552" w:type="pct"/>
          </w:tcPr>
          <w:p w14:paraId="75FCAF5B" w14:textId="166EB313" w:rsidR="004D3C39" w:rsidRPr="005F62F4" w:rsidRDefault="007067D1" w:rsidP="004D3C39">
            <w:pPr>
              <w:pStyle w:val="TableTextRight"/>
              <w:rPr>
                <w:szCs w:val="18"/>
                <w:lang w:val="en-AU"/>
              </w:rPr>
            </w:pPr>
            <w:r w:rsidRPr="005F62F4">
              <w:rPr>
                <w:szCs w:val="18"/>
                <w:lang w:val="en-AU"/>
              </w:rPr>
              <w:t>2020–</w:t>
            </w:r>
            <w:r w:rsidR="004D3C39" w:rsidRPr="005F62F4">
              <w:rPr>
                <w:szCs w:val="18"/>
                <w:lang w:val="en-AU"/>
              </w:rPr>
              <w:t>21</w:t>
            </w:r>
          </w:p>
        </w:tc>
      </w:tr>
      <w:bookmarkEnd w:id="177"/>
      <w:tr w:rsidR="00B50DF1" w:rsidRPr="005F62F4" w14:paraId="52CEF565" w14:textId="77777777" w:rsidTr="00A429DA">
        <w:trPr>
          <w:trHeight w:val="170"/>
        </w:trPr>
        <w:tc>
          <w:tcPr>
            <w:tcW w:w="556" w:type="pct"/>
          </w:tcPr>
          <w:p w14:paraId="41FBE918" w14:textId="78B2EF17" w:rsidR="00B50DF1" w:rsidRPr="005F62F4" w:rsidRDefault="00B50DF1" w:rsidP="00B50DF1">
            <w:pPr>
              <w:pStyle w:val="Tabletextkeep"/>
              <w:rPr>
                <w:rFonts w:cs="Arial"/>
                <w:szCs w:val="18"/>
              </w:rPr>
            </w:pPr>
            <w:r w:rsidRPr="005F62F4">
              <w:rPr>
                <w:rFonts w:cs="Arial"/>
                <w:szCs w:val="18"/>
              </w:rPr>
              <w:t>1</w:t>
            </w:r>
          </w:p>
        </w:tc>
        <w:tc>
          <w:tcPr>
            <w:tcW w:w="556" w:type="pct"/>
          </w:tcPr>
          <w:p w14:paraId="782A0A98" w14:textId="6B982758"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7FE550FE" w14:textId="472A5135"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1B611025" w14:textId="3D7A2A02"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75B51642" w14:textId="12AA5AB5"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3F23D25F" w14:textId="78BF3A0A" w:rsidR="00B50DF1" w:rsidRPr="005F62F4" w:rsidRDefault="00B50DF1" w:rsidP="00B50DF1">
            <w:pPr>
              <w:pStyle w:val="TableTextRight"/>
              <w:rPr>
                <w:rFonts w:cs="Arial"/>
                <w:szCs w:val="18"/>
                <w:lang w:val="en-AU"/>
              </w:rPr>
            </w:pPr>
            <w:r w:rsidRPr="005F62F4">
              <w:rPr>
                <w:rFonts w:cs="Arial"/>
                <w:szCs w:val="18"/>
                <w:lang w:val="en-AU"/>
              </w:rPr>
              <w:t>166</w:t>
            </w:r>
          </w:p>
        </w:tc>
        <w:tc>
          <w:tcPr>
            <w:tcW w:w="556" w:type="pct"/>
          </w:tcPr>
          <w:p w14:paraId="5C4A4BAB" w14:textId="13371B15" w:rsidR="00B50DF1" w:rsidRPr="005F62F4" w:rsidRDefault="00B50DF1" w:rsidP="00B50DF1">
            <w:pPr>
              <w:pStyle w:val="TableTextRight"/>
              <w:rPr>
                <w:rFonts w:cs="Arial"/>
                <w:szCs w:val="18"/>
                <w:lang w:val="en-AU"/>
              </w:rPr>
            </w:pPr>
            <w:r w:rsidRPr="005F62F4">
              <w:rPr>
                <w:rFonts w:cs="Arial"/>
                <w:szCs w:val="18"/>
                <w:lang w:val="en-AU"/>
              </w:rPr>
              <w:t>267</w:t>
            </w:r>
          </w:p>
        </w:tc>
        <w:tc>
          <w:tcPr>
            <w:tcW w:w="556" w:type="pct"/>
          </w:tcPr>
          <w:p w14:paraId="2945D210" w14:textId="700F63FE" w:rsidR="00B50DF1" w:rsidRPr="005F62F4" w:rsidRDefault="00B50DF1" w:rsidP="00B50DF1">
            <w:pPr>
              <w:pStyle w:val="TableTextRight"/>
              <w:rPr>
                <w:rFonts w:cs="Arial"/>
                <w:szCs w:val="18"/>
                <w:lang w:val="en-AU"/>
              </w:rPr>
            </w:pPr>
            <w:r w:rsidRPr="005F62F4">
              <w:rPr>
                <w:rFonts w:cs="Arial"/>
                <w:szCs w:val="18"/>
                <w:lang w:val="en-AU"/>
              </w:rPr>
              <w:t>449</w:t>
            </w:r>
          </w:p>
        </w:tc>
        <w:tc>
          <w:tcPr>
            <w:tcW w:w="552" w:type="pct"/>
          </w:tcPr>
          <w:p w14:paraId="76987BB6" w14:textId="7BFE7AA1" w:rsidR="00B50DF1" w:rsidRPr="005F62F4" w:rsidRDefault="00B50DF1" w:rsidP="00B50DF1">
            <w:pPr>
              <w:pStyle w:val="TableTextRight"/>
              <w:rPr>
                <w:rFonts w:cs="Arial"/>
                <w:szCs w:val="18"/>
                <w:lang w:val="en-AU"/>
              </w:rPr>
            </w:pPr>
            <w:r w:rsidRPr="005F62F4">
              <w:rPr>
                <w:rFonts w:cs="Arial"/>
                <w:szCs w:val="18"/>
                <w:lang w:val="en-AU"/>
              </w:rPr>
              <w:t>1308</w:t>
            </w:r>
          </w:p>
        </w:tc>
      </w:tr>
      <w:tr w:rsidR="00B50DF1" w:rsidRPr="005F62F4" w14:paraId="1B79EDB2" w14:textId="77777777" w:rsidTr="00A429DA">
        <w:trPr>
          <w:cnfStyle w:val="000000010000" w:firstRow="0" w:lastRow="0" w:firstColumn="0" w:lastColumn="0" w:oddVBand="0" w:evenVBand="0" w:oddHBand="0" w:evenHBand="1" w:firstRowFirstColumn="0" w:firstRowLastColumn="0" w:lastRowFirstColumn="0" w:lastRowLastColumn="0"/>
          <w:trHeight w:val="170"/>
        </w:trPr>
        <w:tc>
          <w:tcPr>
            <w:tcW w:w="556" w:type="pct"/>
          </w:tcPr>
          <w:p w14:paraId="73BB7D8C" w14:textId="4941F3E2" w:rsidR="00B50DF1" w:rsidRPr="005F62F4" w:rsidRDefault="00B50DF1" w:rsidP="00B50DF1">
            <w:pPr>
              <w:pStyle w:val="Tabletextkeep"/>
              <w:rPr>
                <w:rFonts w:cs="Arial"/>
                <w:szCs w:val="18"/>
              </w:rPr>
            </w:pPr>
            <w:r w:rsidRPr="005F62F4">
              <w:rPr>
                <w:rFonts w:cs="Arial"/>
                <w:szCs w:val="18"/>
              </w:rPr>
              <w:t>2</w:t>
            </w:r>
          </w:p>
        </w:tc>
        <w:tc>
          <w:tcPr>
            <w:tcW w:w="556" w:type="pct"/>
          </w:tcPr>
          <w:p w14:paraId="7ACC4FFA" w14:textId="2C668C46"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0B252E39" w14:textId="75202DF2"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2C6AF2B0" w14:textId="6E8F98EB"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1DED0356" w14:textId="15EA60E4"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28A5B2F7" w14:textId="6AED5290" w:rsidR="00B50DF1" w:rsidRPr="005F62F4" w:rsidRDefault="00B50DF1" w:rsidP="00B50DF1">
            <w:pPr>
              <w:pStyle w:val="TableTextRight"/>
              <w:rPr>
                <w:rFonts w:cs="Arial"/>
                <w:szCs w:val="18"/>
                <w:lang w:val="en-AU"/>
              </w:rPr>
            </w:pPr>
            <w:r w:rsidRPr="005F62F4">
              <w:rPr>
                <w:rFonts w:cs="Arial"/>
                <w:szCs w:val="18"/>
                <w:lang w:val="en-AU"/>
              </w:rPr>
              <w:t>185</w:t>
            </w:r>
          </w:p>
        </w:tc>
        <w:tc>
          <w:tcPr>
            <w:tcW w:w="556" w:type="pct"/>
          </w:tcPr>
          <w:p w14:paraId="77CF7476" w14:textId="6A369BFE" w:rsidR="00B50DF1" w:rsidRPr="005F62F4" w:rsidRDefault="00B50DF1" w:rsidP="00B50DF1">
            <w:pPr>
              <w:pStyle w:val="TableTextRight"/>
              <w:rPr>
                <w:rFonts w:cs="Arial"/>
                <w:szCs w:val="18"/>
                <w:lang w:val="en-AU"/>
              </w:rPr>
            </w:pPr>
            <w:r w:rsidRPr="005F62F4">
              <w:rPr>
                <w:rFonts w:cs="Arial"/>
                <w:szCs w:val="18"/>
                <w:lang w:val="en-AU"/>
              </w:rPr>
              <w:t>217</w:t>
            </w:r>
          </w:p>
        </w:tc>
        <w:tc>
          <w:tcPr>
            <w:tcW w:w="556" w:type="pct"/>
          </w:tcPr>
          <w:p w14:paraId="6CB3BEB0" w14:textId="53C944A8" w:rsidR="00B50DF1" w:rsidRPr="005F62F4" w:rsidRDefault="00B50DF1" w:rsidP="00B50DF1">
            <w:pPr>
              <w:pStyle w:val="TableTextRight"/>
              <w:rPr>
                <w:rFonts w:cs="Arial"/>
                <w:szCs w:val="18"/>
                <w:lang w:val="en-AU"/>
              </w:rPr>
            </w:pPr>
            <w:r w:rsidRPr="005F62F4">
              <w:rPr>
                <w:rFonts w:cs="Arial"/>
                <w:szCs w:val="18"/>
                <w:lang w:val="en-AU"/>
              </w:rPr>
              <w:t>256</w:t>
            </w:r>
          </w:p>
        </w:tc>
        <w:tc>
          <w:tcPr>
            <w:tcW w:w="552" w:type="pct"/>
          </w:tcPr>
          <w:p w14:paraId="46A74E76" w14:textId="425F8B70" w:rsidR="00B50DF1" w:rsidRPr="005F62F4" w:rsidRDefault="00B50DF1" w:rsidP="00B50DF1">
            <w:pPr>
              <w:pStyle w:val="TableTextRight"/>
              <w:rPr>
                <w:rFonts w:cs="Arial"/>
                <w:szCs w:val="18"/>
                <w:lang w:val="en-AU"/>
              </w:rPr>
            </w:pPr>
            <w:r w:rsidRPr="005F62F4">
              <w:rPr>
                <w:rFonts w:cs="Arial"/>
                <w:szCs w:val="18"/>
                <w:lang w:val="en-AU"/>
              </w:rPr>
              <w:t>535</w:t>
            </w:r>
          </w:p>
        </w:tc>
      </w:tr>
      <w:tr w:rsidR="00B50DF1" w:rsidRPr="005F62F4" w14:paraId="1446CEAD" w14:textId="77777777" w:rsidTr="00A429DA">
        <w:trPr>
          <w:trHeight w:val="170"/>
        </w:trPr>
        <w:tc>
          <w:tcPr>
            <w:tcW w:w="556" w:type="pct"/>
          </w:tcPr>
          <w:p w14:paraId="7AAE47D5" w14:textId="2C87D5EB" w:rsidR="00B50DF1" w:rsidRPr="005F62F4" w:rsidRDefault="00B50DF1" w:rsidP="00B50DF1">
            <w:pPr>
              <w:pStyle w:val="Tabletextkeep"/>
              <w:rPr>
                <w:rFonts w:cs="Arial"/>
                <w:szCs w:val="18"/>
              </w:rPr>
            </w:pPr>
            <w:r w:rsidRPr="005F62F4">
              <w:rPr>
                <w:rFonts w:cs="Arial"/>
                <w:szCs w:val="18"/>
              </w:rPr>
              <w:t>3</w:t>
            </w:r>
          </w:p>
        </w:tc>
        <w:tc>
          <w:tcPr>
            <w:tcW w:w="556" w:type="pct"/>
          </w:tcPr>
          <w:p w14:paraId="0B06B5FC" w14:textId="03BB30E7"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1B8044EA" w14:textId="3F4FBA33"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22E0799C" w14:textId="70A71DC7"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18A61CC8" w14:textId="562E40AC"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37AAE698" w14:textId="25590413" w:rsidR="00B50DF1" w:rsidRPr="005F62F4" w:rsidRDefault="00B50DF1" w:rsidP="00B50DF1">
            <w:pPr>
              <w:pStyle w:val="TableTextRight"/>
              <w:rPr>
                <w:rFonts w:cs="Arial"/>
                <w:szCs w:val="18"/>
                <w:lang w:val="en-AU"/>
              </w:rPr>
            </w:pPr>
            <w:r w:rsidRPr="005F62F4">
              <w:rPr>
                <w:rFonts w:cs="Arial"/>
                <w:szCs w:val="18"/>
                <w:lang w:val="en-AU"/>
              </w:rPr>
              <w:t>67</w:t>
            </w:r>
          </w:p>
        </w:tc>
        <w:tc>
          <w:tcPr>
            <w:tcW w:w="556" w:type="pct"/>
          </w:tcPr>
          <w:p w14:paraId="325D2911" w14:textId="4D638AF9" w:rsidR="00B50DF1" w:rsidRPr="005F62F4" w:rsidRDefault="00B50DF1" w:rsidP="00B50DF1">
            <w:pPr>
              <w:pStyle w:val="TableTextRight"/>
              <w:rPr>
                <w:rFonts w:cs="Arial"/>
                <w:szCs w:val="18"/>
                <w:lang w:val="en-AU"/>
              </w:rPr>
            </w:pPr>
            <w:r w:rsidRPr="005F62F4">
              <w:rPr>
                <w:rFonts w:cs="Arial"/>
                <w:szCs w:val="18"/>
                <w:lang w:val="en-AU"/>
              </w:rPr>
              <w:t>142</w:t>
            </w:r>
          </w:p>
        </w:tc>
        <w:tc>
          <w:tcPr>
            <w:tcW w:w="556" w:type="pct"/>
          </w:tcPr>
          <w:p w14:paraId="3AFD2E78" w14:textId="7BED471A" w:rsidR="00B50DF1" w:rsidRPr="005F62F4" w:rsidRDefault="00B50DF1" w:rsidP="00B50DF1">
            <w:pPr>
              <w:pStyle w:val="TableTextRight"/>
              <w:rPr>
                <w:rFonts w:cs="Arial"/>
                <w:szCs w:val="18"/>
                <w:lang w:val="en-AU"/>
              </w:rPr>
            </w:pPr>
            <w:r w:rsidRPr="005F62F4">
              <w:rPr>
                <w:rFonts w:cs="Arial"/>
                <w:szCs w:val="18"/>
                <w:lang w:val="en-AU"/>
              </w:rPr>
              <w:t>176</w:t>
            </w:r>
          </w:p>
        </w:tc>
        <w:tc>
          <w:tcPr>
            <w:tcW w:w="552" w:type="pct"/>
          </w:tcPr>
          <w:p w14:paraId="1DEC7B67" w14:textId="5E2E4A0B" w:rsidR="00B50DF1" w:rsidRPr="005F62F4" w:rsidRDefault="00B50DF1" w:rsidP="00B50DF1">
            <w:pPr>
              <w:pStyle w:val="TableTextRight"/>
              <w:rPr>
                <w:rFonts w:cs="Arial"/>
                <w:szCs w:val="18"/>
                <w:lang w:val="en-AU"/>
              </w:rPr>
            </w:pPr>
            <w:r w:rsidRPr="005F62F4">
              <w:rPr>
                <w:rFonts w:cs="Arial"/>
                <w:szCs w:val="18"/>
                <w:lang w:val="en-AU"/>
              </w:rPr>
              <w:t>246</w:t>
            </w:r>
          </w:p>
        </w:tc>
      </w:tr>
      <w:tr w:rsidR="00B50DF1" w:rsidRPr="005F62F4" w14:paraId="2F933552" w14:textId="77777777" w:rsidTr="00A429DA">
        <w:trPr>
          <w:cnfStyle w:val="000000010000" w:firstRow="0" w:lastRow="0" w:firstColumn="0" w:lastColumn="0" w:oddVBand="0" w:evenVBand="0" w:oddHBand="0" w:evenHBand="1" w:firstRowFirstColumn="0" w:firstRowLastColumn="0" w:lastRowFirstColumn="0" w:lastRowLastColumn="0"/>
          <w:trHeight w:val="170"/>
        </w:trPr>
        <w:tc>
          <w:tcPr>
            <w:tcW w:w="556" w:type="pct"/>
          </w:tcPr>
          <w:p w14:paraId="3882C8EF" w14:textId="68DD6BD7" w:rsidR="00B50DF1" w:rsidRPr="005F62F4" w:rsidRDefault="00B50DF1" w:rsidP="00B50DF1">
            <w:pPr>
              <w:pStyle w:val="Tabletextkeep"/>
              <w:rPr>
                <w:rFonts w:cs="Arial"/>
                <w:szCs w:val="18"/>
              </w:rPr>
            </w:pPr>
            <w:r w:rsidRPr="005F62F4">
              <w:rPr>
                <w:rFonts w:cs="Arial"/>
                <w:szCs w:val="18"/>
              </w:rPr>
              <w:t>4</w:t>
            </w:r>
          </w:p>
        </w:tc>
        <w:tc>
          <w:tcPr>
            <w:tcW w:w="556" w:type="pct"/>
          </w:tcPr>
          <w:p w14:paraId="0C634EFF" w14:textId="77777777" w:rsidR="00B50DF1" w:rsidRPr="005F62F4" w:rsidRDefault="00B50DF1" w:rsidP="00B50DF1">
            <w:pPr>
              <w:pStyle w:val="TableTextRight"/>
              <w:rPr>
                <w:rFonts w:cs="Arial"/>
                <w:szCs w:val="18"/>
                <w:lang w:val="en-AU"/>
              </w:rPr>
            </w:pPr>
          </w:p>
        </w:tc>
        <w:tc>
          <w:tcPr>
            <w:tcW w:w="556" w:type="pct"/>
          </w:tcPr>
          <w:p w14:paraId="58DA3BC4" w14:textId="77777777" w:rsidR="00B50DF1" w:rsidRPr="005F62F4" w:rsidRDefault="00B50DF1" w:rsidP="00B50DF1">
            <w:pPr>
              <w:pStyle w:val="TableTextRight"/>
              <w:rPr>
                <w:rFonts w:cs="Arial"/>
                <w:szCs w:val="18"/>
                <w:lang w:val="en-AU"/>
              </w:rPr>
            </w:pPr>
          </w:p>
        </w:tc>
        <w:tc>
          <w:tcPr>
            <w:tcW w:w="556" w:type="pct"/>
          </w:tcPr>
          <w:p w14:paraId="4733B1B5" w14:textId="77777777" w:rsidR="00B50DF1" w:rsidRPr="005F62F4" w:rsidRDefault="00B50DF1" w:rsidP="00B50DF1">
            <w:pPr>
              <w:pStyle w:val="TableTextRight"/>
              <w:rPr>
                <w:rFonts w:cs="Arial"/>
                <w:szCs w:val="18"/>
                <w:lang w:val="en-AU"/>
              </w:rPr>
            </w:pPr>
          </w:p>
        </w:tc>
        <w:tc>
          <w:tcPr>
            <w:tcW w:w="556" w:type="pct"/>
          </w:tcPr>
          <w:p w14:paraId="25354EFD" w14:textId="608E17E2"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0923F869" w14:textId="12529911" w:rsidR="00B50DF1" w:rsidRPr="005F62F4" w:rsidRDefault="00B50DF1" w:rsidP="00B50DF1">
            <w:pPr>
              <w:pStyle w:val="TableTextRight"/>
              <w:rPr>
                <w:rFonts w:cs="Arial"/>
                <w:szCs w:val="18"/>
                <w:lang w:val="en-AU"/>
              </w:rPr>
            </w:pPr>
            <w:r w:rsidRPr="005F62F4">
              <w:rPr>
                <w:rFonts w:cs="Arial"/>
                <w:szCs w:val="18"/>
                <w:lang w:val="en-AU"/>
              </w:rPr>
              <w:t>50</w:t>
            </w:r>
          </w:p>
        </w:tc>
        <w:tc>
          <w:tcPr>
            <w:tcW w:w="556" w:type="pct"/>
          </w:tcPr>
          <w:p w14:paraId="43FD85F9" w14:textId="6EFACADC" w:rsidR="00B50DF1" w:rsidRPr="005F62F4" w:rsidRDefault="00B50DF1" w:rsidP="00B50DF1">
            <w:pPr>
              <w:pStyle w:val="TableTextRight"/>
              <w:rPr>
                <w:rFonts w:cs="Arial"/>
                <w:szCs w:val="18"/>
                <w:lang w:val="en-AU"/>
              </w:rPr>
            </w:pPr>
            <w:r w:rsidRPr="005F62F4">
              <w:rPr>
                <w:rFonts w:cs="Arial"/>
                <w:szCs w:val="18"/>
                <w:lang w:val="en-AU"/>
              </w:rPr>
              <w:t>97</w:t>
            </w:r>
          </w:p>
        </w:tc>
        <w:tc>
          <w:tcPr>
            <w:tcW w:w="556" w:type="pct"/>
          </w:tcPr>
          <w:p w14:paraId="70097347" w14:textId="78F4D44D" w:rsidR="00B50DF1" w:rsidRPr="005F62F4" w:rsidRDefault="00B50DF1" w:rsidP="00B50DF1">
            <w:pPr>
              <w:pStyle w:val="TableTextRight"/>
              <w:rPr>
                <w:rFonts w:cs="Arial"/>
                <w:szCs w:val="18"/>
                <w:lang w:val="en-AU"/>
              </w:rPr>
            </w:pPr>
            <w:r w:rsidRPr="005F62F4">
              <w:rPr>
                <w:rFonts w:cs="Arial"/>
                <w:szCs w:val="18"/>
                <w:lang w:val="en-AU"/>
              </w:rPr>
              <w:t>114</w:t>
            </w:r>
          </w:p>
        </w:tc>
        <w:tc>
          <w:tcPr>
            <w:tcW w:w="552" w:type="pct"/>
          </w:tcPr>
          <w:p w14:paraId="3598521F" w14:textId="52B49268" w:rsidR="00B50DF1" w:rsidRPr="005F62F4" w:rsidRDefault="00B50DF1" w:rsidP="00B50DF1">
            <w:pPr>
              <w:pStyle w:val="TableTextRight"/>
              <w:rPr>
                <w:rFonts w:cs="Arial"/>
                <w:szCs w:val="18"/>
                <w:lang w:val="en-AU"/>
              </w:rPr>
            </w:pPr>
            <w:r w:rsidRPr="005F62F4">
              <w:rPr>
                <w:rFonts w:cs="Arial"/>
                <w:szCs w:val="18"/>
                <w:lang w:val="en-AU"/>
              </w:rPr>
              <w:t>185</w:t>
            </w:r>
          </w:p>
        </w:tc>
      </w:tr>
      <w:tr w:rsidR="00B50DF1" w:rsidRPr="005F62F4" w14:paraId="10CD5B67" w14:textId="77777777" w:rsidTr="00A429DA">
        <w:trPr>
          <w:trHeight w:val="170"/>
        </w:trPr>
        <w:tc>
          <w:tcPr>
            <w:tcW w:w="556" w:type="pct"/>
          </w:tcPr>
          <w:p w14:paraId="5118C056" w14:textId="50C80E16" w:rsidR="00B50DF1" w:rsidRPr="005F62F4" w:rsidRDefault="00B50DF1" w:rsidP="00B50DF1">
            <w:pPr>
              <w:pStyle w:val="Tabletextkeep"/>
              <w:rPr>
                <w:rFonts w:cs="Arial"/>
                <w:szCs w:val="18"/>
              </w:rPr>
            </w:pPr>
            <w:r w:rsidRPr="005F62F4">
              <w:rPr>
                <w:rFonts w:cs="Arial"/>
                <w:szCs w:val="18"/>
              </w:rPr>
              <w:t>5</w:t>
            </w:r>
          </w:p>
        </w:tc>
        <w:tc>
          <w:tcPr>
            <w:tcW w:w="556" w:type="pct"/>
          </w:tcPr>
          <w:p w14:paraId="3D9770DE" w14:textId="77777777" w:rsidR="00B50DF1" w:rsidRPr="005F62F4" w:rsidRDefault="00B50DF1" w:rsidP="00B50DF1">
            <w:pPr>
              <w:pStyle w:val="TableTextRight"/>
              <w:rPr>
                <w:rFonts w:cs="Arial"/>
                <w:szCs w:val="18"/>
                <w:lang w:val="en-AU"/>
              </w:rPr>
            </w:pPr>
          </w:p>
        </w:tc>
        <w:tc>
          <w:tcPr>
            <w:tcW w:w="556" w:type="pct"/>
          </w:tcPr>
          <w:p w14:paraId="75D1D561" w14:textId="721491C6"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0DF3D730" w14:textId="77777777" w:rsidR="00B50DF1" w:rsidRPr="005F62F4" w:rsidRDefault="00B50DF1" w:rsidP="00B50DF1">
            <w:pPr>
              <w:pStyle w:val="TableTextRight"/>
              <w:rPr>
                <w:rFonts w:cs="Arial"/>
                <w:szCs w:val="18"/>
                <w:lang w:val="en-AU"/>
              </w:rPr>
            </w:pPr>
          </w:p>
        </w:tc>
        <w:tc>
          <w:tcPr>
            <w:tcW w:w="556" w:type="pct"/>
          </w:tcPr>
          <w:p w14:paraId="5E93041C" w14:textId="433FA53E"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49117E70" w14:textId="18D1FBB2" w:rsidR="00B50DF1" w:rsidRPr="005F62F4" w:rsidRDefault="00B50DF1" w:rsidP="00B50DF1">
            <w:pPr>
              <w:pStyle w:val="TableTextRight"/>
              <w:rPr>
                <w:rFonts w:cs="Arial"/>
                <w:szCs w:val="18"/>
                <w:lang w:val="en-AU"/>
              </w:rPr>
            </w:pPr>
            <w:r w:rsidRPr="005F62F4">
              <w:rPr>
                <w:rFonts w:cs="Arial"/>
                <w:szCs w:val="18"/>
                <w:lang w:val="en-AU"/>
              </w:rPr>
              <w:t>35</w:t>
            </w:r>
          </w:p>
        </w:tc>
        <w:tc>
          <w:tcPr>
            <w:tcW w:w="556" w:type="pct"/>
          </w:tcPr>
          <w:p w14:paraId="3F2C677A" w14:textId="68A8B8A5" w:rsidR="00B50DF1" w:rsidRPr="005F62F4" w:rsidRDefault="00B50DF1" w:rsidP="00B50DF1">
            <w:pPr>
              <w:pStyle w:val="TableTextRight"/>
              <w:rPr>
                <w:rFonts w:cs="Arial"/>
                <w:szCs w:val="18"/>
                <w:lang w:val="en-AU"/>
              </w:rPr>
            </w:pPr>
            <w:r w:rsidRPr="005F62F4">
              <w:rPr>
                <w:rFonts w:cs="Arial"/>
                <w:szCs w:val="18"/>
                <w:lang w:val="en-AU"/>
              </w:rPr>
              <w:t>70</w:t>
            </w:r>
          </w:p>
        </w:tc>
        <w:tc>
          <w:tcPr>
            <w:tcW w:w="556" w:type="pct"/>
          </w:tcPr>
          <w:p w14:paraId="258A9687" w14:textId="40B04167" w:rsidR="00B50DF1" w:rsidRPr="005F62F4" w:rsidRDefault="00B50DF1" w:rsidP="00B50DF1">
            <w:pPr>
              <w:pStyle w:val="TableTextRight"/>
              <w:rPr>
                <w:rFonts w:cs="Arial"/>
                <w:szCs w:val="18"/>
                <w:lang w:val="en-AU"/>
              </w:rPr>
            </w:pPr>
            <w:r w:rsidRPr="005F62F4">
              <w:rPr>
                <w:rFonts w:cs="Arial"/>
                <w:szCs w:val="18"/>
                <w:lang w:val="en-AU"/>
              </w:rPr>
              <w:t>56</w:t>
            </w:r>
          </w:p>
        </w:tc>
        <w:tc>
          <w:tcPr>
            <w:tcW w:w="552" w:type="pct"/>
          </w:tcPr>
          <w:p w14:paraId="50BD7F66" w14:textId="34650BD4" w:rsidR="00B50DF1" w:rsidRPr="005F62F4" w:rsidRDefault="00B50DF1" w:rsidP="00B50DF1">
            <w:pPr>
              <w:pStyle w:val="TableTextRight"/>
              <w:rPr>
                <w:rFonts w:cs="Arial"/>
                <w:szCs w:val="18"/>
                <w:lang w:val="en-AU"/>
              </w:rPr>
            </w:pPr>
            <w:r w:rsidRPr="005F62F4">
              <w:rPr>
                <w:rFonts w:cs="Arial"/>
                <w:szCs w:val="18"/>
                <w:lang w:val="en-AU"/>
              </w:rPr>
              <w:t>113</w:t>
            </w:r>
          </w:p>
        </w:tc>
      </w:tr>
      <w:tr w:rsidR="00B50DF1" w:rsidRPr="005F62F4" w14:paraId="4A4836A3" w14:textId="77777777" w:rsidTr="00A429DA">
        <w:trPr>
          <w:cnfStyle w:val="000000010000" w:firstRow="0" w:lastRow="0" w:firstColumn="0" w:lastColumn="0" w:oddVBand="0" w:evenVBand="0" w:oddHBand="0" w:evenHBand="1" w:firstRowFirstColumn="0" w:firstRowLastColumn="0" w:lastRowFirstColumn="0" w:lastRowLastColumn="0"/>
          <w:trHeight w:val="170"/>
        </w:trPr>
        <w:tc>
          <w:tcPr>
            <w:tcW w:w="556" w:type="pct"/>
          </w:tcPr>
          <w:p w14:paraId="15B78A64" w14:textId="396A0C37" w:rsidR="00B50DF1" w:rsidRPr="005F62F4" w:rsidRDefault="00B50DF1" w:rsidP="00B50DF1">
            <w:pPr>
              <w:pStyle w:val="Tabletextkeep"/>
              <w:rPr>
                <w:rFonts w:cs="Arial"/>
                <w:szCs w:val="18"/>
              </w:rPr>
            </w:pPr>
            <w:bookmarkStart w:id="178" w:name="_Ref119484981"/>
            <w:r w:rsidRPr="005F62F4">
              <w:rPr>
                <w:rFonts w:cs="Arial"/>
                <w:szCs w:val="18"/>
              </w:rPr>
              <w:t>6</w:t>
            </w:r>
          </w:p>
        </w:tc>
        <w:tc>
          <w:tcPr>
            <w:tcW w:w="556" w:type="pct"/>
          </w:tcPr>
          <w:p w14:paraId="3D44D3C1" w14:textId="77777777" w:rsidR="00B50DF1" w:rsidRPr="005F62F4" w:rsidRDefault="00B50DF1" w:rsidP="00B50DF1">
            <w:pPr>
              <w:pStyle w:val="TableTextRight"/>
              <w:rPr>
                <w:rFonts w:cs="Arial"/>
                <w:szCs w:val="18"/>
                <w:lang w:val="en-AU"/>
              </w:rPr>
            </w:pPr>
          </w:p>
        </w:tc>
        <w:tc>
          <w:tcPr>
            <w:tcW w:w="556" w:type="pct"/>
          </w:tcPr>
          <w:p w14:paraId="147C5A26" w14:textId="77777777" w:rsidR="00B50DF1" w:rsidRPr="005F62F4" w:rsidRDefault="00B50DF1" w:rsidP="00B50DF1">
            <w:pPr>
              <w:pStyle w:val="TableTextRight"/>
              <w:rPr>
                <w:rFonts w:cs="Arial"/>
                <w:szCs w:val="18"/>
                <w:lang w:val="en-AU"/>
              </w:rPr>
            </w:pPr>
          </w:p>
        </w:tc>
        <w:tc>
          <w:tcPr>
            <w:tcW w:w="556" w:type="pct"/>
          </w:tcPr>
          <w:p w14:paraId="019B1EC7" w14:textId="66757A27"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36F869E5" w14:textId="77777777" w:rsidR="00B50DF1" w:rsidRPr="005F62F4" w:rsidRDefault="00B50DF1" w:rsidP="00B50DF1">
            <w:pPr>
              <w:pStyle w:val="TableTextRight"/>
              <w:rPr>
                <w:rFonts w:cs="Arial"/>
                <w:szCs w:val="18"/>
                <w:lang w:val="en-AU"/>
              </w:rPr>
            </w:pPr>
          </w:p>
        </w:tc>
        <w:tc>
          <w:tcPr>
            <w:tcW w:w="556" w:type="pct"/>
          </w:tcPr>
          <w:p w14:paraId="73035978" w14:textId="55B75833" w:rsidR="00B50DF1" w:rsidRPr="005F62F4" w:rsidRDefault="00B50DF1" w:rsidP="00B50DF1">
            <w:pPr>
              <w:pStyle w:val="TableTextRight"/>
              <w:rPr>
                <w:rFonts w:cs="Arial"/>
                <w:szCs w:val="18"/>
                <w:lang w:val="en-AU"/>
              </w:rPr>
            </w:pPr>
            <w:proofErr w:type="spellStart"/>
            <w:r w:rsidRPr="005F62F4">
              <w:rPr>
                <w:rFonts w:cs="Arial"/>
                <w:szCs w:val="18"/>
                <w:lang w:val="en-AU"/>
              </w:rPr>
              <w:t>n.p.</w:t>
            </w:r>
            <w:proofErr w:type="spellEnd"/>
          </w:p>
        </w:tc>
        <w:tc>
          <w:tcPr>
            <w:tcW w:w="556" w:type="pct"/>
          </w:tcPr>
          <w:p w14:paraId="628C4FBF" w14:textId="67CDC0D1" w:rsidR="00B50DF1" w:rsidRPr="005F62F4" w:rsidRDefault="00B50DF1" w:rsidP="00B50DF1">
            <w:pPr>
              <w:pStyle w:val="TableTextRight"/>
              <w:rPr>
                <w:rFonts w:cs="Arial"/>
                <w:szCs w:val="18"/>
                <w:lang w:val="en-AU"/>
              </w:rPr>
            </w:pPr>
            <w:proofErr w:type="spellStart"/>
            <w:r w:rsidRPr="005F62F4">
              <w:rPr>
                <w:rFonts w:cs="Arial"/>
                <w:szCs w:val="18"/>
                <w:lang w:val="en-AU"/>
              </w:rPr>
              <w:t>n.p.</w:t>
            </w:r>
            <w:proofErr w:type="spellEnd"/>
          </w:p>
        </w:tc>
        <w:tc>
          <w:tcPr>
            <w:tcW w:w="556" w:type="pct"/>
          </w:tcPr>
          <w:p w14:paraId="3BDC35AB" w14:textId="1D08A652" w:rsidR="00B50DF1" w:rsidRPr="005F62F4" w:rsidRDefault="00B50DF1" w:rsidP="00B50DF1">
            <w:pPr>
              <w:pStyle w:val="TableTextRight"/>
              <w:rPr>
                <w:rFonts w:cs="Arial"/>
                <w:szCs w:val="18"/>
                <w:lang w:val="en-AU"/>
              </w:rPr>
            </w:pPr>
            <w:r w:rsidRPr="005F62F4">
              <w:rPr>
                <w:rFonts w:cs="Arial"/>
                <w:szCs w:val="18"/>
                <w:lang w:val="en-AU"/>
              </w:rPr>
              <w:t>27</w:t>
            </w:r>
          </w:p>
        </w:tc>
        <w:tc>
          <w:tcPr>
            <w:tcW w:w="552" w:type="pct"/>
          </w:tcPr>
          <w:p w14:paraId="0A03AE73" w14:textId="194BE791" w:rsidR="00B50DF1" w:rsidRPr="005F62F4" w:rsidRDefault="00B50DF1" w:rsidP="00B50DF1">
            <w:pPr>
              <w:pStyle w:val="TableTextRight"/>
              <w:rPr>
                <w:rFonts w:cs="Arial"/>
                <w:szCs w:val="18"/>
                <w:lang w:val="en-AU"/>
              </w:rPr>
            </w:pPr>
            <w:r w:rsidRPr="005F62F4">
              <w:rPr>
                <w:rFonts w:cs="Arial"/>
                <w:szCs w:val="18"/>
                <w:lang w:val="en-AU"/>
              </w:rPr>
              <w:t>36</w:t>
            </w:r>
          </w:p>
        </w:tc>
      </w:tr>
      <w:tr w:rsidR="00B50DF1" w:rsidRPr="005F62F4" w14:paraId="144E1A4F" w14:textId="77777777" w:rsidTr="00A429DA">
        <w:trPr>
          <w:trHeight w:val="170"/>
        </w:trPr>
        <w:tc>
          <w:tcPr>
            <w:tcW w:w="556" w:type="pct"/>
          </w:tcPr>
          <w:p w14:paraId="40173E1C" w14:textId="05857FFE" w:rsidR="00B50DF1" w:rsidRPr="005F62F4" w:rsidRDefault="00B50DF1" w:rsidP="00B50DF1">
            <w:pPr>
              <w:pStyle w:val="Tabletextkeep"/>
            </w:pPr>
            <w:r w:rsidRPr="005F62F4">
              <w:t>7 or more</w:t>
            </w:r>
          </w:p>
        </w:tc>
        <w:tc>
          <w:tcPr>
            <w:tcW w:w="556" w:type="pct"/>
          </w:tcPr>
          <w:p w14:paraId="56B68592" w14:textId="77777777" w:rsidR="00B50DF1" w:rsidRPr="005F62F4" w:rsidRDefault="00B50DF1" w:rsidP="00B50DF1">
            <w:pPr>
              <w:pStyle w:val="TableTextRight"/>
              <w:rPr>
                <w:rFonts w:cs="Arial"/>
                <w:szCs w:val="18"/>
                <w:lang w:val="en-AU"/>
              </w:rPr>
            </w:pPr>
          </w:p>
        </w:tc>
        <w:tc>
          <w:tcPr>
            <w:tcW w:w="556" w:type="pct"/>
          </w:tcPr>
          <w:p w14:paraId="332F243B" w14:textId="77777777" w:rsidR="00B50DF1" w:rsidRPr="005F62F4" w:rsidRDefault="00B50DF1" w:rsidP="00B50DF1">
            <w:pPr>
              <w:pStyle w:val="TableTextRight"/>
              <w:rPr>
                <w:rFonts w:cs="Arial"/>
                <w:szCs w:val="18"/>
                <w:lang w:val="en-AU"/>
              </w:rPr>
            </w:pPr>
          </w:p>
        </w:tc>
        <w:tc>
          <w:tcPr>
            <w:tcW w:w="556" w:type="pct"/>
          </w:tcPr>
          <w:p w14:paraId="328DBE61" w14:textId="77777777" w:rsidR="00B50DF1" w:rsidRPr="005F62F4" w:rsidRDefault="00B50DF1" w:rsidP="00B50DF1">
            <w:pPr>
              <w:pStyle w:val="TableTextRight"/>
              <w:rPr>
                <w:rFonts w:cs="Arial"/>
                <w:szCs w:val="18"/>
                <w:lang w:val="en-AU"/>
              </w:rPr>
            </w:pPr>
          </w:p>
        </w:tc>
        <w:tc>
          <w:tcPr>
            <w:tcW w:w="556" w:type="pct"/>
          </w:tcPr>
          <w:p w14:paraId="02CD6C01" w14:textId="49DBCAAD" w:rsidR="00B50DF1" w:rsidRPr="005F62F4" w:rsidRDefault="00B50DF1" w:rsidP="00B50DF1">
            <w:pPr>
              <w:pStyle w:val="TableTextRight"/>
              <w:rPr>
                <w:rFonts w:cs="Arial"/>
                <w:szCs w:val="18"/>
                <w:lang w:val="en-AU"/>
              </w:rPr>
            </w:pPr>
            <w:r w:rsidRPr="001E5E40">
              <w:rPr>
                <w:sz w:val="17"/>
                <w:szCs w:val="17"/>
              </w:rPr>
              <w:t>[redacted]</w:t>
            </w:r>
          </w:p>
        </w:tc>
        <w:tc>
          <w:tcPr>
            <w:tcW w:w="556" w:type="pct"/>
          </w:tcPr>
          <w:p w14:paraId="1DB510E5" w14:textId="43B50029" w:rsidR="00B50DF1" w:rsidRPr="005F62F4" w:rsidRDefault="00B50DF1" w:rsidP="00B50DF1">
            <w:pPr>
              <w:pStyle w:val="TableTextRight"/>
              <w:rPr>
                <w:rFonts w:cs="Arial"/>
                <w:szCs w:val="18"/>
                <w:lang w:val="en-AU"/>
              </w:rPr>
            </w:pPr>
            <w:proofErr w:type="spellStart"/>
            <w:r w:rsidRPr="005F62F4">
              <w:rPr>
                <w:rFonts w:cs="Arial"/>
                <w:szCs w:val="18"/>
                <w:lang w:val="en-AU"/>
              </w:rPr>
              <w:t>n.p.</w:t>
            </w:r>
            <w:proofErr w:type="spellEnd"/>
          </w:p>
        </w:tc>
        <w:tc>
          <w:tcPr>
            <w:tcW w:w="556" w:type="pct"/>
          </w:tcPr>
          <w:p w14:paraId="4655F351" w14:textId="0EB2A3D6" w:rsidR="00B50DF1" w:rsidRPr="005F62F4" w:rsidRDefault="00B50DF1" w:rsidP="00B50DF1">
            <w:pPr>
              <w:pStyle w:val="TableTextRight"/>
              <w:rPr>
                <w:rFonts w:cs="Arial"/>
                <w:szCs w:val="18"/>
                <w:lang w:val="en-AU"/>
              </w:rPr>
            </w:pPr>
            <w:proofErr w:type="spellStart"/>
            <w:r w:rsidRPr="005F62F4">
              <w:rPr>
                <w:rFonts w:cs="Arial"/>
                <w:szCs w:val="18"/>
                <w:lang w:val="en-AU"/>
              </w:rPr>
              <w:t>n.p.</w:t>
            </w:r>
            <w:proofErr w:type="spellEnd"/>
          </w:p>
        </w:tc>
        <w:tc>
          <w:tcPr>
            <w:tcW w:w="556" w:type="pct"/>
          </w:tcPr>
          <w:p w14:paraId="6A6437E6" w14:textId="31E047A1" w:rsidR="00B50DF1" w:rsidRPr="005F62F4" w:rsidRDefault="00B50DF1" w:rsidP="00B50DF1">
            <w:pPr>
              <w:pStyle w:val="TableTextRight"/>
              <w:rPr>
                <w:rFonts w:cs="Arial"/>
                <w:szCs w:val="18"/>
                <w:lang w:val="en-AU"/>
              </w:rPr>
            </w:pPr>
            <w:r w:rsidRPr="005F62F4">
              <w:rPr>
                <w:rFonts w:cs="Arial"/>
                <w:szCs w:val="18"/>
                <w:lang w:val="en-AU"/>
              </w:rPr>
              <w:t>22</w:t>
            </w:r>
          </w:p>
        </w:tc>
        <w:tc>
          <w:tcPr>
            <w:tcW w:w="552" w:type="pct"/>
          </w:tcPr>
          <w:p w14:paraId="21C16BB7" w14:textId="7E918994" w:rsidR="00B50DF1" w:rsidRPr="005F62F4" w:rsidRDefault="00B50DF1" w:rsidP="00B50DF1">
            <w:pPr>
              <w:pStyle w:val="TableTextRight"/>
              <w:keepNext/>
              <w:rPr>
                <w:rFonts w:cs="Arial"/>
                <w:szCs w:val="18"/>
                <w:lang w:val="en-AU"/>
              </w:rPr>
            </w:pPr>
            <w:r w:rsidRPr="005F62F4">
              <w:rPr>
                <w:rFonts w:cs="Arial"/>
                <w:szCs w:val="18"/>
                <w:lang w:val="en-AU"/>
              </w:rPr>
              <w:t>37</w:t>
            </w:r>
          </w:p>
        </w:tc>
      </w:tr>
    </w:tbl>
    <w:bookmarkEnd w:id="173"/>
    <w:bookmarkEnd w:id="178"/>
    <w:p w14:paraId="7FE6851C" w14:textId="009ED6D2" w:rsidR="00000295" w:rsidRPr="005F62F4" w:rsidRDefault="00ED7230" w:rsidP="0000497A">
      <w:pPr>
        <w:pStyle w:val="TableText"/>
      </w:pPr>
      <w:r w:rsidRPr="005F62F4">
        <w:t xml:space="preserve">Cells annotated with </w:t>
      </w:r>
      <w:proofErr w:type="spellStart"/>
      <w:r w:rsidRPr="005F62F4">
        <w:t>n.p.</w:t>
      </w:r>
      <w:proofErr w:type="spellEnd"/>
      <w:r w:rsidRPr="005F62F4">
        <w:t xml:space="preserve"> indicate that there were fewer than 10 datapoints available and that the data was suppressed in files supplied by the department.</w:t>
      </w:r>
    </w:p>
    <w:p w14:paraId="7510E90D" w14:textId="40D3295C" w:rsidR="00233ADB" w:rsidRPr="005F62F4" w:rsidRDefault="00E0048B" w:rsidP="004F2931">
      <w:pPr>
        <w:pStyle w:val="Heading3"/>
      </w:pPr>
      <w:bookmarkStart w:id="179" w:name="_Toc120178321"/>
      <w:r w:rsidRPr="005F62F4">
        <w:lastRenderedPageBreak/>
        <w:t>Utilisation by</w:t>
      </w:r>
      <w:r w:rsidR="00F36427" w:rsidRPr="005F62F4">
        <w:t xml:space="preserve"> MBS </w:t>
      </w:r>
      <w:r w:rsidR="00D21A93" w:rsidRPr="005F62F4">
        <w:t xml:space="preserve">clinical </w:t>
      </w:r>
      <w:r w:rsidR="002C457A" w:rsidRPr="005F62F4">
        <w:t xml:space="preserve">categories and </w:t>
      </w:r>
      <w:r w:rsidR="00F36427" w:rsidRPr="005F62F4">
        <w:t>item</w:t>
      </w:r>
      <w:r w:rsidRPr="005F62F4">
        <w:t xml:space="preserve"> number</w:t>
      </w:r>
      <w:r w:rsidR="002C457A" w:rsidRPr="005F62F4">
        <w:t>s</w:t>
      </w:r>
      <w:bookmarkEnd w:id="179"/>
    </w:p>
    <w:p w14:paraId="6A3EC68C" w14:textId="726F65AF" w:rsidR="00A96D55" w:rsidRPr="005F62F4" w:rsidRDefault="000361BD" w:rsidP="00670DC7">
      <w:pPr>
        <w:pStyle w:val="ParaKeep"/>
        <w:keepLines/>
        <w:rPr>
          <w:lang w:eastAsia="en-AU"/>
        </w:rPr>
      </w:pPr>
      <w:r w:rsidRPr="005F62F4">
        <w:rPr>
          <w:lang w:eastAsia="en-AU"/>
        </w:rPr>
        <w:t>In 2013</w:t>
      </w:r>
      <w:r w:rsidR="00A52FAE" w:rsidRPr="005F62F4">
        <w:rPr>
          <w:lang w:eastAsia="en-AU"/>
        </w:rPr>
        <w:t>-14 and 2014-15</w:t>
      </w:r>
      <w:r w:rsidRPr="005F62F4">
        <w:rPr>
          <w:lang w:eastAsia="en-AU"/>
        </w:rPr>
        <w:t xml:space="preserve">, </w:t>
      </w:r>
      <w:r w:rsidR="008D3B8D" w:rsidRPr="005F62F4">
        <w:rPr>
          <w:lang w:eastAsia="en-AU"/>
        </w:rPr>
        <w:t xml:space="preserve">100% of </w:t>
      </w:r>
      <w:r w:rsidR="00286835" w:rsidRPr="005F62F4">
        <w:t xml:space="preserve">surgical guides and </w:t>
      </w:r>
      <w:proofErr w:type="spellStart"/>
      <w:r w:rsidR="00286835" w:rsidRPr="005F62F4">
        <w:t>biomodels</w:t>
      </w:r>
      <w:proofErr w:type="spellEnd"/>
      <w:r w:rsidR="00286835" w:rsidRPr="005F62F4">
        <w:t xml:space="preserve"> </w:t>
      </w:r>
      <w:r w:rsidR="008D3B8D" w:rsidRPr="005F62F4">
        <w:rPr>
          <w:lang w:eastAsia="en-AU"/>
        </w:rPr>
        <w:t>were used</w:t>
      </w:r>
      <w:r w:rsidR="00AC33A2" w:rsidRPr="005F62F4">
        <w:rPr>
          <w:lang w:eastAsia="en-AU"/>
        </w:rPr>
        <w:t xml:space="preserve"> </w:t>
      </w:r>
      <w:r w:rsidR="00CA65EC" w:rsidRPr="005F62F4">
        <w:rPr>
          <w:lang w:eastAsia="en-AU"/>
        </w:rPr>
        <w:t>for CMF procedures</w:t>
      </w:r>
      <w:r w:rsidR="00AC33A2" w:rsidRPr="005F62F4">
        <w:rPr>
          <w:lang w:eastAsia="en-AU"/>
        </w:rPr>
        <w:t xml:space="preserve"> within </w:t>
      </w:r>
      <w:r w:rsidRPr="005F62F4">
        <w:rPr>
          <w:lang w:eastAsia="en-AU"/>
        </w:rPr>
        <w:t>the</w:t>
      </w:r>
      <w:r w:rsidRPr="005F62F4">
        <w:t xml:space="preserve"> MBS clinical category </w:t>
      </w:r>
      <w:r w:rsidRPr="005F62F4">
        <w:rPr>
          <w:lang w:eastAsia="en-AU"/>
        </w:rPr>
        <w:t>of plastic and reconstructive surgery</w:t>
      </w:r>
      <w:r w:rsidR="008D3B8D" w:rsidRPr="005F62F4">
        <w:rPr>
          <w:lang w:eastAsia="en-AU"/>
        </w:rPr>
        <w:t xml:space="preserve">. Over time, they have </w:t>
      </w:r>
      <w:r w:rsidR="00D67A50" w:rsidRPr="005F62F4">
        <w:rPr>
          <w:lang w:eastAsia="en-AU"/>
        </w:rPr>
        <w:t>been</w:t>
      </w:r>
      <w:r w:rsidR="008D3B8D" w:rsidRPr="005F62F4">
        <w:rPr>
          <w:lang w:eastAsia="en-AU"/>
        </w:rPr>
        <w:t xml:space="preserve"> increasingly used </w:t>
      </w:r>
      <w:r w:rsidR="003D3378" w:rsidRPr="005F62F4">
        <w:rPr>
          <w:lang w:eastAsia="en-AU"/>
        </w:rPr>
        <w:t>in</w:t>
      </w:r>
      <w:r w:rsidR="008D3B8D" w:rsidRPr="005F62F4">
        <w:rPr>
          <w:lang w:eastAsia="en-AU"/>
        </w:rPr>
        <w:t xml:space="preserve"> other clinical categories</w:t>
      </w:r>
      <w:r w:rsidRPr="005F62F4">
        <w:rPr>
          <w:lang w:eastAsia="en-AU"/>
        </w:rPr>
        <w:t xml:space="preserve"> (</w:t>
      </w:r>
      <w:r w:rsidR="0002116E" w:rsidRPr="005F62F4">
        <w:rPr>
          <w:lang w:eastAsia="en-AU"/>
        </w:rPr>
        <w:fldChar w:fldCharType="begin"/>
      </w:r>
      <w:r w:rsidR="0002116E" w:rsidRPr="005F62F4">
        <w:rPr>
          <w:lang w:eastAsia="en-AU"/>
        </w:rPr>
        <w:instrText xml:space="preserve"> REF _Ref120558714 \h </w:instrText>
      </w:r>
      <w:r w:rsidR="005F62F4">
        <w:rPr>
          <w:lang w:eastAsia="en-AU"/>
        </w:rPr>
        <w:instrText xml:space="preserve"> \* MERGEFORMAT </w:instrText>
      </w:r>
      <w:r w:rsidR="0002116E" w:rsidRPr="005F62F4">
        <w:rPr>
          <w:lang w:eastAsia="en-AU"/>
        </w:rPr>
      </w:r>
      <w:r w:rsidR="0002116E" w:rsidRPr="005F62F4">
        <w:rPr>
          <w:lang w:eastAsia="en-AU"/>
        </w:rPr>
        <w:fldChar w:fldCharType="separate"/>
      </w:r>
      <w:r w:rsidR="005606BF" w:rsidRPr="005F62F4">
        <w:t>Table </w:t>
      </w:r>
      <w:r w:rsidR="005606BF">
        <w:t>10</w:t>
      </w:r>
      <w:r w:rsidR="0002116E" w:rsidRPr="005F62F4">
        <w:rPr>
          <w:lang w:eastAsia="en-AU"/>
        </w:rPr>
        <w:fldChar w:fldCharType="end"/>
      </w:r>
      <w:r w:rsidR="00CA0FC1" w:rsidRPr="005F62F4">
        <w:rPr>
          <w:lang w:eastAsia="en-AU"/>
        </w:rPr>
        <w:t>)</w:t>
      </w:r>
      <w:r w:rsidRPr="005F62F4">
        <w:t>.</w:t>
      </w:r>
      <w:r w:rsidRPr="005F62F4">
        <w:rPr>
          <w:lang w:eastAsia="en-AU"/>
        </w:rPr>
        <w:t xml:space="preserve"> I</w:t>
      </w:r>
      <w:r w:rsidR="008D3B8D" w:rsidRPr="005F62F4">
        <w:rPr>
          <w:lang w:eastAsia="en-AU"/>
        </w:rPr>
        <w:t>n 2020</w:t>
      </w:r>
      <w:r w:rsidR="00A55977" w:rsidRPr="005F62F4">
        <w:rPr>
          <w:lang w:eastAsia="en-AU"/>
        </w:rPr>
        <w:t>–</w:t>
      </w:r>
      <w:r w:rsidR="008D3B8D" w:rsidRPr="005F62F4">
        <w:rPr>
          <w:lang w:eastAsia="en-AU"/>
        </w:rPr>
        <w:t>21,</w:t>
      </w:r>
      <w:r w:rsidR="00DA5010" w:rsidRPr="005F62F4">
        <w:rPr>
          <w:lang w:eastAsia="en-AU"/>
        </w:rPr>
        <w:t xml:space="preserve"> </w:t>
      </w:r>
      <w:r w:rsidR="00D67A50" w:rsidRPr="005F62F4">
        <w:rPr>
          <w:lang w:eastAsia="en-AU"/>
        </w:rPr>
        <w:t>28</w:t>
      </w:r>
      <w:r w:rsidR="0041760C" w:rsidRPr="005F62F4">
        <w:rPr>
          <w:lang w:eastAsia="en-AU"/>
        </w:rPr>
        <w:t>% of total utilisation</w:t>
      </w:r>
      <w:r w:rsidR="0011506F" w:rsidRPr="005F62F4">
        <w:rPr>
          <w:lang w:eastAsia="en-AU"/>
        </w:rPr>
        <w:t xml:space="preserve"> </w:t>
      </w:r>
      <w:r w:rsidR="00225C4C" w:rsidRPr="005F62F4">
        <w:rPr>
          <w:lang w:eastAsia="en-AU"/>
        </w:rPr>
        <w:t>was</w:t>
      </w:r>
      <w:r w:rsidR="0041760C" w:rsidRPr="005F62F4">
        <w:rPr>
          <w:lang w:eastAsia="en-AU"/>
        </w:rPr>
        <w:t xml:space="preserve"> </w:t>
      </w:r>
      <w:r w:rsidR="00D67A50" w:rsidRPr="005F62F4">
        <w:rPr>
          <w:lang w:eastAsia="en-AU"/>
        </w:rPr>
        <w:t>outside of</w:t>
      </w:r>
      <w:r w:rsidR="0041760C" w:rsidRPr="005F62F4">
        <w:rPr>
          <w:lang w:eastAsia="en-AU"/>
        </w:rPr>
        <w:t xml:space="preserve"> the plastic and reconstructive clinical category</w:t>
      </w:r>
      <w:r w:rsidR="00FA454C" w:rsidRPr="005F62F4">
        <w:rPr>
          <w:lang w:eastAsia="en-AU"/>
        </w:rPr>
        <w:t>;</w:t>
      </w:r>
      <w:r w:rsidR="004C4A97" w:rsidRPr="005F62F4">
        <w:rPr>
          <w:lang w:eastAsia="en-AU"/>
        </w:rPr>
        <w:t xml:space="preserve"> </w:t>
      </w:r>
      <w:r w:rsidR="00EF1AAC" w:rsidRPr="005F62F4">
        <w:rPr>
          <w:lang w:eastAsia="en-AU"/>
        </w:rPr>
        <w:t>more than</w:t>
      </w:r>
      <w:r w:rsidR="00E74DBE" w:rsidRPr="005F62F4">
        <w:rPr>
          <w:lang w:eastAsia="en-AU"/>
        </w:rPr>
        <w:t xml:space="preserve"> half </w:t>
      </w:r>
      <w:r w:rsidR="004C4A97" w:rsidRPr="005F62F4">
        <w:rPr>
          <w:lang w:eastAsia="en-AU"/>
        </w:rPr>
        <w:t xml:space="preserve">of this </w:t>
      </w:r>
      <w:r w:rsidR="00E74DBE" w:rsidRPr="005F62F4">
        <w:rPr>
          <w:lang w:eastAsia="en-AU"/>
        </w:rPr>
        <w:t xml:space="preserve">(15% of total </w:t>
      </w:r>
      <w:r w:rsidR="003B7AD8" w:rsidRPr="005F62F4">
        <w:rPr>
          <w:lang w:eastAsia="en-AU"/>
        </w:rPr>
        <w:t>utilisation</w:t>
      </w:r>
      <w:r w:rsidR="00E74DBE" w:rsidRPr="005F62F4">
        <w:rPr>
          <w:lang w:eastAsia="en-AU"/>
        </w:rPr>
        <w:t xml:space="preserve">) </w:t>
      </w:r>
      <w:r w:rsidR="00FA454C" w:rsidRPr="005F62F4">
        <w:rPr>
          <w:lang w:eastAsia="en-AU"/>
        </w:rPr>
        <w:t xml:space="preserve">was </w:t>
      </w:r>
      <w:r w:rsidR="004C4A97" w:rsidRPr="005F62F4">
        <w:rPr>
          <w:lang w:eastAsia="en-AU"/>
        </w:rPr>
        <w:t xml:space="preserve">attributable to orthopaedic </w:t>
      </w:r>
      <w:r w:rsidR="00CA65EC" w:rsidRPr="005F62F4">
        <w:rPr>
          <w:lang w:eastAsia="en-AU"/>
        </w:rPr>
        <w:t>procedures</w:t>
      </w:r>
      <w:r w:rsidR="004C4A97" w:rsidRPr="005F62F4">
        <w:rPr>
          <w:lang w:eastAsia="en-AU"/>
        </w:rPr>
        <w:t xml:space="preserve"> (</w:t>
      </w:r>
      <w:r w:rsidR="00CA65EC" w:rsidRPr="005F62F4">
        <w:rPr>
          <w:lang w:eastAsia="en-AU"/>
        </w:rPr>
        <w:t xml:space="preserve">under the </w:t>
      </w:r>
      <w:r w:rsidR="004C4A97" w:rsidRPr="005F62F4">
        <w:rPr>
          <w:lang w:eastAsia="en-AU"/>
        </w:rPr>
        <w:t>bone, joint and muscle and joint replacement</w:t>
      </w:r>
      <w:r w:rsidR="00CA65EC" w:rsidRPr="005F62F4">
        <w:rPr>
          <w:lang w:eastAsia="en-AU"/>
        </w:rPr>
        <w:t xml:space="preserve"> clinical categories</w:t>
      </w:r>
      <w:r w:rsidR="004C4A97" w:rsidRPr="005F62F4">
        <w:rPr>
          <w:lang w:eastAsia="en-AU"/>
        </w:rPr>
        <w:t>)</w:t>
      </w:r>
      <w:r w:rsidR="00D67A50" w:rsidRPr="005F62F4">
        <w:rPr>
          <w:lang w:eastAsia="en-AU"/>
        </w:rPr>
        <w:t>.</w:t>
      </w:r>
    </w:p>
    <w:p w14:paraId="4C7012D9" w14:textId="082C4CD1" w:rsidR="00A46D1F" w:rsidRPr="005F62F4" w:rsidRDefault="00474DD9" w:rsidP="00670DC7">
      <w:pPr>
        <w:pStyle w:val="ParaKeep"/>
        <w:keepLines/>
        <w:rPr>
          <w:lang w:eastAsia="en-AU"/>
        </w:rPr>
      </w:pPr>
      <w:r w:rsidRPr="005F62F4">
        <w:t>We note</w:t>
      </w:r>
      <w:r w:rsidR="007E01AB" w:rsidRPr="005F62F4">
        <w:t xml:space="preserve"> that </w:t>
      </w:r>
      <w:r w:rsidR="00ED7230" w:rsidRPr="005F62F4">
        <w:t>MBS clinical category is a non-mandatory field</w:t>
      </w:r>
      <w:r w:rsidR="00615C87" w:rsidRPr="005F62F4">
        <w:t xml:space="preserve"> in the HCP1 dataset</w:t>
      </w:r>
      <w:r w:rsidR="00ED7230" w:rsidRPr="005F62F4">
        <w:t xml:space="preserve"> </w:t>
      </w:r>
      <w:r w:rsidR="00C54D01" w:rsidRPr="005F62F4">
        <w:t xml:space="preserve">and </w:t>
      </w:r>
      <w:r w:rsidR="00ED7230" w:rsidRPr="005F62F4">
        <w:t xml:space="preserve">there are instances where this field is left blank as part of the hospital separation. </w:t>
      </w:r>
      <w:r w:rsidR="0026476D" w:rsidRPr="005F62F4">
        <w:rPr>
          <w:lang w:eastAsia="en-AU"/>
        </w:rPr>
        <w:t>As shown in</w:t>
      </w:r>
      <w:r w:rsidR="0002116E" w:rsidRPr="005F62F4">
        <w:rPr>
          <w:lang w:eastAsia="en-AU"/>
        </w:rPr>
        <w:t xml:space="preserve"> </w:t>
      </w:r>
      <w:r w:rsidR="0002116E" w:rsidRPr="005F62F4">
        <w:rPr>
          <w:lang w:eastAsia="en-AU"/>
        </w:rPr>
        <w:fldChar w:fldCharType="begin"/>
      </w:r>
      <w:r w:rsidR="0002116E" w:rsidRPr="005F62F4">
        <w:rPr>
          <w:lang w:eastAsia="en-AU"/>
        </w:rPr>
        <w:instrText xml:space="preserve"> REF _Ref120558714 \h </w:instrText>
      </w:r>
      <w:r w:rsidR="005F62F4">
        <w:rPr>
          <w:lang w:eastAsia="en-AU"/>
        </w:rPr>
        <w:instrText xml:space="preserve"> \* MERGEFORMAT </w:instrText>
      </w:r>
      <w:r w:rsidR="0002116E" w:rsidRPr="005F62F4">
        <w:rPr>
          <w:lang w:eastAsia="en-AU"/>
        </w:rPr>
      </w:r>
      <w:r w:rsidR="0002116E" w:rsidRPr="005F62F4">
        <w:rPr>
          <w:lang w:eastAsia="en-AU"/>
        </w:rPr>
        <w:fldChar w:fldCharType="separate"/>
      </w:r>
      <w:r w:rsidR="005606BF" w:rsidRPr="005F62F4">
        <w:t>Table </w:t>
      </w:r>
      <w:r w:rsidR="005606BF">
        <w:t>10</w:t>
      </w:r>
      <w:r w:rsidR="0002116E" w:rsidRPr="005F62F4">
        <w:rPr>
          <w:lang w:eastAsia="en-AU"/>
        </w:rPr>
        <w:fldChar w:fldCharType="end"/>
      </w:r>
      <w:r w:rsidR="0026476D" w:rsidRPr="005F62F4">
        <w:rPr>
          <w:lang w:eastAsia="en-AU"/>
        </w:rPr>
        <w:t xml:space="preserve">, </w:t>
      </w:r>
      <w:r w:rsidRPr="005F62F4">
        <w:t>‘</w:t>
      </w:r>
      <w:r w:rsidR="00ED7230" w:rsidRPr="005F62F4">
        <w:t>MBS category not supplied</w:t>
      </w:r>
      <w:r w:rsidRPr="005F62F4">
        <w:t xml:space="preserve">’ </w:t>
      </w:r>
      <w:r w:rsidR="0026476D" w:rsidRPr="005F62F4">
        <w:t>accounted for</w:t>
      </w:r>
      <w:r w:rsidR="00ED7230" w:rsidRPr="005F62F4">
        <w:t xml:space="preserve"> 7% of </w:t>
      </w:r>
      <w:r w:rsidR="00E3614A" w:rsidRPr="005F62F4">
        <w:t>the of products used in 2020-21.</w:t>
      </w:r>
    </w:p>
    <w:p w14:paraId="5B3EC051" w14:textId="5A238899" w:rsidR="002E0C0C" w:rsidRPr="005F62F4" w:rsidRDefault="002F3E53" w:rsidP="008E2585">
      <w:pPr>
        <w:pStyle w:val="Caption"/>
      </w:pPr>
      <w:bookmarkStart w:id="180" w:name="_Ref119871254"/>
      <w:bookmarkStart w:id="181" w:name="_Ref120558714"/>
      <w:bookmarkStart w:id="182" w:name="_Toc129954647"/>
      <w:r w:rsidRPr="005F62F4">
        <w:t>Table</w:t>
      </w:r>
      <w:r w:rsidR="008E2585" w:rsidRPr="005F62F4">
        <w:t> </w:t>
      </w:r>
      <w:bookmarkEnd w:id="180"/>
      <w:r w:rsidR="00F048D3" w:rsidRPr="005F62F4">
        <w:rPr>
          <w:rFonts w:eastAsia="MS Mincho" w:cs="Tahoma"/>
          <w:szCs w:val="20"/>
          <w:lang w:eastAsia="en-GB"/>
        </w:rPr>
        <w:fldChar w:fldCharType="begin"/>
      </w:r>
      <w:r w:rsidR="00F048D3" w:rsidRPr="005F62F4">
        <w:instrText xml:space="preserve"> SEQ Table \* ARABIC </w:instrText>
      </w:r>
      <w:r w:rsidR="00F048D3" w:rsidRPr="005F62F4">
        <w:rPr>
          <w:rFonts w:eastAsia="MS Mincho" w:cs="Tahoma"/>
          <w:szCs w:val="20"/>
          <w:lang w:eastAsia="en-GB"/>
        </w:rPr>
        <w:fldChar w:fldCharType="separate"/>
      </w:r>
      <w:r w:rsidR="005606BF">
        <w:rPr>
          <w:noProof/>
        </w:rPr>
        <w:t>10</w:t>
      </w:r>
      <w:r w:rsidR="00F048D3" w:rsidRPr="005F62F4">
        <w:rPr>
          <w:rFonts w:eastAsia="MS Mincho" w:cs="Tahoma"/>
          <w:szCs w:val="20"/>
          <w:lang w:eastAsia="en-GB"/>
        </w:rPr>
        <w:fldChar w:fldCharType="end"/>
      </w:r>
      <w:bookmarkEnd w:id="181"/>
      <w:r w:rsidR="002E0C0C" w:rsidRPr="005F62F4">
        <w:t>: Proportion of products used in each financial year, by MBS clinical category</w:t>
      </w:r>
      <w:bookmarkEnd w:id="182"/>
    </w:p>
    <w:tbl>
      <w:tblPr>
        <w:tblStyle w:val="SGB"/>
        <w:tblW w:w="9242" w:type="dxa"/>
        <w:tblLayout w:type="fixed"/>
        <w:tblLook w:val="04A0" w:firstRow="1" w:lastRow="0" w:firstColumn="1" w:lastColumn="0" w:noHBand="0" w:noVBand="1"/>
      </w:tblPr>
      <w:tblGrid>
        <w:gridCol w:w="1020"/>
        <w:gridCol w:w="1361"/>
        <w:gridCol w:w="1134"/>
        <w:gridCol w:w="1134"/>
        <w:gridCol w:w="1134"/>
        <w:gridCol w:w="1134"/>
        <w:gridCol w:w="1191"/>
        <w:gridCol w:w="1134"/>
      </w:tblGrid>
      <w:tr w:rsidR="00FB1B41" w:rsidRPr="005F62F4" w14:paraId="44FAB7F5" w14:textId="77777777" w:rsidTr="0035666C">
        <w:trPr>
          <w:cnfStyle w:val="100000000000" w:firstRow="1" w:lastRow="0" w:firstColumn="0" w:lastColumn="0" w:oddVBand="0" w:evenVBand="0" w:oddHBand="0" w:evenHBand="0" w:firstRowFirstColumn="0" w:firstRowLastColumn="0" w:lastRowFirstColumn="0" w:lastRowLastColumn="0"/>
          <w:trHeight w:val="411"/>
        </w:trPr>
        <w:tc>
          <w:tcPr>
            <w:cnfStyle w:val="001000000000" w:firstRow="0" w:lastRow="0" w:firstColumn="1" w:lastColumn="0" w:oddVBand="0" w:evenVBand="0" w:oddHBand="0" w:evenHBand="0" w:firstRowFirstColumn="0" w:firstRowLastColumn="0" w:lastRowFirstColumn="0" w:lastRowLastColumn="0"/>
            <w:tcW w:w="1020" w:type="dxa"/>
          </w:tcPr>
          <w:p w14:paraId="5C23B78F" w14:textId="77777777" w:rsidR="002E40E7" w:rsidRPr="005F62F4" w:rsidRDefault="002E40E7">
            <w:pPr>
              <w:spacing w:after="60"/>
              <w:rPr>
                <w:rFonts w:eastAsia="MS Mincho" w:cs="Tahoma"/>
                <w:sz w:val="18"/>
                <w:szCs w:val="18"/>
                <w:lang w:eastAsia="en-GB"/>
              </w:rPr>
            </w:pPr>
            <w:bookmarkStart w:id="183" w:name="Title_12" w:colFirst="0" w:colLast="0"/>
            <w:r w:rsidRPr="005F62F4">
              <w:rPr>
                <w:rFonts w:eastAsia="MS Mincho" w:cs="Tahoma"/>
                <w:sz w:val="18"/>
                <w:szCs w:val="18"/>
                <w:lang w:eastAsia="en-GB"/>
              </w:rPr>
              <w:t>Year</w:t>
            </w:r>
          </w:p>
        </w:tc>
        <w:tc>
          <w:tcPr>
            <w:tcW w:w="1361" w:type="dxa"/>
          </w:tcPr>
          <w:p w14:paraId="6145DA17" w14:textId="53A2F870" w:rsidR="002E40E7" w:rsidRPr="005F62F4" w:rsidRDefault="002E40E7" w:rsidP="002E40E7">
            <w:pPr>
              <w:pStyle w:val="TableTextRight"/>
              <w:cnfStyle w:val="100000000000" w:firstRow="1" w:lastRow="0" w:firstColumn="0" w:lastColumn="0" w:oddVBand="0" w:evenVBand="0" w:oddHBand="0" w:evenHBand="0" w:firstRowFirstColumn="0" w:firstRowLastColumn="0" w:lastRowFirstColumn="0" w:lastRowLastColumn="0"/>
              <w:rPr>
                <w:szCs w:val="18"/>
                <w:lang w:val="en-AU"/>
              </w:rPr>
            </w:pPr>
            <w:r w:rsidRPr="005F62F4">
              <w:rPr>
                <w:szCs w:val="18"/>
              </w:rPr>
              <w:t xml:space="preserve">Plastic </w:t>
            </w:r>
            <w:r w:rsidR="00754415" w:rsidRPr="005F62F4">
              <w:rPr>
                <w:szCs w:val="18"/>
              </w:rPr>
              <w:t>and</w:t>
            </w:r>
            <w:r w:rsidRPr="005F62F4">
              <w:rPr>
                <w:szCs w:val="18"/>
              </w:rPr>
              <w:t xml:space="preserve"> reconstructive</w:t>
            </w:r>
            <w:r w:rsidR="00442B88" w:rsidRPr="005F62F4">
              <w:rPr>
                <w:szCs w:val="18"/>
              </w:rPr>
              <w:t xml:space="preserve"> (</w:t>
            </w:r>
            <w:r w:rsidR="00EB3FC2" w:rsidRPr="005F62F4">
              <w:rPr>
                <w:szCs w:val="18"/>
              </w:rPr>
              <w:t>includes CMF)</w:t>
            </w:r>
          </w:p>
        </w:tc>
        <w:tc>
          <w:tcPr>
            <w:tcW w:w="1134" w:type="dxa"/>
          </w:tcPr>
          <w:p w14:paraId="4FCC88D5" w14:textId="162D7E85" w:rsidR="002E40E7" w:rsidRPr="005F62F4" w:rsidRDefault="002E40E7" w:rsidP="002E40E7">
            <w:pPr>
              <w:pStyle w:val="TableTextRight"/>
              <w:cnfStyle w:val="100000000000" w:firstRow="1" w:lastRow="0" w:firstColumn="0" w:lastColumn="0" w:oddVBand="0" w:evenVBand="0" w:oddHBand="0" w:evenHBand="0" w:firstRowFirstColumn="0" w:firstRowLastColumn="0" w:lastRowFirstColumn="0" w:lastRowLastColumn="0"/>
              <w:rPr>
                <w:szCs w:val="18"/>
                <w:lang w:val="en-AU"/>
              </w:rPr>
            </w:pPr>
            <w:r w:rsidRPr="005F62F4">
              <w:rPr>
                <w:szCs w:val="18"/>
                <w:lang w:val="en-AU"/>
              </w:rPr>
              <w:t xml:space="preserve">Ear nose </w:t>
            </w:r>
            <w:r w:rsidR="00754415" w:rsidRPr="005F62F4">
              <w:rPr>
                <w:szCs w:val="18"/>
                <w:lang w:val="en-AU"/>
              </w:rPr>
              <w:t>and</w:t>
            </w:r>
            <w:r w:rsidRPr="005F62F4">
              <w:rPr>
                <w:szCs w:val="18"/>
                <w:lang w:val="en-AU"/>
              </w:rPr>
              <w:t xml:space="preserve"> throat</w:t>
            </w:r>
          </w:p>
        </w:tc>
        <w:tc>
          <w:tcPr>
            <w:tcW w:w="1134" w:type="dxa"/>
          </w:tcPr>
          <w:p w14:paraId="74AA4378" w14:textId="097581D9" w:rsidR="002E40E7" w:rsidRPr="005F62F4" w:rsidRDefault="002E40E7" w:rsidP="002E40E7">
            <w:pPr>
              <w:pStyle w:val="TableTextRight"/>
              <w:cnfStyle w:val="100000000000" w:firstRow="1" w:lastRow="0" w:firstColumn="0" w:lastColumn="0" w:oddVBand="0" w:evenVBand="0" w:oddHBand="0" w:evenHBand="0" w:firstRowFirstColumn="0" w:firstRowLastColumn="0" w:lastRowFirstColumn="0" w:lastRowLastColumn="0"/>
              <w:rPr>
                <w:szCs w:val="18"/>
                <w:lang w:val="en-AU"/>
              </w:rPr>
            </w:pPr>
            <w:r w:rsidRPr="005F62F4">
              <w:rPr>
                <w:szCs w:val="18"/>
                <w:lang w:val="en-AU"/>
              </w:rPr>
              <w:t xml:space="preserve">Bone, joint </w:t>
            </w:r>
            <w:r w:rsidR="00754415" w:rsidRPr="005F62F4">
              <w:rPr>
                <w:szCs w:val="18"/>
                <w:lang w:val="en-AU"/>
              </w:rPr>
              <w:t>and</w:t>
            </w:r>
            <w:r w:rsidRPr="005F62F4">
              <w:rPr>
                <w:szCs w:val="18"/>
                <w:lang w:val="en-AU"/>
              </w:rPr>
              <w:t xml:space="preserve"> muscle</w:t>
            </w:r>
          </w:p>
        </w:tc>
        <w:tc>
          <w:tcPr>
            <w:tcW w:w="1134" w:type="dxa"/>
          </w:tcPr>
          <w:p w14:paraId="42EB489B" w14:textId="5121C184" w:rsidR="002E40E7" w:rsidRPr="005F62F4" w:rsidRDefault="00013CD6" w:rsidP="002E40E7">
            <w:pPr>
              <w:pStyle w:val="TableTextRight"/>
              <w:cnfStyle w:val="100000000000" w:firstRow="1" w:lastRow="0" w:firstColumn="0" w:lastColumn="0" w:oddVBand="0" w:evenVBand="0" w:oddHBand="0" w:evenHBand="0" w:firstRowFirstColumn="0" w:firstRowLastColumn="0" w:lastRowFirstColumn="0" w:lastRowLastColumn="0"/>
              <w:rPr>
                <w:rStyle w:val="Italic"/>
              </w:rPr>
            </w:pPr>
            <w:r w:rsidRPr="005F62F4">
              <w:rPr>
                <w:rStyle w:val="Italic"/>
              </w:rPr>
              <w:t xml:space="preserve">MBS </w:t>
            </w:r>
            <w:r w:rsidR="00322542" w:rsidRPr="005F62F4">
              <w:rPr>
                <w:rStyle w:val="Italic"/>
              </w:rPr>
              <w:t>category</w:t>
            </w:r>
            <w:r w:rsidRPr="005F62F4">
              <w:rPr>
                <w:rStyle w:val="Italic"/>
              </w:rPr>
              <w:t xml:space="preserve"> not supplied</w:t>
            </w:r>
          </w:p>
        </w:tc>
        <w:tc>
          <w:tcPr>
            <w:tcW w:w="1134" w:type="dxa"/>
          </w:tcPr>
          <w:p w14:paraId="574D3F72" w14:textId="48F58860" w:rsidR="002E40E7" w:rsidRPr="005F62F4" w:rsidRDefault="002E40E7" w:rsidP="002E40E7">
            <w:pPr>
              <w:pStyle w:val="TableTextRight"/>
              <w:cnfStyle w:val="100000000000" w:firstRow="1" w:lastRow="0" w:firstColumn="0" w:lastColumn="0" w:oddVBand="0" w:evenVBand="0" w:oddHBand="0" w:evenHBand="0" w:firstRowFirstColumn="0" w:firstRowLastColumn="0" w:lastRowFirstColumn="0" w:lastRowLastColumn="0"/>
              <w:rPr>
                <w:szCs w:val="18"/>
                <w:lang w:val="en-AU"/>
              </w:rPr>
            </w:pPr>
            <w:r w:rsidRPr="005F62F4">
              <w:rPr>
                <w:szCs w:val="18"/>
                <w:lang w:val="en-AU"/>
              </w:rPr>
              <w:t xml:space="preserve">Brain </w:t>
            </w:r>
            <w:r w:rsidR="00754415" w:rsidRPr="005F62F4">
              <w:rPr>
                <w:szCs w:val="18"/>
                <w:lang w:val="en-AU"/>
              </w:rPr>
              <w:t>and</w:t>
            </w:r>
            <w:r w:rsidRPr="005F62F4">
              <w:rPr>
                <w:szCs w:val="18"/>
                <w:lang w:val="en-AU"/>
              </w:rPr>
              <w:t xml:space="preserve"> nervous system</w:t>
            </w:r>
          </w:p>
        </w:tc>
        <w:tc>
          <w:tcPr>
            <w:tcW w:w="1191" w:type="dxa"/>
          </w:tcPr>
          <w:p w14:paraId="4987C9C9" w14:textId="6CA7BC54" w:rsidR="002E40E7" w:rsidRPr="005F62F4" w:rsidRDefault="002E40E7" w:rsidP="002E40E7">
            <w:pPr>
              <w:pStyle w:val="TableTextRight"/>
              <w:cnfStyle w:val="100000000000" w:firstRow="1" w:lastRow="0" w:firstColumn="0" w:lastColumn="0" w:oddVBand="0" w:evenVBand="0" w:oddHBand="0" w:evenHBand="0" w:firstRowFirstColumn="0" w:firstRowLastColumn="0" w:lastRowFirstColumn="0" w:lastRowLastColumn="0"/>
              <w:rPr>
                <w:szCs w:val="18"/>
                <w:lang w:val="en-AU"/>
              </w:rPr>
            </w:pPr>
            <w:r w:rsidRPr="005F62F4">
              <w:rPr>
                <w:szCs w:val="18"/>
                <w:lang w:val="en-AU"/>
              </w:rPr>
              <w:t>Joint replacement</w:t>
            </w:r>
          </w:p>
        </w:tc>
        <w:tc>
          <w:tcPr>
            <w:tcW w:w="1134" w:type="dxa"/>
          </w:tcPr>
          <w:p w14:paraId="795507E5" w14:textId="77777777" w:rsidR="002E40E7" w:rsidRPr="005F62F4" w:rsidRDefault="002E40E7" w:rsidP="002E40E7">
            <w:pPr>
              <w:pStyle w:val="TableTextRight"/>
              <w:cnfStyle w:val="100000000000" w:firstRow="1" w:lastRow="0" w:firstColumn="0" w:lastColumn="0" w:oddVBand="0" w:evenVBand="0" w:oddHBand="0" w:evenHBand="0" w:firstRowFirstColumn="0" w:firstRowLastColumn="0" w:lastRowFirstColumn="0" w:lastRowLastColumn="0"/>
              <w:rPr>
                <w:szCs w:val="18"/>
                <w:lang w:val="en-AU"/>
              </w:rPr>
            </w:pPr>
            <w:r w:rsidRPr="005F62F4">
              <w:rPr>
                <w:szCs w:val="18"/>
                <w:lang w:val="en-AU"/>
              </w:rPr>
              <w:t>Support list</w:t>
            </w:r>
          </w:p>
        </w:tc>
      </w:tr>
      <w:bookmarkEnd w:id="183"/>
      <w:tr w:rsidR="00FB1B41" w:rsidRPr="005F62F4" w14:paraId="340412C6" w14:textId="77777777" w:rsidTr="0035666C">
        <w:trPr>
          <w:trHeight w:val="170"/>
        </w:trPr>
        <w:tc>
          <w:tcPr>
            <w:cnfStyle w:val="001000000000" w:firstRow="0" w:lastRow="0" w:firstColumn="1" w:lastColumn="0" w:oddVBand="0" w:evenVBand="0" w:oddHBand="0" w:evenHBand="0" w:firstRowFirstColumn="0" w:firstRowLastColumn="0" w:lastRowFirstColumn="0" w:lastRowLastColumn="0"/>
            <w:tcW w:w="1020" w:type="dxa"/>
          </w:tcPr>
          <w:p w14:paraId="61700C11" w14:textId="675BC27B" w:rsidR="002E40E7" w:rsidRPr="005F62F4" w:rsidRDefault="007067D1" w:rsidP="00754415">
            <w:pPr>
              <w:pStyle w:val="Tabletextkeep"/>
            </w:pPr>
            <w:r w:rsidRPr="005F62F4">
              <w:t>2013–</w:t>
            </w:r>
            <w:r w:rsidR="002E40E7" w:rsidRPr="005F62F4">
              <w:t>14</w:t>
            </w:r>
          </w:p>
        </w:tc>
        <w:tc>
          <w:tcPr>
            <w:tcW w:w="1361" w:type="dxa"/>
          </w:tcPr>
          <w:p w14:paraId="228BCEC1" w14:textId="41DB1ACC"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100%</w:t>
            </w:r>
          </w:p>
        </w:tc>
        <w:tc>
          <w:tcPr>
            <w:tcW w:w="1134" w:type="dxa"/>
          </w:tcPr>
          <w:p w14:paraId="68878F23" w14:textId="77777777"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p>
        </w:tc>
        <w:tc>
          <w:tcPr>
            <w:tcW w:w="1134" w:type="dxa"/>
          </w:tcPr>
          <w:p w14:paraId="338B276E" w14:textId="77777777"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p>
        </w:tc>
        <w:tc>
          <w:tcPr>
            <w:tcW w:w="1134" w:type="dxa"/>
          </w:tcPr>
          <w:p w14:paraId="7C746825" w14:textId="77777777"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rStyle w:val="Italic"/>
              </w:rPr>
            </w:pPr>
          </w:p>
        </w:tc>
        <w:tc>
          <w:tcPr>
            <w:tcW w:w="1134" w:type="dxa"/>
          </w:tcPr>
          <w:p w14:paraId="18CC54B2" w14:textId="77777777"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p>
        </w:tc>
        <w:tc>
          <w:tcPr>
            <w:tcW w:w="1191" w:type="dxa"/>
          </w:tcPr>
          <w:p w14:paraId="71D9F0E0" w14:textId="77777777"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p>
        </w:tc>
        <w:tc>
          <w:tcPr>
            <w:tcW w:w="1134" w:type="dxa"/>
          </w:tcPr>
          <w:p w14:paraId="50FAB4C4" w14:textId="77777777"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p>
        </w:tc>
      </w:tr>
      <w:tr w:rsidR="00FB1B41" w:rsidRPr="005F62F4" w14:paraId="7A4C2E85" w14:textId="77777777" w:rsidTr="0035666C">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020" w:type="dxa"/>
          </w:tcPr>
          <w:p w14:paraId="1B5110D2" w14:textId="2200C3E5" w:rsidR="002E40E7" w:rsidRPr="005F62F4" w:rsidRDefault="007067D1" w:rsidP="00754415">
            <w:pPr>
              <w:pStyle w:val="Tabletextkeep"/>
            </w:pPr>
            <w:r w:rsidRPr="005F62F4">
              <w:t>2014–</w:t>
            </w:r>
            <w:r w:rsidR="002E40E7" w:rsidRPr="005F62F4">
              <w:t>15</w:t>
            </w:r>
          </w:p>
        </w:tc>
        <w:tc>
          <w:tcPr>
            <w:tcW w:w="1361" w:type="dxa"/>
          </w:tcPr>
          <w:p w14:paraId="0FFF086E" w14:textId="1A1EBEB1"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100%</w:t>
            </w:r>
          </w:p>
        </w:tc>
        <w:tc>
          <w:tcPr>
            <w:tcW w:w="1134" w:type="dxa"/>
          </w:tcPr>
          <w:p w14:paraId="45F32A05" w14:textId="77777777"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p>
        </w:tc>
        <w:tc>
          <w:tcPr>
            <w:tcW w:w="1134" w:type="dxa"/>
          </w:tcPr>
          <w:p w14:paraId="1C9FD54A" w14:textId="77777777"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p>
        </w:tc>
        <w:tc>
          <w:tcPr>
            <w:tcW w:w="1134" w:type="dxa"/>
          </w:tcPr>
          <w:p w14:paraId="3AC638B2" w14:textId="77777777"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rStyle w:val="Italic"/>
              </w:rPr>
            </w:pPr>
          </w:p>
        </w:tc>
        <w:tc>
          <w:tcPr>
            <w:tcW w:w="1134" w:type="dxa"/>
          </w:tcPr>
          <w:p w14:paraId="6179E312" w14:textId="77777777"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p>
        </w:tc>
        <w:tc>
          <w:tcPr>
            <w:tcW w:w="1191" w:type="dxa"/>
          </w:tcPr>
          <w:p w14:paraId="1C0924A6" w14:textId="77777777"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p>
        </w:tc>
        <w:tc>
          <w:tcPr>
            <w:tcW w:w="1134" w:type="dxa"/>
          </w:tcPr>
          <w:p w14:paraId="25CFB87E" w14:textId="77777777"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p>
        </w:tc>
      </w:tr>
      <w:tr w:rsidR="00FB1B41" w:rsidRPr="005F62F4" w14:paraId="1BC4E94D" w14:textId="77777777" w:rsidTr="0035666C">
        <w:trPr>
          <w:trHeight w:val="170"/>
        </w:trPr>
        <w:tc>
          <w:tcPr>
            <w:cnfStyle w:val="001000000000" w:firstRow="0" w:lastRow="0" w:firstColumn="1" w:lastColumn="0" w:oddVBand="0" w:evenVBand="0" w:oddHBand="0" w:evenHBand="0" w:firstRowFirstColumn="0" w:firstRowLastColumn="0" w:lastRowFirstColumn="0" w:lastRowLastColumn="0"/>
            <w:tcW w:w="1020" w:type="dxa"/>
          </w:tcPr>
          <w:p w14:paraId="57A19FB9" w14:textId="0E8A6794" w:rsidR="002E40E7" w:rsidRPr="005F62F4" w:rsidRDefault="007067D1" w:rsidP="00754415">
            <w:pPr>
              <w:pStyle w:val="Tabletextkeep"/>
            </w:pPr>
            <w:r w:rsidRPr="005F62F4">
              <w:t>2015–</w:t>
            </w:r>
            <w:r w:rsidR="002E40E7" w:rsidRPr="005F62F4">
              <w:t>16</w:t>
            </w:r>
          </w:p>
        </w:tc>
        <w:tc>
          <w:tcPr>
            <w:tcW w:w="1361" w:type="dxa"/>
          </w:tcPr>
          <w:p w14:paraId="6E795C56" w14:textId="1CFF3478"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92%</w:t>
            </w:r>
          </w:p>
        </w:tc>
        <w:tc>
          <w:tcPr>
            <w:tcW w:w="1134" w:type="dxa"/>
          </w:tcPr>
          <w:p w14:paraId="40D8512B" w14:textId="26B7029E"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8%</w:t>
            </w:r>
          </w:p>
        </w:tc>
        <w:tc>
          <w:tcPr>
            <w:tcW w:w="1134" w:type="dxa"/>
          </w:tcPr>
          <w:p w14:paraId="45AEB743" w14:textId="77777777"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p>
        </w:tc>
        <w:tc>
          <w:tcPr>
            <w:tcW w:w="1134" w:type="dxa"/>
          </w:tcPr>
          <w:p w14:paraId="5AB95A9B" w14:textId="77777777"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rStyle w:val="Italic"/>
              </w:rPr>
            </w:pPr>
          </w:p>
        </w:tc>
        <w:tc>
          <w:tcPr>
            <w:tcW w:w="1134" w:type="dxa"/>
          </w:tcPr>
          <w:p w14:paraId="13D5E146" w14:textId="77777777"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p>
        </w:tc>
        <w:tc>
          <w:tcPr>
            <w:tcW w:w="1191" w:type="dxa"/>
          </w:tcPr>
          <w:p w14:paraId="0F3002AA" w14:textId="77777777"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p>
        </w:tc>
        <w:tc>
          <w:tcPr>
            <w:tcW w:w="1134" w:type="dxa"/>
          </w:tcPr>
          <w:p w14:paraId="3FE2EB21" w14:textId="77777777"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p>
        </w:tc>
      </w:tr>
      <w:tr w:rsidR="00FB1B41" w:rsidRPr="005F62F4" w14:paraId="0ED9431E" w14:textId="77777777" w:rsidTr="0035666C">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020" w:type="dxa"/>
          </w:tcPr>
          <w:p w14:paraId="6C36EA63" w14:textId="41D0E763" w:rsidR="002E40E7" w:rsidRPr="005F62F4" w:rsidRDefault="007067D1" w:rsidP="00754415">
            <w:pPr>
              <w:pStyle w:val="Tabletextkeep"/>
            </w:pPr>
            <w:r w:rsidRPr="005F62F4">
              <w:t>2016–</w:t>
            </w:r>
            <w:r w:rsidR="002E40E7" w:rsidRPr="005F62F4">
              <w:t>17</w:t>
            </w:r>
          </w:p>
        </w:tc>
        <w:tc>
          <w:tcPr>
            <w:tcW w:w="1361" w:type="dxa"/>
          </w:tcPr>
          <w:p w14:paraId="11CAD9BE" w14:textId="0FC43C13"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83%</w:t>
            </w:r>
          </w:p>
        </w:tc>
        <w:tc>
          <w:tcPr>
            <w:tcW w:w="1134" w:type="dxa"/>
          </w:tcPr>
          <w:p w14:paraId="2E101894" w14:textId="1090BAEA"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9%</w:t>
            </w:r>
          </w:p>
        </w:tc>
        <w:tc>
          <w:tcPr>
            <w:tcW w:w="1134" w:type="dxa"/>
          </w:tcPr>
          <w:p w14:paraId="3A8BB557" w14:textId="59A02317"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6%</w:t>
            </w:r>
          </w:p>
        </w:tc>
        <w:tc>
          <w:tcPr>
            <w:tcW w:w="1134" w:type="dxa"/>
          </w:tcPr>
          <w:p w14:paraId="1CB8A0B3" w14:textId="7F5CC9AB"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rStyle w:val="Italic"/>
              </w:rPr>
            </w:pPr>
            <w:r w:rsidRPr="005F62F4">
              <w:rPr>
                <w:rStyle w:val="Italic"/>
              </w:rPr>
              <w:t>2%</w:t>
            </w:r>
          </w:p>
        </w:tc>
        <w:tc>
          <w:tcPr>
            <w:tcW w:w="1134" w:type="dxa"/>
          </w:tcPr>
          <w:p w14:paraId="71F9C18D" w14:textId="77777777"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p>
        </w:tc>
        <w:tc>
          <w:tcPr>
            <w:tcW w:w="1191" w:type="dxa"/>
          </w:tcPr>
          <w:p w14:paraId="158325DA" w14:textId="77777777"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p>
        </w:tc>
        <w:tc>
          <w:tcPr>
            <w:tcW w:w="1134" w:type="dxa"/>
          </w:tcPr>
          <w:p w14:paraId="634FD7C3" w14:textId="77777777"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p>
        </w:tc>
      </w:tr>
      <w:tr w:rsidR="00FB1B41" w:rsidRPr="005F62F4" w14:paraId="3D37F82D" w14:textId="77777777" w:rsidTr="0035666C">
        <w:trPr>
          <w:trHeight w:val="170"/>
        </w:trPr>
        <w:tc>
          <w:tcPr>
            <w:cnfStyle w:val="001000000000" w:firstRow="0" w:lastRow="0" w:firstColumn="1" w:lastColumn="0" w:oddVBand="0" w:evenVBand="0" w:oddHBand="0" w:evenHBand="0" w:firstRowFirstColumn="0" w:firstRowLastColumn="0" w:lastRowFirstColumn="0" w:lastRowLastColumn="0"/>
            <w:tcW w:w="1020" w:type="dxa"/>
          </w:tcPr>
          <w:p w14:paraId="3FF07FDC" w14:textId="7970BBC3" w:rsidR="002E40E7" w:rsidRPr="005F62F4" w:rsidRDefault="007067D1" w:rsidP="00754415">
            <w:pPr>
              <w:pStyle w:val="Tabletextkeep"/>
            </w:pPr>
            <w:r w:rsidRPr="005F62F4">
              <w:t>2017–</w:t>
            </w:r>
            <w:r w:rsidR="002E40E7" w:rsidRPr="005F62F4">
              <w:t>18</w:t>
            </w:r>
          </w:p>
        </w:tc>
        <w:tc>
          <w:tcPr>
            <w:tcW w:w="1361" w:type="dxa"/>
          </w:tcPr>
          <w:p w14:paraId="0865E9FA" w14:textId="1451FDF2"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81%</w:t>
            </w:r>
          </w:p>
        </w:tc>
        <w:tc>
          <w:tcPr>
            <w:tcW w:w="1134" w:type="dxa"/>
          </w:tcPr>
          <w:p w14:paraId="48CDC122" w14:textId="3C3DF5AB"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6%</w:t>
            </w:r>
          </w:p>
        </w:tc>
        <w:tc>
          <w:tcPr>
            <w:tcW w:w="1134" w:type="dxa"/>
          </w:tcPr>
          <w:p w14:paraId="187720BA" w14:textId="11119146"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8%</w:t>
            </w:r>
          </w:p>
        </w:tc>
        <w:tc>
          <w:tcPr>
            <w:tcW w:w="1134" w:type="dxa"/>
          </w:tcPr>
          <w:p w14:paraId="2D2F3E36" w14:textId="510E6524"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rStyle w:val="Italic"/>
              </w:rPr>
            </w:pPr>
            <w:r w:rsidRPr="005F62F4">
              <w:rPr>
                <w:rStyle w:val="Italic"/>
              </w:rPr>
              <w:t>4%</w:t>
            </w:r>
          </w:p>
        </w:tc>
        <w:tc>
          <w:tcPr>
            <w:tcW w:w="1134" w:type="dxa"/>
          </w:tcPr>
          <w:p w14:paraId="087271C4" w14:textId="5A7FA2DB"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w:t>
            </w:r>
          </w:p>
        </w:tc>
        <w:tc>
          <w:tcPr>
            <w:tcW w:w="1191" w:type="dxa"/>
          </w:tcPr>
          <w:p w14:paraId="29831F02" w14:textId="77777777"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p>
        </w:tc>
        <w:tc>
          <w:tcPr>
            <w:tcW w:w="1134" w:type="dxa"/>
          </w:tcPr>
          <w:p w14:paraId="2649490C" w14:textId="77777777"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p>
        </w:tc>
      </w:tr>
      <w:tr w:rsidR="00FB1B41" w:rsidRPr="005F62F4" w14:paraId="16A49C6D" w14:textId="77777777" w:rsidTr="0035666C">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020" w:type="dxa"/>
          </w:tcPr>
          <w:p w14:paraId="27389B6F" w14:textId="66C96E57" w:rsidR="002E40E7" w:rsidRPr="005F62F4" w:rsidRDefault="007067D1" w:rsidP="00754415">
            <w:pPr>
              <w:pStyle w:val="Tabletextkeep"/>
            </w:pPr>
            <w:r w:rsidRPr="005F62F4">
              <w:t>2018–</w:t>
            </w:r>
            <w:r w:rsidR="002E40E7" w:rsidRPr="005F62F4">
              <w:t>19</w:t>
            </w:r>
          </w:p>
        </w:tc>
        <w:tc>
          <w:tcPr>
            <w:tcW w:w="1361" w:type="dxa"/>
          </w:tcPr>
          <w:p w14:paraId="41AFB6EF" w14:textId="7163DC38"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88%</w:t>
            </w:r>
          </w:p>
        </w:tc>
        <w:tc>
          <w:tcPr>
            <w:tcW w:w="1134" w:type="dxa"/>
          </w:tcPr>
          <w:p w14:paraId="0D09BEDA" w14:textId="196E3FC1"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1%</w:t>
            </w:r>
          </w:p>
        </w:tc>
        <w:tc>
          <w:tcPr>
            <w:tcW w:w="1134" w:type="dxa"/>
          </w:tcPr>
          <w:p w14:paraId="49EB645F" w14:textId="53A86649"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8%</w:t>
            </w:r>
          </w:p>
        </w:tc>
        <w:tc>
          <w:tcPr>
            <w:tcW w:w="1134" w:type="dxa"/>
          </w:tcPr>
          <w:p w14:paraId="66766CAC" w14:textId="3A4FEA25"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rStyle w:val="Italic"/>
              </w:rPr>
            </w:pPr>
            <w:r w:rsidRPr="005F62F4">
              <w:rPr>
                <w:rStyle w:val="Italic"/>
              </w:rPr>
              <w:t>2%</w:t>
            </w:r>
          </w:p>
        </w:tc>
        <w:tc>
          <w:tcPr>
            <w:tcW w:w="1134" w:type="dxa"/>
          </w:tcPr>
          <w:p w14:paraId="6833EC5B" w14:textId="1B015DF9"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1%</w:t>
            </w:r>
          </w:p>
        </w:tc>
        <w:tc>
          <w:tcPr>
            <w:tcW w:w="1191" w:type="dxa"/>
          </w:tcPr>
          <w:p w14:paraId="2AFF5226" w14:textId="77777777"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p>
        </w:tc>
        <w:tc>
          <w:tcPr>
            <w:tcW w:w="1134" w:type="dxa"/>
          </w:tcPr>
          <w:p w14:paraId="1FFF55A5" w14:textId="77777777"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lang w:val="en-AU"/>
              </w:rPr>
            </w:pPr>
          </w:p>
        </w:tc>
      </w:tr>
      <w:tr w:rsidR="00FB1B41" w:rsidRPr="005F62F4" w14:paraId="3705ACFC" w14:textId="77777777" w:rsidTr="0035666C">
        <w:trPr>
          <w:trHeight w:val="170"/>
        </w:trPr>
        <w:tc>
          <w:tcPr>
            <w:cnfStyle w:val="001000000000" w:firstRow="0" w:lastRow="0" w:firstColumn="1" w:lastColumn="0" w:oddVBand="0" w:evenVBand="0" w:oddHBand="0" w:evenHBand="0" w:firstRowFirstColumn="0" w:firstRowLastColumn="0" w:lastRowFirstColumn="0" w:lastRowLastColumn="0"/>
            <w:tcW w:w="1020" w:type="dxa"/>
          </w:tcPr>
          <w:p w14:paraId="4411CFD3" w14:textId="33BC6C31" w:rsidR="002E40E7" w:rsidRPr="005F62F4" w:rsidRDefault="007067D1" w:rsidP="00754415">
            <w:pPr>
              <w:pStyle w:val="Tabletextkeep"/>
            </w:pPr>
            <w:r w:rsidRPr="005F62F4">
              <w:t>2019–</w:t>
            </w:r>
            <w:r w:rsidR="002E40E7" w:rsidRPr="005F62F4">
              <w:t>20</w:t>
            </w:r>
          </w:p>
        </w:tc>
        <w:tc>
          <w:tcPr>
            <w:tcW w:w="1361" w:type="dxa"/>
          </w:tcPr>
          <w:p w14:paraId="7A5E9D67" w14:textId="290B8F89"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78%</w:t>
            </w:r>
          </w:p>
        </w:tc>
        <w:tc>
          <w:tcPr>
            <w:tcW w:w="1134" w:type="dxa"/>
          </w:tcPr>
          <w:p w14:paraId="1AC96AC3" w14:textId="45BCC7FF"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w:t>
            </w:r>
          </w:p>
        </w:tc>
        <w:tc>
          <w:tcPr>
            <w:tcW w:w="1134" w:type="dxa"/>
          </w:tcPr>
          <w:p w14:paraId="3C117582" w14:textId="5969DA6D"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12%</w:t>
            </w:r>
          </w:p>
        </w:tc>
        <w:tc>
          <w:tcPr>
            <w:tcW w:w="1134" w:type="dxa"/>
          </w:tcPr>
          <w:p w14:paraId="04D5DEB0" w14:textId="42A42BF5"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rStyle w:val="Italic"/>
              </w:rPr>
            </w:pPr>
            <w:r w:rsidRPr="005F62F4">
              <w:rPr>
                <w:rStyle w:val="Italic"/>
              </w:rPr>
              <w:t>6%</w:t>
            </w:r>
          </w:p>
        </w:tc>
        <w:tc>
          <w:tcPr>
            <w:tcW w:w="1134" w:type="dxa"/>
          </w:tcPr>
          <w:p w14:paraId="1BCCACFA" w14:textId="72AFACB9"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w:t>
            </w:r>
          </w:p>
        </w:tc>
        <w:tc>
          <w:tcPr>
            <w:tcW w:w="1191" w:type="dxa"/>
          </w:tcPr>
          <w:p w14:paraId="1614BEA7" w14:textId="1EC3158A"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w:t>
            </w:r>
          </w:p>
        </w:tc>
        <w:tc>
          <w:tcPr>
            <w:tcW w:w="1134" w:type="dxa"/>
          </w:tcPr>
          <w:p w14:paraId="34E2B940" w14:textId="13E97BA9" w:rsidR="002E40E7" w:rsidRPr="005F62F4" w:rsidRDefault="002E40E7" w:rsidP="002E40E7">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w:t>
            </w:r>
          </w:p>
        </w:tc>
      </w:tr>
      <w:tr w:rsidR="00FB1B41" w:rsidRPr="005F62F4" w14:paraId="25CD0987" w14:textId="77777777" w:rsidTr="0035666C">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020" w:type="dxa"/>
          </w:tcPr>
          <w:p w14:paraId="6FCA11BE" w14:textId="13873033" w:rsidR="002E40E7" w:rsidRPr="005F62F4" w:rsidRDefault="007067D1" w:rsidP="002E40E7">
            <w:pPr>
              <w:pStyle w:val="TableText"/>
            </w:pPr>
            <w:r w:rsidRPr="005F62F4">
              <w:t>2020</w:t>
            </w:r>
            <w:r w:rsidRPr="005F62F4">
              <w:rPr>
                <w:bCs/>
              </w:rPr>
              <w:t>–</w:t>
            </w:r>
            <w:r w:rsidR="002E40E7" w:rsidRPr="005F62F4">
              <w:t>21</w:t>
            </w:r>
          </w:p>
        </w:tc>
        <w:tc>
          <w:tcPr>
            <w:tcW w:w="1361" w:type="dxa"/>
          </w:tcPr>
          <w:p w14:paraId="361789D4" w14:textId="42929078"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b/>
                <w:lang w:val="en-AU"/>
              </w:rPr>
            </w:pPr>
            <w:r w:rsidRPr="005F62F4">
              <w:rPr>
                <w:lang w:val="en-AU"/>
              </w:rPr>
              <w:t>72</w:t>
            </w:r>
            <w:r w:rsidRPr="005F62F4">
              <w:rPr>
                <w:bCs/>
                <w:lang w:val="en-AU"/>
              </w:rPr>
              <w:t>%</w:t>
            </w:r>
          </w:p>
        </w:tc>
        <w:tc>
          <w:tcPr>
            <w:tcW w:w="1134" w:type="dxa"/>
          </w:tcPr>
          <w:p w14:paraId="400F61C2" w14:textId="282D57FC"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b/>
                <w:lang w:val="en-AU"/>
              </w:rPr>
            </w:pPr>
            <w:r w:rsidRPr="005F62F4">
              <w:rPr>
                <w:lang w:val="en-AU"/>
              </w:rPr>
              <w:t>2</w:t>
            </w:r>
            <w:r w:rsidRPr="005F62F4">
              <w:rPr>
                <w:bCs/>
                <w:lang w:val="en-AU"/>
              </w:rPr>
              <w:t>%</w:t>
            </w:r>
          </w:p>
        </w:tc>
        <w:tc>
          <w:tcPr>
            <w:tcW w:w="1134" w:type="dxa"/>
          </w:tcPr>
          <w:p w14:paraId="29261DDA" w14:textId="5EFB9FB9"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b/>
                <w:lang w:val="en-AU"/>
              </w:rPr>
            </w:pPr>
            <w:r w:rsidRPr="005F62F4">
              <w:rPr>
                <w:lang w:val="en-AU"/>
              </w:rPr>
              <w:t>11</w:t>
            </w:r>
            <w:r w:rsidRPr="005F62F4">
              <w:rPr>
                <w:bCs/>
                <w:lang w:val="en-AU"/>
              </w:rPr>
              <w:t>%</w:t>
            </w:r>
          </w:p>
        </w:tc>
        <w:tc>
          <w:tcPr>
            <w:tcW w:w="1134" w:type="dxa"/>
          </w:tcPr>
          <w:p w14:paraId="36540DE3" w14:textId="3DEE28C5"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rStyle w:val="Italic"/>
              </w:rPr>
            </w:pPr>
            <w:r w:rsidRPr="005F62F4">
              <w:rPr>
                <w:rStyle w:val="Italic"/>
              </w:rPr>
              <w:t>7%</w:t>
            </w:r>
          </w:p>
        </w:tc>
        <w:tc>
          <w:tcPr>
            <w:tcW w:w="1134" w:type="dxa"/>
          </w:tcPr>
          <w:p w14:paraId="51A58133" w14:textId="23E8F936"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b/>
                <w:lang w:val="en-AU"/>
              </w:rPr>
            </w:pPr>
            <w:r w:rsidRPr="005F62F4">
              <w:rPr>
                <w:lang w:val="en-AU"/>
              </w:rPr>
              <w:t>1</w:t>
            </w:r>
            <w:r w:rsidRPr="005F62F4">
              <w:rPr>
                <w:bCs/>
                <w:lang w:val="en-AU"/>
              </w:rPr>
              <w:t>%</w:t>
            </w:r>
          </w:p>
        </w:tc>
        <w:tc>
          <w:tcPr>
            <w:tcW w:w="1191" w:type="dxa"/>
          </w:tcPr>
          <w:p w14:paraId="555A6328" w14:textId="7DDB52AA" w:rsidR="002E40E7" w:rsidRPr="005F62F4" w:rsidRDefault="002E40E7" w:rsidP="002E40E7">
            <w:pPr>
              <w:pStyle w:val="TableTextRight"/>
              <w:cnfStyle w:val="000000010000" w:firstRow="0" w:lastRow="0" w:firstColumn="0" w:lastColumn="0" w:oddVBand="0" w:evenVBand="0" w:oddHBand="0" w:evenHBand="1" w:firstRowFirstColumn="0" w:firstRowLastColumn="0" w:lastRowFirstColumn="0" w:lastRowLastColumn="0"/>
              <w:rPr>
                <w:b/>
                <w:lang w:val="en-AU"/>
              </w:rPr>
            </w:pPr>
            <w:r w:rsidRPr="005F62F4">
              <w:rPr>
                <w:lang w:val="en-AU"/>
              </w:rPr>
              <w:t>4</w:t>
            </w:r>
            <w:r w:rsidRPr="005F62F4">
              <w:rPr>
                <w:bCs/>
                <w:lang w:val="en-AU"/>
              </w:rPr>
              <w:t>%</w:t>
            </w:r>
          </w:p>
        </w:tc>
        <w:tc>
          <w:tcPr>
            <w:tcW w:w="1134" w:type="dxa"/>
          </w:tcPr>
          <w:p w14:paraId="079AE960" w14:textId="3C0825FE" w:rsidR="002E40E7" w:rsidRPr="005F62F4" w:rsidRDefault="002E40E7" w:rsidP="002A656F">
            <w:pPr>
              <w:pStyle w:val="TableTextRight"/>
              <w:keepNext/>
              <w:cnfStyle w:val="000000010000" w:firstRow="0" w:lastRow="0" w:firstColumn="0" w:lastColumn="0" w:oddVBand="0" w:evenVBand="0" w:oddHBand="0" w:evenHBand="1" w:firstRowFirstColumn="0" w:firstRowLastColumn="0" w:lastRowFirstColumn="0" w:lastRowLastColumn="0"/>
              <w:rPr>
                <w:b/>
                <w:lang w:val="en-AU"/>
              </w:rPr>
            </w:pPr>
            <w:r w:rsidRPr="005F62F4">
              <w:rPr>
                <w:lang w:val="en-AU"/>
              </w:rPr>
              <w:t>2%</w:t>
            </w:r>
          </w:p>
        </w:tc>
      </w:tr>
    </w:tbl>
    <w:p w14:paraId="00857265" w14:textId="77777777" w:rsidR="005E0B5C" w:rsidRPr="005F62F4" w:rsidRDefault="005E0B5C" w:rsidP="005E0B5C">
      <w:r w:rsidRPr="005F62F4">
        <w:br w:type="page"/>
      </w:r>
    </w:p>
    <w:p w14:paraId="02A53DE3" w14:textId="5027C6B2" w:rsidR="0058586B" w:rsidRPr="005F62F4" w:rsidRDefault="00DA7533" w:rsidP="00BD043D">
      <w:pPr>
        <w:pStyle w:val="Para"/>
        <w:rPr>
          <w:lang w:eastAsia="en-AU"/>
        </w:rPr>
      </w:pPr>
      <w:r w:rsidRPr="005F62F4">
        <w:rPr>
          <w:lang w:eastAsia="en-AU"/>
        </w:rPr>
        <w:lastRenderedPageBreak/>
        <w:t>Next, w</w:t>
      </w:r>
      <w:r w:rsidR="00791450" w:rsidRPr="005F62F4">
        <w:rPr>
          <w:lang w:eastAsia="en-AU"/>
        </w:rPr>
        <w:t xml:space="preserve">e explored the relationship between </w:t>
      </w:r>
      <w:r w:rsidRPr="005F62F4">
        <w:rPr>
          <w:lang w:eastAsia="en-AU"/>
        </w:rPr>
        <w:t xml:space="preserve">MBS </w:t>
      </w:r>
      <w:r w:rsidR="006C58D5" w:rsidRPr="005F62F4">
        <w:rPr>
          <w:lang w:eastAsia="en-AU"/>
        </w:rPr>
        <w:t xml:space="preserve">items </w:t>
      </w:r>
      <w:r w:rsidRPr="005F62F4">
        <w:rPr>
          <w:lang w:eastAsia="en-AU"/>
        </w:rPr>
        <w:t xml:space="preserve">and surgical guides and </w:t>
      </w:r>
      <w:proofErr w:type="spellStart"/>
      <w:r w:rsidRPr="005F62F4">
        <w:rPr>
          <w:lang w:eastAsia="en-AU"/>
        </w:rPr>
        <w:t>biomodels</w:t>
      </w:r>
      <w:proofErr w:type="spellEnd"/>
      <w:r w:rsidRPr="005F62F4">
        <w:rPr>
          <w:lang w:eastAsia="en-AU"/>
        </w:rPr>
        <w:t xml:space="preserve"> in more detail, </w:t>
      </w:r>
      <w:r w:rsidR="00B83BBF" w:rsidRPr="005F62F4">
        <w:rPr>
          <w:lang w:eastAsia="en-AU"/>
        </w:rPr>
        <w:t xml:space="preserve">using the number of admissions in the </w:t>
      </w:r>
      <w:r w:rsidR="00B83BBF" w:rsidRPr="005F62F4">
        <w:rPr>
          <w:rStyle w:val="BookTitle"/>
        </w:rPr>
        <w:t>Medicare Item Report for 2019–20</w:t>
      </w:r>
      <w:r w:rsidR="00B83BBF" w:rsidRPr="005F62F4">
        <w:rPr>
          <w:lang w:eastAsia="en-AU"/>
        </w:rPr>
        <w:t xml:space="preserve"> </w:t>
      </w:r>
      <w:r w:rsidR="00F7188B" w:rsidRPr="005F62F4">
        <w:fldChar w:fldCharType="begin" w:fldLock="1"/>
      </w:r>
      <w:r w:rsidR="009E6C0A" w:rsidRPr="005F62F4">
        <w:rPr>
          <w:lang w:eastAsia="en-AU"/>
        </w:rPr>
        <w:instrText>ADDIN CSL_CITATION {"citationItems":[{"id":"ITEM-1","itemData":{"URL":"http://medicarestatistics.humanservices.gov.au/statistics/mbs_item.jsp","accessed":{"date-parts":[["2022","11","18"]]},"author":[{"dropping-particle":"","family":"Services Australia","given":"","non-dropping-particle":"","parse-names":false,"suffix":""}],"id":"ITEM-1","issued":{"date-parts":[["2022"]]},"title":"Medicare item reports","type":"webpage"},"uris":["http://www.mendeley.com/documents/?uuid=55ded28e-9006-4d97-b759-0ec6b0c49568"]}],"mendeley":{"formattedCitation":"(Services Australia 2022)","plainTextFormattedCitation":"(Services Australia 2022)","previouslyFormattedCitation":"(Services Australia 2022)"},"properties":{"noteIndex":0},"schema":"https://github.com/citation-style-language/schema/raw/master/csl-citation.json"}</w:instrText>
      </w:r>
      <w:r w:rsidR="00F7188B" w:rsidRPr="005F62F4">
        <w:fldChar w:fldCharType="separate"/>
      </w:r>
      <w:r w:rsidR="00F7188B" w:rsidRPr="005F62F4">
        <w:rPr>
          <w:noProof/>
          <w:lang w:eastAsia="en-AU"/>
        </w:rPr>
        <w:t>(Services Australia 2022)</w:t>
      </w:r>
      <w:r w:rsidR="00F7188B" w:rsidRPr="005F62F4">
        <w:fldChar w:fldCharType="end"/>
      </w:r>
      <w:r w:rsidR="00F7188B" w:rsidRPr="005F62F4">
        <w:rPr>
          <w:lang w:eastAsia="en-AU"/>
        </w:rPr>
        <w:t xml:space="preserve"> </w:t>
      </w:r>
      <w:r w:rsidR="00B83BBF" w:rsidRPr="005F62F4">
        <w:rPr>
          <w:lang w:eastAsia="en-AU"/>
        </w:rPr>
        <w:t xml:space="preserve">and HCP1 data on the aggregate number of </w:t>
      </w:r>
      <w:r w:rsidR="00631393" w:rsidRPr="005F62F4">
        <w:rPr>
          <w:lang w:eastAsia="en-AU"/>
        </w:rPr>
        <w:t xml:space="preserve">surgical guides and </w:t>
      </w:r>
      <w:proofErr w:type="spellStart"/>
      <w:r w:rsidR="00631393" w:rsidRPr="005F62F4">
        <w:rPr>
          <w:lang w:eastAsia="en-AU"/>
        </w:rPr>
        <w:t>biomodels</w:t>
      </w:r>
      <w:proofErr w:type="spellEnd"/>
      <w:r w:rsidR="00631393" w:rsidRPr="005F62F4" w:rsidDel="00631393">
        <w:rPr>
          <w:lang w:eastAsia="en-AU"/>
        </w:rPr>
        <w:t xml:space="preserve"> </w:t>
      </w:r>
      <w:r w:rsidR="00B83BBF" w:rsidRPr="005F62F4">
        <w:rPr>
          <w:lang w:eastAsia="en-AU"/>
        </w:rPr>
        <w:t>for the same reporting period</w:t>
      </w:r>
      <w:r w:rsidR="00297A94" w:rsidRPr="005F62F4">
        <w:rPr>
          <w:lang w:eastAsia="en-AU"/>
        </w:rPr>
        <w:t>.</w:t>
      </w:r>
      <w:r w:rsidR="00950034" w:rsidRPr="005F62F4">
        <w:rPr>
          <w:lang w:eastAsia="en-AU"/>
        </w:rPr>
        <w:t xml:space="preserve"> </w:t>
      </w:r>
      <w:r w:rsidR="0058586B" w:rsidRPr="005F62F4">
        <w:rPr>
          <w:lang w:eastAsia="en-AU"/>
        </w:rPr>
        <w:t xml:space="preserve">While the data provided by the department only included the top MBS items, this nevertheless provides an indication of </w:t>
      </w:r>
      <w:r w:rsidR="0058586B" w:rsidRPr="005F62F4" w:rsidDel="00372781">
        <w:rPr>
          <w:lang w:eastAsia="en-AU"/>
        </w:rPr>
        <w:t xml:space="preserve">how </w:t>
      </w:r>
      <w:r w:rsidR="0058586B" w:rsidRPr="005F62F4">
        <w:rPr>
          <w:lang w:eastAsia="en-AU"/>
        </w:rPr>
        <w:t xml:space="preserve">surgical guide and </w:t>
      </w:r>
      <w:proofErr w:type="spellStart"/>
      <w:r w:rsidR="0058586B" w:rsidRPr="005F62F4">
        <w:rPr>
          <w:lang w:eastAsia="en-AU"/>
        </w:rPr>
        <w:t>biomodel</w:t>
      </w:r>
      <w:proofErr w:type="spellEnd"/>
      <w:r w:rsidR="0058586B" w:rsidRPr="005F62F4">
        <w:rPr>
          <w:lang w:eastAsia="en-AU"/>
        </w:rPr>
        <w:t xml:space="preserve"> use </w:t>
      </w:r>
      <w:r w:rsidR="0058586B" w:rsidRPr="005F62F4" w:rsidDel="00372781">
        <w:rPr>
          <w:lang w:eastAsia="en-AU"/>
        </w:rPr>
        <w:t>compares to MBS billing patterns</w:t>
      </w:r>
      <w:r w:rsidR="0058586B" w:rsidRPr="005F62F4">
        <w:rPr>
          <w:lang w:eastAsia="en-AU"/>
        </w:rPr>
        <w:t>.</w:t>
      </w:r>
    </w:p>
    <w:p w14:paraId="238DE185" w14:textId="4597A631" w:rsidR="002C1E1B" w:rsidRPr="005F62F4" w:rsidRDefault="00CA0FC1" w:rsidP="00BD25C3">
      <w:pPr>
        <w:pStyle w:val="Para"/>
        <w:rPr>
          <w:lang w:eastAsia="en-AU"/>
        </w:rPr>
      </w:pPr>
      <w:r w:rsidRPr="005F62F4">
        <w:rPr>
          <w:lang w:eastAsia="en-AU"/>
        </w:rPr>
        <w:fldChar w:fldCharType="begin"/>
      </w:r>
      <w:r w:rsidRPr="005F62F4">
        <w:rPr>
          <w:lang w:eastAsia="en-AU"/>
        </w:rPr>
        <w:instrText xml:space="preserve"> REF _Ref119861753 \h  \* MERGEFORMAT </w:instrText>
      </w:r>
      <w:r w:rsidRPr="005F62F4">
        <w:rPr>
          <w:lang w:eastAsia="en-AU"/>
        </w:rPr>
      </w:r>
      <w:r w:rsidRPr="005F62F4">
        <w:rPr>
          <w:lang w:eastAsia="en-AU"/>
        </w:rPr>
        <w:fldChar w:fldCharType="separate"/>
      </w:r>
      <w:r w:rsidR="005606BF" w:rsidRPr="005F62F4">
        <w:t>Table </w:t>
      </w:r>
      <w:r w:rsidR="005606BF">
        <w:t>11</w:t>
      </w:r>
      <w:r w:rsidRPr="005F62F4">
        <w:rPr>
          <w:lang w:eastAsia="en-AU"/>
        </w:rPr>
        <w:fldChar w:fldCharType="end"/>
      </w:r>
      <w:r w:rsidRPr="005F62F4">
        <w:rPr>
          <w:lang w:eastAsia="en-AU"/>
        </w:rPr>
        <w:t xml:space="preserve"> </w:t>
      </w:r>
      <w:r w:rsidR="001359FE" w:rsidRPr="005F62F4">
        <w:rPr>
          <w:lang w:eastAsia="en-AU"/>
        </w:rPr>
        <w:t>shows</w:t>
      </w:r>
      <w:r w:rsidR="00F86820" w:rsidRPr="005F62F4">
        <w:rPr>
          <w:lang w:eastAsia="en-AU"/>
        </w:rPr>
        <w:t xml:space="preserve"> </w:t>
      </w:r>
      <w:r w:rsidR="00537297" w:rsidRPr="005F62F4">
        <w:rPr>
          <w:lang w:eastAsia="en-AU"/>
        </w:rPr>
        <w:t xml:space="preserve">the most common </w:t>
      </w:r>
      <w:r w:rsidR="000948FC" w:rsidRPr="005F62F4">
        <w:rPr>
          <w:lang w:eastAsia="en-AU"/>
        </w:rPr>
        <w:t xml:space="preserve">MBS </w:t>
      </w:r>
      <w:r w:rsidR="002F24C9" w:rsidRPr="005F62F4">
        <w:rPr>
          <w:lang w:eastAsia="en-AU"/>
        </w:rPr>
        <w:t xml:space="preserve">items linked with the use of surgical guides and </w:t>
      </w:r>
      <w:proofErr w:type="spellStart"/>
      <w:r w:rsidR="002F24C9" w:rsidRPr="005F62F4">
        <w:rPr>
          <w:lang w:eastAsia="en-AU"/>
        </w:rPr>
        <w:t>biomodels</w:t>
      </w:r>
      <w:proofErr w:type="spellEnd"/>
      <w:r w:rsidR="00D62EFD" w:rsidRPr="005F62F4">
        <w:rPr>
          <w:lang w:eastAsia="en-AU"/>
        </w:rPr>
        <w:t xml:space="preserve">. </w:t>
      </w:r>
      <w:r w:rsidR="00730D90" w:rsidRPr="005F62F4">
        <w:rPr>
          <w:lang w:eastAsia="en-AU"/>
        </w:rPr>
        <w:t>The data shows</w:t>
      </w:r>
      <w:r w:rsidR="00537297" w:rsidRPr="005F62F4">
        <w:rPr>
          <w:lang w:eastAsia="en-AU"/>
        </w:rPr>
        <w:t xml:space="preserve"> </w:t>
      </w:r>
      <w:r w:rsidR="00F86820" w:rsidRPr="005F62F4">
        <w:rPr>
          <w:lang w:eastAsia="en-AU"/>
        </w:rPr>
        <w:t>that</w:t>
      </w:r>
      <w:r w:rsidR="00950034" w:rsidRPr="005F62F4">
        <w:rPr>
          <w:lang w:eastAsia="en-AU"/>
        </w:rPr>
        <w:t xml:space="preserve"> </w:t>
      </w:r>
      <w:r w:rsidR="00AC3FCA" w:rsidRPr="005F62F4">
        <w:rPr>
          <w:lang w:eastAsia="en-AU"/>
        </w:rPr>
        <w:t>alveola</w:t>
      </w:r>
      <w:r w:rsidR="007A2699" w:rsidRPr="005F62F4">
        <w:rPr>
          <w:lang w:eastAsia="en-AU"/>
        </w:rPr>
        <w:t>r</w:t>
      </w:r>
      <w:r w:rsidR="00AC3FCA" w:rsidRPr="005F62F4">
        <w:rPr>
          <w:lang w:eastAsia="en-AU"/>
        </w:rPr>
        <w:t xml:space="preserve"> ridge augmentation</w:t>
      </w:r>
      <w:r w:rsidR="00477976" w:rsidRPr="005F62F4">
        <w:rPr>
          <w:lang w:eastAsia="en-AU"/>
        </w:rPr>
        <w:t xml:space="preserve"> was by far the most common MBS item number</w:t>
      </w:r>
      <w:r w:rsidR="00BB0D94" w:rsidRPr="005F62F4">
        <w:rPr>
          <w:lang w:eastAsia="en-AU"/>
        </w:rPr>
        <w:t xml:space="preserve"> where surgical guides and </w:t>
      </w:r>
      <w:proofErr w:type="spellStart"/>
      <w:r w:rsidR="00BB0D94" w:rsidRPr="005F62F4">
        <w:rPr>
          <w:lang w:eastAsia="en-AU"/>
        </w:rPr>
        <w:t>biomodels</w:t>
      </w:r>
      <w:proofErr w:type="spellEnd"/>
      <w:r w:rsidR="00BB0D94" w:rsidRPr="005F62F4">
        <w:rPr>
          <w:lang w:eastAsia="en-AU"/>
        </w:rPr>
        <w:t xml:space="preserve"> were used</w:t>
      </w:r>
      <w:r w:rsidR="00477976" w:rsidRPr="005F62F4">
        <w:rPr>
          <w:lang w:eastAsia="en-AU"/>
        </w:rPr>
        <w:t xml:space="preserve">, accounting for </w:t>
      </w:r>
      <w:r w:rsidR="00B14C1B" w:rsidRPr="005F62F4">
        <w:rPr>
          <w:lang w:eastAsia="en-AU"/>
        </w:rPr>
        <w:t>7,712</w:t>
      </w:r>
      <w:r w:rsidR="000F1842" w:rsidRPr="005F62F4">
        <w:rPr>
          <w:lang w:eastAsia="en-AU"/>
        </w:rPr>
        <w:t xml:space="preserve"> </w:t>
      </w:r>
      <w:r w:rsidR="00FC613B" w:rsidRPr="005F62F4">
        <w:rPr>
          <w:lang w:eastAsia="en-AU"/>
        </w:rPr>
        <w:t xml:space="preserve">(72%) </w:t>
      </w:r>
      <w:r w:rsidR="00477976" w:rsidRPr="005F62F4">
        <w:rPr>
          <w:lang w:eastAsia="en-AU"/>
        </w:rPr>
        <w:t xml:space="preserve">of the </w:t>
      </w:r>
      <w:r w:rsidR="008B1F86" w:rsidRPr="005F62F4">
        <w:rPr>
          <w:lang w:eastAsia="en-AU"/>
        </w:rPr>
        <w:t>10,682</w:t>
      </w:r>
      <w:r w:rsidR="008C24DF" w:rsidRPr="005F62F4">
        <w:rPr>
          <w:lang w:eastAsia="en-AU"/>
        </w:rPr>
        <w:t> admissions</w:t>
      </w:r>
      <w:r w:rsidR="00A62F4F" w:rsidRPr="005F62F4">
        <w:rPr>
          <w:lang w:eastAsia="en-AU"/>
        </w:rPr>
        <w:t xml:space="preserve"> included in the analysis</w:t>
      </w:r>
      <w:r w:rsidR="00FC613B" w:rsidRPr="005F62F4">
        <w:rPr>
          <w:lang w:eastAsia="en-AU"/>
        </w:rPr>
        <w:t xml:space="preserve">. </w:t>
      </w:r>
      <w:r w:rsidR="001155D9" w:rsidRPr="005F62F4">
        <w:rPr>
          <w:lang w:eastAsia="en-AU"/>
        </w:rPr>
        <w:t>Interestingly</w:t>
      </w:r>
      <w:r w:rsidR="00CC184C" w:rsidRPr="005F62F4">
        <w:rPr>
          <w:lang w:eastAsia="en-AU"/>
        </w:rPr>
        <w:t xml:space="preserve">, it accounted for </w:t>
      </w:r>
      <w:r w:rsidR="00846470" w:rsidRPr="005F62F4">
        <w:rPr>
          <w:lang w:eastAsia="en-AU"/>
        </w:rPr>
        <w:t xml:space="preserve">15% </w:t>
      </w:r>
      <w:r w:rsidR="00516937" w:rsidRPr="005F62F4">
        <w:rPr>
          <w:lang w:eastAsia="en-AU"/>
        </w:rPr>
        <w:t xml:space="preserve">of </w:t>
      </w:r>
      <w:r w:rsidR="00CD54FD" w:rsidRPr="005F62F4">
        <w:rPr>
          <w:lang w:eastAsia="en-AU"/>
        </w:rPr>
        <w:t xml:space="preserve">the </w:t>
      </w:r>
      <w:r w:rsidR="00415C18" w:rsidRPr="005F62F4">
        <w:rPr>
          <w:lang w:eastAsia="en-AU"/>
        </w:rPr>
        <w:t xml:space="preserve">total </w:t>
      </w:r>
      <w:r w:rsidR="00CD54FD" w:rsidRPr="005F62F4">
        <w:rPr>
          <w:lang w:eastAsia="en-AU"/>
        </w:rPr>
        <w:t xml:space="preserve">number of </w:t>
      </w:r>
      <w:r w:rsidR="00286835" w:rsidRPr="005F62F4">
        <w:t xml:space="preserve">surgical guides and </w:t>
      </w:r>
      <w:proofErr w:type="spellStart"/>
      <w:r w:rsidR="00286835" w:rsidRPr="005F62F4">
        <w:t>biomodels</w:t>
      </w:r>
      <w:proofErr w:type="spellEnd"/>
      <w:r w:rsidR="00286835" w:rsidRPr="005F62F4">
        <w:t xml:space="preserve"> </w:t>
      </w:r>
      <w:r w:rsidR="00BD25C3" w:rsidRPr="005F62F4">
        <w:rPr>
          <w:lang w:eastAsia="en-AU"/>
        </w:rPr>
        <w:t>utilised</w:t>
      </w:r>
      <w:r w:rsidR="00B334F1" w:rsidRPr="005F62F4">
        <w:rPr>
          <w:lang w:eastAsia="en-AU"/>
        </w:rPr>
        <w:t xml:space="preserve"> despite </w:t>
      </w:r>
      <w:r w:rsidR="00452A49" w:rsidRPr="005F62F4">
        <w:rPr>
          <w:lang w:eastAsia="en-AU"/>
        </w:rPr>
        <w:t>having the lowest</w:t>
      </w:r>
      <w:r w:rsidR="00B334F1" w:rsidRPr="005F62F4">
        <w:rPr>
          <w:lang w:eastAsia="en-AU"/>
        </w:rPr>
        <w:t xml:space="preserve"> utilisation </w:t>
      </w:r>
      <w:r w:rsidR="00BC00FA" w:rsidRPr="005F62F4">
        <w:rPr>
          <w:lang w:eastAsia="en-AU"/>
        </w:rPr>
        <w:t xml:space="preserve">rate </w:t>
      </w:r>
      <w:r w:rsidR="00452A49" w:rsidRPr="005F62F4">
        <w:rPr>
          <w:lang w:eastAsia="en-AU"/>
        </w:rPr>
        <w:t>(</w:t>
      </w:r>
      <w:r w:rsidR="00B334F1" w:rsidRPr="005F62F4">
        <w:rPr>
          <w:lang w:eastAsia="en-AU"/>
        </w:rPr>
        <w:t>0.07</w:t>
      </w:r>
      <w:r w:rsidR="00452A49" w:rsidRPr="005F62F4">
        <w:rPr>
          <w:lang w:eastAsia="en-AU"/>
        </w:rPr>
        <w:t>)</w:t>
      </w:r>
      <w:r w:rsidR="003101B0" w:rsidRPr="005F62F4">
        <w:rPr>
          <w:lang w:eastAsia="en-AU"/>
        </w:rPr>
        <w:t xml:space="preserve">. This </w:t>
      </w:r>
      <w:r w:rsidR="009C3639" w:rsidRPr="005F62F4">
        <w:rPr>
          <w:lang w:eastAsia="en-AU"/>
        </w:rPr>
        <w:t xml:space="preserve">low utilisation rate </w:t>
      </w:r>
      <w:r w:rsidR="00A75B08" w:rsidRPr="005F62F4">
        <w:rPr>
          <w:lang w:eastAsia="en-AU"/>
        </w:rPr>
        <w:t xml:space="preserve">aligns with </w:t>
      </w:r>
      <w:r w:rsidR="003422DC" w:rsidRPr="005F62F4">
        <w:rPr>
          <w:lang w:eastAsia="en-AU"/>
        </w:rPr>
        <w:t>surgeons</w:t>
      </w:r>
      <w:r w:rsidR="003D57D9" w:rsidRPr="005F62F4">
        <w:rPr>
          <w:lang w:eastAsia="en-AU"/>
        </w:rPr>
        <w:t>’ view</w:t>
      </w:r>
      <w:r w:rsidR="00D14955" w:rsidRPr="005F62F4">
        <w:rPr>
          <w:lang w:eastAsia="en-AU"/>
        </w:rPr>
        <w:t xml:space="preserve"> that this is </w:t>
      </w:r>
      <w:r w:rsidR="003422DC" w:rsidRPr="005F62F4">
        <w:rPr>
          <w:lang w:eastAsia="en-AU"/>
        </w:rPr>
        <w:t>a less complex procedure</w:t>
      </w:r>
      <w:r w:rsidR="00993146" w:rsidRPr="005F62F4">
        <w:rPr>
          <w:lang w:eastAsia="en-AU"/>
        </w:rPr>
        <w:t xml:space="preserve"> that rarely requires the use of surgical guides and </w:t>
      </w:r>
      <w:proofErr w:type="spellStart"/>
      <w:r w:rsidR="00993146" w:rsidRPr="005F62F4">
        <w:rPr>
          <w:lang w:eastAsia="en-AU"/>
        </w:rPr>
        <w:t>biomodels</w:t>
      </w:r>
      <w:proofErr w:type="spellEnd"/>
      <w:r w:rsidR="003422DC" w:rsidRPr="005F62F4">
        <w:rPr>
          <w:lang w:eastAsia="en-AU"/>
        </w:rPr>
        <w:t xml:space="preserve"> (see Section</w:t>
      </w:r>
      <w:r w:rsidR="00627D5D" w:rsidRPr="005F62F4">
        <w:rPr>
          <w:lang w:eastAsia="en-AU"/>
        </w:rPr>
        <w:t> </w:t>
      </w:r>
      <w:r w:rsidR="003422DC" w:rsidRPr="005F62F4">
        <w:rPr>
          <w:lang w:eastAsia="en-AU"/>
        </w:rPr>
        <w:fldChar w:fldCharType="begin"/>
      </w:r>
      <w:r w:rsidR="003422DC" w:rsidRPr="005F62F4">
        <w:rPr>
          <w:lang w:eastAsia="en-AU"/>
        </w:rPr>
        <w:instrText xml:space="preserve"> REF _Ref128655932 \r \h </w:instrText>
      </w:r>
      <w:r w:rsidR="005F62F4">
        <w:rPr>
          <w:lang w:eastAsia="en-AU"/>
        </w:rPr>
        <w:instrText xml:space="preserve"> \* MERGEFORMAT </w:instrText>
      </w:r>
      <w:r w:rsidR="003422DC" w:rsidRPr="005F62F4">
        <w:rPr>
          <w:lang w:eastAsia="en-AU"/>
        </w:rPr>
      </w:r>
      <w:r w:rsidR="003422DC" w:rsidRPr="005F62F4">
        <w:rPr>
          <w:lang w:eastAsia="en-AU"/>
        </w:rPr>
        <w:fldChar w:fldCharType="separate"/>
      </w:r>
      <w:r w:rsidR="005606BF">
        <w:rPr>
          <w:lang w:eastAsia="en-AU"/>
        </w:rPr>
        <w:t>1.2</w:t>
      </w:r>
      <w:r w:rsidR="003422DC" w:rsidRPr="005F62F4">
        <w:rPr>
          <w:lang w:eastAsia="en-AU"/>
        </w:rPr>
        <w:fldChar w:fldCharType="end"/>
      </w:r>
      <w:r w:rsidR="003422DC" w:rsidRPr="005F62F4">
        <w:rPr>
          <w:lang w:eastAsia="en-AU"/>
        </w:rPr>
        <w:t>)</w:t>
      </w:r>
      <w:r w:rsidR="0004289B" w:rsidRPr="005F62F4">
        <w:rPr>
          <w:lang w:eastAsia="en-AU"/>
        </w:rPr>
        <w:t>.</w:t>
      </w:r>
    </w:p>
    <w:p w14:paraId="2251722E" w14:textId="678196AB" w:rsidR="00DE5C3E" w:rsidRPr="005F62F4" w:rsidRDefault="00ED3B43" w:rsidP="005D27EE">
      <w:pPr>
        <w:pStyle w:val="Para"/>
        <w:rPr>
          <w:lang w:eastAsia="en-AU"/>
        </w:rPr>
      </w:pPr>
      <w:r w:rsidRPr="005F62F4">
        <w:rPr>
          <w:lang w:eastAsia="en-AU"/>
        </w:rPr>
        <w:t xml:space="preserve">Unsurprisingly, the </w:t>
      </w:r>
      <w:r w:rsidR="00DE5C3E" w:rsidRPr="005F62F4">
        <w:rPr>
          <w:lang w:eastAsia="en-AU"/>
        </w:rPr>
        <w:t xml:space="preserve">MBS item numbers </w:t>
      </w:r>
      <w:r w:rsidR="00EF6EC7" w:rsidRPr="005F62F4">
        <w:rPr>
          <w:lang w:eastAsia="en-AU"/>
        </w:rPr>
        <w:t xml:space="preserve">with the highest utilisation rates were </w:t>
      </w:r>
      <w:r w:rsidR="00555772" w:rsidRPr="005F62F4">
        <w:rPr>
          <w:lang w:eastAsia="en-AU"/>
        </w:rPr>
        <w:t xml:space="preserve">associated with </w:t>
      </w:r>
      <w:r w:rsidR="0034399A" w:rsidRPr="005F62F4">
        <w:rPr>
          <w:lang w:eastAsia="en-AU"/>
        </w:rPr>
        <w:t xml:space="preserve">more </w:t>
      </w:r>
      <w:r w:rsidR="00555772" w:rsidRPr="005F62F4">
        <w:rPr>
          <w:lang w:eastAsia="en-AU"/>
        </w:rPr>
        <w:t xml:space="preserve">complex </w:t>
      </w:r>
      <w:r w:rsidR="001359FE" w:rsidRPr="005F62F4">
        <w:rPr>
          <w:lang w:eastAsia="en-AU"/>
        </w:rPr>
        <w:t>procedures</w:t>
      </w:r>
      <w:r w:rsidR="00D2219B" w:rsidRPr="005F62F4">
        <w:rPr>
          <w:lang w:eastAsia="en-AU"/>
        </w:rPr>
        <w:t xml:space="preserve">. For example, </w:t>
      </w:r>
      <w:r w:rsidR="00BC6B4D" w:rsidRPr="005F62F4">
        <w:rPr>
          <w:lang w:eastAsia="en-AU"/>
        </w:rPr>
        <w:t xml:space="preserve">complex bilateral osteotomies or ostectomies of mandible or maxilla </w:t>
      </w:r>
      <w:r w:rsidR="00D30F0B" w:rsidRPr="005F62F4">
        <w:rPr>
          <w:lang w:eastAsia="en-AU"/>
        </w:rPr>
        <w:t>accounted for 1%</w:t>
      </w:r>
      <w:r w:rsidR="00BC6B4D" w:rsidRPr="005F62F4">
        <w:rPr>
          <w:lang w:eastAsia="en-AU"/>
        </w:rPr>
        <w:t xml:space="preserve"> of </w:t>
      </w:r>
      <w:r w:rsidR="00D30F0B" w:rsidRPr="005F62F4">
        <w:rPr>
          <w:lang w:eastAsia="en-AU"/>
        </w:rPr>
        <w:t>admissions but 1</w:t>
      </w:r>
      <w:r w:rsidR="0037252D" w:rsidRPr="005F62F4">
        <w:rPr>
          <w:lang w:eastAsia="en-AU"/>
        </w:rPr>
        <w:t>1</w:t>
      </w:r>
      <w:r w:rsidR="00A46418" w:rsidRPr="005F62F4">
        <w:rPr>
          <w:lang w:eastAsia="en-AU"/>
        </w:rPr>
        <w:t>%</w:t>
      </w:r>
      <w:r w:rsidR="00D30F0B" w:rsidRPr="005F62F4">
        <w:rPr>
          <w:lang w:eastAsia="en-AU"/>
        </w:rPr>
        <w:t xml:space="preserve"> to 2</w:t>
      </w:r>
      <w:r w:rsidR="008A2C6A" w:rsidRPr="005F62F4">
        <w:rPr>
          <w:lang w:eastAsia="en-AU"/>
        </w:rPr>
        <w:t>7</w:t>
      </w:r>
      <w:r w:rsidR="00D30F0B" w:rsidRPr="005F62F4">
        <w:rPr>
          <w:lang w:eastAsia="en-AU"/>
        </w:rPr>
        <w:t xml:space="preserve">% of </w:t>
      </w:r>
      <w:r w:rsidR="00286835" w:rsidRPr="005F62F4">
        <w:t xml:space="preserve">surgical guides and </w:t>
      </w:r>
      <w:proofErr w:type="spellStart"/>
      <w:r w:rsidR="00286835" w:rsidRPr="005F62F4">
        <w:t>biomodels</w:t>
      </w:r>
      <w:proofErr w:type="spellEnd"/>
      <w:r w:rsidR="00D30F0B" w:rsidRPr="005F62F4">
        <w:rPr>
          <w:lang w:eastAsia="en-AU"/>
        </w:rPr>
        <w:t xml:space="preserve">. </w:t>
      </w:r>
      <w:r w:rsidR="00E8128D" w:rsidRPr="005F62F4">
        <w:rPr>
          <w:lang w:eastAsia="en-AU"/>
        </w:rPr>
        <w:t xml:space="preserve">The utilisation rate for these procedures indicates that on average, between 2.5 and </w:t>
      </w:r>
      <w:r w:rsidR="002765A8" w:rsidRPr="005F62F4">
        <w:rPr>
          <w:lang w:eastAsia="en-AU"/>
        </w:rPr>
        <w:t>6.4</w:t>
      </w:r>
      <w:r w:rsidR="00054C50" w:rsidRPr="005F62F4">
        <w:rPr>
          <w:lang w:eastAsia="en-AU"/>
        </w:rPr>
        <w:t> </w:t>
      </w:r>
      <w:r w:rsidR="002F0D9A" w:rsidRPr="005F62F4">
        <w:rPr>
          <w:lang w:eastAsia="en-AU"/>
        </w:rPr>
        <w:t>products were used per</w:t>
      </w:r>
      <w:r w:rsidR="00E8128D" w:rsidRPr="005F62F4">
        <w:rPr>
          <w:lang w:eastAsia="en-AU"/>
        </w:rPr>
        <w:t xml:space="preserve"> hospital admission</w:t>
      </w:r>
      <w:r w:rsidR="002F0D9A" w:rsidRPr="005F62F4">
        <w:rPr>
          <w:lang w:eastAsia="en-AU"/>
        </w:rPr>
        <w:t xml:space="preserve">. These findings </w:t>
      </w:r>
      <w:r w:rsidR="00635872" w:rsidRPr="005F62F4">
        <w:rPr>
          <w:lang w:eastAsia="en-AU"/>
        </w:rPr>
        <w:t>suggest</w:t>
      </w:r>
      <w:r w:rsidR="001D3F6E" w:rsidRPr="005F62F4">
        <w:rPr>
          <w:lang w:eastAsia="en-AU"/>
        </w:rPr>
        <w:t xml:space="preserve"> that current practice aligns with</w:t>
      </w:r>
      <w:r w:rsidR="00DE5C3E" w:rsidRPr="005F62F4">
        <w:rPr>
          <w:lang w:eastAsia="en-AU"/>
        </w:rPr>
        <w:t xml:space="preserve"> </w:t>
      </w:r>
      <w:r w:rsidR="00B71A5B" w:rsidRPr="005F62F4">
        <w:rPr>
          <w:lang w:eastAsia="en-AU"/>
        </w:rPr>
        <w:t xml:space="preserve">most </w:t>
      </w:r>
      <w:r w:rsidR="008F0550" w:rsidRPr="005F62F4">
        <w:rPr>
          <w:lang w:eastAsia="en-AU"/>
        </w:rPr>
        <w:t>surgeons’</w:t>
      </w:r>
      <w:r w:rsidR="00DE5C3E" w:rsidRPr="005F62F4">
        <w:rPr>
          <w:lang w:eastAsia="en-AU"/>
        </w:rPr>
        <w:t xml:space="preserve"> opinion that products should be reserved for complex </w:t>
      </w:r>
      <w:r w:rsidR="00855DF0" w:rsidRPr="005F62F4">
        <w:rPr>
          <w:lang w:eastAsia="en-AU"/>
        </w:rPr>
        <w:t>CMF</w:t>
      </w:r>
      <w:r w:rsidR="00DE5C3E" w:rsidRPr="005F62F4">
        <w:rPr>
          <w:lang w:eastAsia="en-AU"/>
        </w:rPr>
        <w:t xml:space="preserve"> cases</w:t>
      </w:r>
      <w:r w:rsidR="00124235" w:rsidRPr="005F62F4">
        <w:rPr>
          <w:lang w:eastAsia="en-AU"/>
        </w:rPr>
        <w:t xml:space="preserve"> </w:t>
      </w:r>
      <w:r w:rsidR="00B71A5B" w:rsidRPr="005F62F4">
        <w:rPr>
          <w:lang w:eastAsia="en-AU"/>
        </w:rPr>
        <w:t>(</w:t>
      </w:r>
      <w:r w:rsidR="00AD1047">
        <w:rPr>
          <w:lang w:eastAsia="en-AU"/>
        </w:rPr>
        <w:t>see Section </w:t>
      </w:r>
      <w:r w:rsidR="00AD1047">
        <w:rPr>
          <w:lang w:eastAsia="en-AU"/>
        </w:rPr>
        <w:fldChar w:fldCharType="begin"/>
      </w:r>
      <w:r w:rsidR="00AD1047">
        <w:rPr>
          <w:lang w:eastAsia="en-AU"/>
        </w:rPr>
        <w:instrText xml:space="preserve"> REF _Ref128655932 \n \h </w:instrText>
      </w:r>
      <w:r w:rsidR="00AD1047">
        <w:rPr>
          <w:lang w:eastAsia="en-AU"/>
        </w:rPr>
      </w:r>
      <w:r w:rsidR="00AD1047">
        <w:rPr>
          <w:lang w:eastAsia="en-AU"/>
        </w:rPr>
        <w:fldChar w:fldCharType="separate"/>
      </w:r>
      <w:r w:rsidR="00AD1047">
        <w:rPr>
          <w:lang w:eastAsia="en-AU"/>
        </w:rPr>
        <w:t>1.2</w:t>
      </w:r>
      <w:r w:rsidR="00AD1047">
        <w:rPr>
          <w:lang w:eastAsia="en-AU"/>
        </w:rPr>
        <w:fldChar w:fldCharType="end"/>
      </w:r>
      <w:r w:rsidR="007B18A7" w:rsidRPr="005F62F4">
        <w:rPr>
          <w:lang w:eastAsia="en-AU"/>
        </w:rPr>
        <w:t>)</w:t>
      </w:r>
      <w:r w:rsidR="001D0D8E" w:rsidRPr="005F62F4">
        <w:rPr>
          <w:lang w:eastAsia="en-AU"/>
        </w:rPr>
        <w:t>.</w:t>
      </w:r>
    </w:p>
    <w:p w14:paraId="4588E1C8" w14:textId="1A77A2C8" w:rsidR="00512476" w:rsidRPr="005F62F4" w:rsidRDefault="00E56C05" w:rsidP="00FE3332">
      <w:pPr>
        <w:pStyle w:val="Caption"/>
      </w:pPr>
      <w:bookmarkStart w:id="184" w:name="_Ref119861753"/>
      <w:bookmarkStart w:id="185" w:name="_Toc129954648"/>
      <w:r w:rsidRPr="005F62F4">
        <w:lastRenderedPageBreak/>
        <w:t>Table </w:t>
      </w:r>
      <w:r w:rsidRPr="005F62F4">
        <w:rPr>
          <w:bCs w:val="0"/>
        </w:rPr>
        <w:fldChar w:fldCharType="begin"/>
      </w:r>
      <w:r w:rsidRPr="005F62F4">
        <w:instrText>SEQ Table \* ARABIC</w:instrText>
      </w:r>
      <w:r w:rsidRPr="005F62F4">
        <w:rPr>
          <w:bCs w:val="0"/>
        </w:rPr>
        <w:fldChar w:fldCharType="separate"/>
      </w:r>
      <w:r w:rsidR="005606BF">
        <w:rPr>
          <w:noProof/>
        </w:rPr>
        <w:t>11</w:t>
      </w:r>
      <w:r w:rsidRPr="005F62F4">
        <w:rPr>
          <w:bCs w:val="0"/>
        </w:rPr>
        <w:fldChar w:fldCharType="end"/>
      </w:r>
      <w:bookmarkEnd w:id="184"/>
      <w:r w:rsidR="006F798C" w:rsidRPr="005F62F4">
        <w:t xml:space="preserve">: Utilisation of surgical guides and </w:t>
      </w:r>
      <w:proofErr w:type="spellStart"/>
      <w:r w:rsidR="006F798C" w:rsidRPr="005F62F4">
        <w:t>biomodels</w:t>
      </w:r>
      <w:proofErr w:type="spellEnd"/>
      <w:r w:rsidR="006F798C" w:rsidRPr="005F62F4">
        <w:t xml:space="preserve"> by MBS item</w:t>
      </w:r>
      <w:r w:rsidR="006F798C" w:rsidRPr="005F62F4" w:rsidDel="001559A7">
        <w:t xml:space="preserve">, </w:t>
      </w:r>
      <w:r w:rsidR="00C12276" w:rsidRPr="005F62F4">
        <w:t>2020-21</w:t>
      </w:r>
      <w:bookmarkEnd w:id="185"/>
    </w:p>
    <w:tbl>
      <w:tblPr>
        <w:tblStyle w:val="SGB"/>
        <w:tblW w:w="8980" w:type="dxa"/>
        <w:tblLayout w:type="fixed"/>
        <w:tblLook w:val="01E0" w:firstRow="1" w:lastRow="1" w:firstColumn="1" w:lastColumn="1" w:noHBand="0" w:noVBand="0"/>
      </w:tblPr>
      <w:tblGrid>
        <w:gridCol w:w="993"/>
        <w:gridCol w:w="2409"/>
        <w:gridCol w:w="1985"/>
        <w:gridCol w:w="1417"/>
        <w:gridCol w:w="1088"/>
        <w:gridCol w:w="1088"/>
      </w:tblGrid>
      <w:tr w:rsidR="002E334D" w:rsidRPr="005F62F4" w14:paraId="5D19FB12" w14:textId="77777777" w:rsidTr="000D1A41">
        <w:trPr>
          <w:cnfStyle w:val="100000000000" w:firstRow="1" w:lastRow="0" w:firstColumn="0" w:lastColumn="0" w:oddVBand="0" w:evenVBand="0" w:oddHBand="0" w:evenHBand="0" w:firstRowFirstColumn="0" w:firstRowLastColumn="0" w:lastRowFirstColumn="0" w:lastRowLastColumn="0"/>
          <w:trHeight w:val="411"/>
        </w:trPr>
        <w:tc>
          <w:tcPr>
            <w:cnfStyle w:val="001000000000" w:firstRow="0" w:lastRow="0" w:firstColumn="1" w:lastColumn="0" w:oddVBand="0" w:evenVBand="0" w:oddHBand="0" w:evenHBand="0" w:firstRowFirstColumn="0" w:firstRowLastColumn="0" w:lastRowFirstColumn="0" w:lastRowLastColumn="0"/>
            <w:tcW w:w="993" w:type="dxa"/>
          </w:tcPr>
          <w:p w14:paraId="6DC795CB" w14:textId="77777777" w:rsidR="002E334D" w:rsidRPr="005F62F4" w:rsidRDefault="002E334D" w:rsidP="000D1A41">
            <w:pPr>
              <w:pStyle w:val="Tabletextkeep"/>
              <w:rPr>
                <w:rFonts w:cs="Tahoma"/>
                <w:szCs w:val="18"/>
              </w:rPr>
            </w:pPr>
            <w:bookmarkStart w:id="186" w:name="Title_13" w:colFirst="0" w:colLast="0"/>
            <w:r w:rsidRPr="005F62F4">
              <w:rPr>
                <w:rFonts w:cs="Tahoma"/>
                <w:szCs w:val="18"/>
              </w:rPr>
              <w:t>MBS item number</w:t>
            </w:r>
          </w:p>
        </w:tc>
        <w:tc>
          <w:tcPr>
            <w:tcW w:w="2409" w:type="dxa"/>
          </w:tcPr>
          <w:p w14:paraId="1CCA780C" w14:textId="77777777" w:rsidR="002E334D" w:rsidRPr="005F62F4" w:rsidRDefault="002E334D" w:rsidP="000D1A41">
            <w:pPr>
              <w:pStyle w:val="Tabletextkeep"/>
              <w:cnfStyle w:val="100000000000" w:firstRow="1" w:lastRow="0" w:firstColumn="0" w:lastColumn="0" w:oddVBand="0" w:evenVBand="0" w:oddHBand="0" w:evenHBand="0" w:firstRowFirstColumn="0" w:firstRowLastColumn="0" w:lastRowFirstColumn="0" w:lastRowLastColumn="0"/>
              <w:rPr>
                <w:rFonts w:cs="Tahoma"/>
                <w:szCs w:val="18"/>
              </w:rPr>
            </w:pPr>
            <w:r w:rsidRPr="005F62F4">
              <w:rPr>
                <w:rFonts w:cs="Tahoma"/>
                <w:szCs w:val="18"/>
              </w:rPr>
              <w:t>MBS item description</w:t>
            </w:r>
          </w:p>
        </w:tc>
        <w:tc>
          <w:tcPr>
            <w:tcW w:w="1985" w:type="dxa"/>
          </w:tcPr>
          <w:p w14:paraId="1E6C1C09" w14:textId="77777777" w:rsidR="002E334D" w:rsidRPr="005F62F4" w:rsidRDefault="002E334D" w:rsidP="000D1A41">
            <w:pPr>
              <w:pStyle w:val="Tabletextkeep"/>
              <w:cnfStyle w:val="100000000000" w:firstRow="1" w:lastRow="0" w:firstColumn="0" w:lastColumn="0" w:oddVBand="0" w:evenVBand="0" w:oddHBand="0" w:evenHBand="0" w:firstRowFirstColumn="0" w:firstRowLastColumn="0" w:lastRowFirstColumn="0" w:lastRowLastColumn="0"/>
              <w:rPr>
                <w:rFonts w:cs="Tahoma"/>
                <w:szCs w:val="18"/>
              </w:rPr>
            </w:pPr>
            <w:r w:rsidRPr="005F62F4">
              <w:rPr>
                <w:rFonts w:cs="Tahoma"/>
                <w:szCs w:val="18"/>
              </w:rPr>
              <w:t>MBS item description detail</w:t>
            </w:r>
          </w:p>
        </w:tc>
        <w:tc>
          <w:tcPr>
            <w:tcW w:w="1417" w:type="dxa"/>
          </w:tcPr>
          <w:p w14:paraId="347C372C" w14:textId="77777777" w:rsidR="002E334D" w:rsidRPr="005F62F4" w:rsidRDefault="002E334D" w:rsidP="000D1A41">
            <w:pPr>
              <w:pStyle w:val="TableTextRight"/>
              <w:jc w:val="center"/>
              <w:cnfStyle w:val="100000000000" w:firstRow="1" w:lastRow="0" w:firstColumn="0" w:lastColumn="0" w:oddVBand="0" w:evenVBand="0" w:oddHBand="0" w:evenHBand="0" w:firstRowFirstColumn="0" w:firstRowLastColumn="0" w:lastRowFirstColumn="0" w:lastRowLastColumn="0"/>
              <w:rPr>
                <w:szCs w:val="18"/>
                <w:lang w:val="en-AU"/>
              </w:rPr>
            </w:pPr>
            <w:r w:rsidRPr="005F62F4">
              <w:rPr>
                <w:szCs w:val="18"/>
                <w:lang w:val="en-AU"/>
              </w:rPr>
              <w:t xml:space="preserve">Surgical guides and </w:t>
            </w:r>
            <w:proofErr w:type="spellStart"/>
            <w:r w:rsidRPr="005F62F4">
              <w:rPr>
                <w:szCs w:val="18"/>
                <w:lang w:val="en-AU"/>
              </w:rPr>
              <w:t>biomodels</w:t>
            </w:r>
            <w:proofErr w:type="spellEnd"/>
            <w:r w:rsidRPr="005F62F4">
              <w:rPr>
                <w:szCs w:val="18"/>
                <w:lang w:val="en-AU"/>
              </w:rPr>
              <w:t xml:space="preserve"> utilised</w:t>
            </w:r>
          </w:p>
        </w:tc>
        <w:tc>
          <w:tcPr>
            <w:tcW w:w="1088" w:type="dxa"/>
          </w:tcPr>
          <w:p w14:paraId="1C5D6BC7" w14:textId="77777777" w:rsidR="002E334D" w:rsidRPr="005F62F4" w:rsidRDefault="002E334D" w:rsidP="000D1A41">
            <w:pPr>
              <w:pStyle w:val="TableTextRight"/>
              <w:jc w:val="center"/>
              <w:cnfStyle w:val="100000000000" w:firstRow="1" w:lastRow="0" w:firstColumn="0" w:lastColumn="0" w:oddVBand="0" w:evenVBand="0" w:oddHBand="0" w:evenHBand="0" w:firstRowFirstColumn="0" w:firstRowLastColumn="0" w:lastRowFirstColumn="0" w:lastRowLastColumn="0"/>
              <w:rPr>
                <w:szCs w:val="18"/>
                <w:lang w:val="en-AU"/>
              </w:rPr>
            </w:pPr>
            <w:r w:rsidRPr="005F62F4">
              <w:rPr>
                <w:szCs w:val="18"/>
                <w:lang w:val="en-AU"/>
              </w:rPr>
              <w:t>MBS item reported admissions</w:t>
            </w:r>
          </w:p>
        </w:tc>
        <w:tc>
          <w:tcPr>
            <w:cnfStyle w:val="000100000000" w:firstRow="0" w:lastRow="0" w:firstColumn="0" w:lastColumn="1" w:oddVBand="0" w:evenVBand="0" w:oddHBand="0" w:evenHBand="0" w:firstRowFirstColumn="0" w:firstRowLastColumn="0" w:lastRowFirstColumn="0" w:lastRowLastColumn="0"/>
            <w:tcW w:w="1088" w:type="dxa"/>
          </w:tcPr>
          <w:p w14:paraId="46FC6E22" w14:textId="77777777" w:rsidR="002E334D" w:rsidRPr="005F62F4" w:rsidRDefault="002E334D" w:rsidP="000D1A41">
            <w:pPr>
              <w:pStyle w:val="TableTextRight"/>
              <w:jc w:val="center"/>
              <w:rPr>
                <w:szCs w:val="18"/>
                <w:lang w:val="en-AU"/>
              </w:rPr>
            </w:pPr>
            <w:r w:rsidRPr="005F62F4">
              <w:rPr>
                <w:szCs w:val="18"/>
                <w:lang w:val="en-AU"/>
              </w:rPr>
              <w:t>Utilisation rate</w:t>
            </w:r>
          </w:p>
        </w:tc>
      </w:tr>
      <w:bookmarkEnd w:id="186"/>
      <w:tr w:rsidR="00914AE6" w:rsidRPr="005F62F4" w14:paraId="37EC2B83" w14:textId="77777777" w:rsidTr="000D1A41">
        <w:trPr>
          <w:trHeight w:val="170"/>
        </w:trPr>
        <w:tc>
          <w:tcPr>
            <w:cnfStyle w:val="001000000000" w:firstRow="0" w:lastRow="0" w:firstColumn="1" w:lastColumn="0" w:oddVBand="0" w:evenVBand="0" w:oddHBand="0" w:evenHBand="0" w:firstRowFirstColumn="0" w:firstRowLastColumn="0" w:lastRowFirstColumn="0" w:lastRowLastColumn="0"/>
            <w:tcW w:w="993" w:type="dxa"/>
          </w:tcPr>
          <w:p w14:paraId="77FDA590" w14:textId="77777777" w:rsidR="00914AE6" w:rsidRPr="005F62F4" w:rsidRDefault="00914AE6" w:rsidP="000D1A41">
            <w:pPr>
              <w:pStyle w:val="Tabletextkeep"/>
              <w:rPr>
                <w:b w:val="0"/>
                <w:szCs w:val="18"/>
              </w:rPr>
            </w:pPr>
            <w:r w:rsidRPr="005F62F4">
              <w:rPr>
                <w:b w:val="0"/>
                <w:szCs w:val="18"/>
              </w:rPr>
              <w:t>45841</w:t>
            </w:r>
          </w:p>
        </w:tc>
        <w:tc>
          <w:tcPr>
            <w:tcW w:w="2409" w:type="dxa"/>
          </w:tcPr>
          <w:p w14:paraId="58C58EE1" w14:textId="77777777" w:rsidR="00914AE6" w:rsidRPr="005F62F4" w:rsidRDefault="00914AE6" w:rsidP="000D1A41">
            <w:pPr>
              <w:pStyle w:val="Tabletextkeep"/>
              <w:cnfStyle w:val="000000000000" w:firstRow="0" w:lastRow="0" w:firstColumn="0" w:lastColumn="0" w:oddVBand="0" w:evenVBand="0" w:oddHBand="0" w:evenHBand="0" w:firstRowFirstColumn="0" w:firstRowLastColumn="0" w:lastRowFirstColumn="0" w:lastRowLastColumn="0"/>
              <w:rPr>
                <w:szCs w:val="18"/>
              </w:rPr>
            </w:pPr>
            <w:r w:rsidRPr="005F62F4">
              <w:rPr>
                <w:szCs w:val="18"/>
              </w:rPr>
              <w:t>Alveolar ridge augmentation</w:t>
            </w:r>
          </w:p>
        </w:tc>
        <w:tc>
          <w:tcPr>
            <w:tcW w:w="1985" w:type="dxa"/>
          </w:tcPr>
          <w:p w14:paraId="2E073A76" w14:textId="77777777" w:rsidR="00914AE6" w:rsidRPr="005F62F4" w:rsidRDefault="00914AE6" w:rsidP="000D1A41">
            <w:pPr>
              <w:pStyle w:val="Tabletextkeep"/>
              <w:cnfStyle w:val="000000000000" w:firstRow="0" w:lastRow="0" w:firstColumn="0" w:lastColumn="0" w:oddVBand="0" w:evenVBand="0" w:oddHBand="0" w:evenHBand="0" w:firstRowFirstColumn="0" w:firstRowLastColumn="0" w:lastRowFirstColumn="0" w:lastRowLastColumn="0"/>
              <w:rPr>
                <w:szCs w:val="18"/>
              </w:rPr>
            </w:pPr>
            <w:r w:rsidRPr="005F62F4">
              <w:rPr>
                <w:szCs w:val="18"/>
              </w:rPr>
              <w:t>n/a</w:t>
            </w:r>
          </w:p>
        </w:tc>
        <w:tc>
          <w:tcPr>
            <w:tcW w:w="1417" w:type="dxa"/>
          </w:tcPr>
          <w:p w14:paraId="665A89D8" w14:textId="77777777" w:rsidR="00914AE6" w:rsidRPr="005F62F4" w:rsidRDefault="00914AE6" w:rsidP="000D1A41">
            <w:pPr>
              <w:pStyle w:val="TableTextRight"/>
              <w:ind w:right="340"/>
              <w:cnfStyle w:val="000000000000" w:firstRow="0" w:lastRow="0" w:firstColumn="0" w:lastColumn="0" w:oddVBand="0" w:evenVBand="0" w:oddHBand="0" w:evenHBand="0" w:firstRowFirstColumn="0" w:firstRowLastColumn="0" w:lastRowFirstColumn="0" w:lastRowLastColumn="0"/>
              <w:rPr>
                <w:rFonts w:cstheme="minorHAnsi"/>
                <w:szCs w:val="18"/>
                <w:lang w:val="en-AU"/>
              </w:rPr>
            </w:pPr>
            <w:r w:rsidRPr="005F62F4">
              <w:rPr>
                <w:rFonts w:cstheme="minorHAnsi"/>
                <w:szCs w:val="18"/>
                <w:lang w:val="en-AU"/>
              </w:rPr>
              <w:t>592</w:t>
            </w:r>
          </w:p>
        </w:tc>
        <w:tc>
          <w:tcPr>
            <w:tcW w:w="1088" w:type="dxa"/>
          </w:tcPr>
          <w:p w14:paraId="3A672086" w14:textId="77777777" w:rsidR="00914AE6" w:rsidRPr="005F62F4" w:rsidRDefault="00914AE6" w:rsidP="000D1A41">
            <w:pPr>
              <w:pStyle w:val="TableTextRight"/>
              <w:ind w:right="340"/>
              <w:cnfStyle w:val="000000000000" w:firstRow="0" w:lastRow="0" w:firstColumn="0" w:lastColumn="0" w:oddVBand="0" w:evenVBand="0" w:oddHBand="0" w:evenHBand="0" w:firstRowFirstColumn="0" w:firstRowLastColumn="0" w:lastRowFirstColumn="0" w:lastRowLastColumn="0"/>
              <w:rPr>
                <w:szCs w:val="18"/>
                <w:lang w:val="en-AU"/>
              </w:rPr>
            </w:pPr>
            <w:r w:rsidRPr="005F62F4">
              <w:rPr>
                <w:rFonts w:cstheme="minorHAnsi"/>
                <w:szCs w:val="18"/>
                <w:lang w:val="en-AU"/>
              </w:rPr>
              <w:t>7,712</w:t>
            </w:r>
          </w:p>
        </w:tc>
        <w:tc>
          <w:tcPr>
            <w:cnfStyle w:val="000100000000" w:firstRow="0" w:lastRow="0" w:firstColumn="0" w:lastColumn="1" w:oddVBand="0" w:evenVBand="0" w:oddHBand="0" w:evenHBand="0" w:firstRowFirstColumn="0" w:firstRowLastColumn="0" w:lastRowFirstColumn="0" w:lastRowLastColumn="0"/>
            <w:tcW w:w="1088" w:type="dxa"/>
          </w:tcPr>
          <w:p w14:paraId="21579497" w14:textId="77777777" w:rsidR="00914AE6" w:rsidRPr="005F62F4" w:rsidRDefault="00914AE6" w:rsidP="000D1A41">
            <w:pPr>
              <w:pStyle w:val="TableTextRight"/>
              <w:ind w:right="340"/>
              <w:rPr>
                <w:szCs w:val="18"/>
                <w:lang w:val="en-AU"/>
              </w:rPr>
            </w:pPr>
            <w:r w:rsidRPr="005F62F4">
              <w:rPr>
                <w:szCs w:val="18"/>
                <w:lang w:val="en-AU"/>
              </w:rPr>
              <w:t>0.07</w:t>
            </w:r>
          </w:p>
        </w:tc>
      </w:tr>
      <w:tr w:rsidR="00914AE6" w:rsidRPr="005F62F4" w14:paraId="4DFC951E" w14:textId="77777777" w:rsidTr="000D1A41">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993" w:type="dxa"/>
          </w:tcPr>
          <w:p w14:paraId="25AB45CF" w14:textId="77777777" w:rsidR="00914AE6" w:rsidRPr="005F62F4" w:rsidRDefault="00914AE6" w:rsidP="000D1A41">
            <w:pPr>
              <w:pStyle w:val="Tabletextkeep"/>
              <w:rPr>
                <w:b w:val="0"/>
                <w:szCs w:val="18"/>
              </w:rPr>
            </w:pPr>
            <w:r w:rsidRPr="005F62F4">
              <w:rPr>
                <w:b w:val="0"/>
                <w:szCs w:val="18"/>
              </w:rPr>
              <w:t>45849</w:t>
            </w:r>
          </w:p>
        </w:tc>
        <w:tc>
          <w:tcPr>
            <w:tcW w:w="2409" w:type="dxa"/>
          </w:tcPr>
          <w:p w14:paraId="36A1EB78" w14:textId="77777777" w:rsidR="00914AE6" w:rsidRPr="005F62F4" w:rsidRDefault="00914AE6" w:rsidP="000D1A41">
            <w:pPr>
              <w:pStyle w:val="Tabletextkeep"/>
              <w:cnfStyle w:val="000000010000" w:firstRow="0" w:lastRow="0" w:firstColumn="0" w:lastColumn="0" w:oddVBand="0" w:evenVBand="0" w:oddHBand="0" w:evenHBand="1" w:firstRowFirstColumn="0" w:firstRowLastColumn="0" w:lastRowFirstColumn="0" w:lastRowLastColumn="0"/>
              <w:rPr>
                <w:szCs w:val="18"/>
              </w:rPr>
            </w:pPr>
            <w:r w:rsidRPr="005F62F4">
              <w:rPr>
                <w:szCs w:val="18"/>
              </w:rPr>
              <w:t>Sinus lift procedure</w:t>
            </w:r>
          </w:p>
        </w:tc>
        <w:tc>
          <w:tcPr>
            <w:tcW w:w="1985" w:type="dxa"/>
          </w:tcPr>
          <w:p w14:paraId="7CD32931" w14:textId="77777777" w:rsidR="00914AE6" w:rsidRPr="005F62F4" w:rsidRDefault="00914AE6" w:rsidP="000D1A41">
            <w:pPr>
              <w:pStyle w:val="Tabletextkeep"/>
              <w:cnfStyle w:val="000000010000" w:firstRow="0" w:lastRow="0" w:firstColumn="0" w:lastColumn="0" w:oddVBand="0" w:evenVBand="0" w:oddHBand="0" w:evenHBand="1" w:firstRowFirstColumn="0" w:firstRowLastColumn="0" w:lastRowFirstColumn="0" w:lastRowLastColumn="0"/>
              <w:rPr>
                <w:szCs w:val="18"/>
              </w:rPr>
            </w:pPr>
            <w:r w:rsidRPr="005F62F4">
              <w:rPr>
                <w:szCs w:val="18"/>
              </w:rPr>
              <w:t>n/a</w:t>
            </w:r>
          </w:p>
        </w:tc>
        <w:tc>
          <w:tcPr>
            <w:tcW w:w="1417" w:type="dxa"/>
          </w:tcPr>
          <w:p w14:paraId="4BE02B65" w14:textId="77777777" w:rsidR="00914AE6" w:rsidRPr="005F62F4" w:rsidRDefault="00914AE6" w:rsidP="000D1A41">
            <w:pPr>
              <w:pStyle w:val="TableTextRight"/>
              <w:ind w:right="340"/>
              <w:cnfStyle w:val="000000010000" w:firstRow="0" w:lastRow="0" w:firstColumn="0" w:lastColumn="0" w:oddVBand="0" w:evenVBand="0" w:oddHBand="0" w:evenHBand="1" w:firstRowFirstColumn="0" w:firstRowLastColumn="0" w:lastRowFirstColumn="0" w:lastRowLastColumn="0"/>
              <w:rPr>
                <w:rFonts w:cstheme="minorHAnsi"/>
                <w:szCs w:val="18"/>
                <w:lang w:val="en-AU"/>
              </w:rPr>
            </w:pPr>
            <w:r w:rsidRPr="005F62F4">
              <w:rPr>
                <w:rFonts w:cstheme="minorHAnsi"/>
                <w:szCs w:val="18"/>
                <w:lang w:val="en-AU"/>
              </w:rPr>
              <w:t>158</w:t>
            </w:r>
          </w:p>
        </w:tc>
        <w:tc>
          <w:tcPr>
            <w:tcW w:w="1088" w:type="dxa"/>
          </w:tcPr>
          <w:p w14:paraId="71ED9F6D" w14:textId="77777777" w:rsidR="00914AE6" w:rsidRPr="005F62F4" w:rsidRDefault="00914AE6" w:rsidP="000D1A41">
            <w:pPr>
              <w:pStyle w:val="TableTextRight"/>
              <w:ind w:right="340"/>
              <w:cnfStyle w:val="000000010000" w:firstRow="0" w:lastRow="0" w:firstColumn="0" w:lastColumn="0" w:oddVBand="0" w:evenVBand="0" w:oddHBand="0" w:evenHBand="1" w:firstRowFirstColumn="0" w:firstRowLastColumn="0" w:lastRowFirstColumn="0" w:lastRowLastColumn="0"/>
              <w:rPr>
                <w:szCs w:val="18"/>
                <w:lang w:val="en-AU"/>
              </w:rPr>
            </w:pPr>
            <w:r w:rsidRPr="005F62F4">
              <w:rPr>
                <w:rFonts w:cstheme="minorHAnsi"/>
                <w:szCs w:val="18"/>
                <w:lang w:val="en-AU"/>
              </w:rPr>
              <w:t>1,484</w:t>
            </w:r>
          </w:p>
        </w:tc>
        <w:tc>
          <w:tcPr>
            <w:cnfStyle w:val="000100000000" w:firstRow="0" w:lastRow="0" w:firstColumn="0" w:lastColumn="1" w:oddVBand="0" w:evenVBand="0" w:oddHBand="0" w:evenHBand="0" w:firstRowFirstColumn="0" w:firstRowLastColumn="0" w:lastRowFirstColumn="0" w:lastRowLastColumn="0"/>
            <w:tcW w:w="1088" w:type="dxa"/>
          </w:tcPr>
          <w:p w14:paraId="4409FB5A" w14:textId="77777777" w:rsidR="00914AE6" w:rsidRPr="005F62F4" w:rsidRDefault="00914AE6" w:rsidP="000D1A41">
            <w:pPr>
              <w:pStyle w:val="TableTextRight"/>
              <w:ind w:right="340"/>
              <w:rPr>
                <w:szCs w:val="18"/>
                <w:lang w:val="en-AU"/>
              </w:rPr>
            </w:pPr>
            <w:r w:rsidRPr="005F62F4">
              <w:rPr>
                <w:szCs w:val="18"/>
                <w:lang w:val="en-AU"/>
              </w:rPr>
              <w:t>0.10</w:t>
            </w:r>
          </w:p>
        </w:tc>
      </w:tr>
      <w:tr w:rsidR="00914AE6" w:rsidRPr="005F62F4" w14:paraId="54BC8436" w14:textId="77777777" w:rsidTr="000D1A41">
        <w:trPr>
          <w:trHeight w:val="170"/>
        </w:trPr>
        <w:tc>
          <w:tcPr>
            <w:cnfStyle w:val="001000000000" w:firstRow="0" w:lastRow="0" w:firstColumn="1" w:lastColumn="0" w:oddVBand="0" w:evenVBand="0" w:oddHBand="0" w:evenHBand="0" w:firstRowFirstColumn="0" w:firstRowLastColumn="0" w:lastRowFirstColumn="0" w:lastRowLastColumn="0"/>
            <w:tcW w:w="993" w:type="dxa"/>
          </w:tcPr>
          <w:p w14:paraId="36239438" w14:textId="77777777" w:rsidR="00914AE6" w:rsidRPr="005F62F4" w:rsidRDefault="00914AE6" w:rsidP="000D1A41">
            <w:pPr>
              <w:pStyle w:val="Tabletextkeep"/>
              <w:rPr>
                <w:b w:val="0"/>
                <w:szCs w:val="18"/>
              </w:rPr>
            </w:pPr>
            <w:r w:rsidRPr="005F62F4">
              <w:rPr>
                <w:b w:val="0"/>
                <w:szCs w:val="18"/>
              </w:rPr>
              <w:t>45729</w:t>
            </w:r>
          </w:p>
        </w:tc>
        <w:tc>
          <w:tcPr>
            <w:tcW w:w="2409" w:type="dxa"/>
          </w:tcPr>
          <w:p w14:paraId="0DFA05A2" w14:textId="77777777" w:rsidR="00914AE6" w:rsidRPr="005F62F4" w:rsidRDefault="00914AE6" w:rsidP="000D1A41">
            <w:pPr>
              <w:pStyle w:val="Tabletextkeep"/>
              <w:cnfStyle w:val="000000000000" w:firstRow="0" w:lastRow="0" w:firstColumn="0" w:lastColumn="0" w:oddVBand="0" w:evenVBand="0" w:oddHBand="0" w:evenHBand="0" w:firstRowFirstColumn="0" w:firstRowLastColumn="0" w:lastRowFirstColumn="0" w:lastRowLastColumn="0"/>
              <w:rPr>
                <w:szCs w:val="18"/>
              </w:rPr>
            </w:pPr>
            <w:r w:rsidRPr="005F62F4">
              <w:rPr>
                <w:szCs w:val="18"/>
              </w:rPr>
              <w:t>Bilateral osteotomy or ostectomy of mandible or maxilla</w:t>
            </w:r>
          </w:p>
        </w:tc>
        <w:tc>
          <w:tcPr>
            <w:tcW w:w="1985" w:type="dxa"/>
          </w:tcPr>
          <w:p w14:paraId="4BB6D0CC" w14:textId="77777777" w:rsidR="00914AE6" w:rsidRPr="005F62F4" w:rsidRDefault="00914AE6" w:rsidP="000D1A41">
            <w:pPr>
              <w:pStyle w:val="Tabletextkeep"/>
              <w:cnfStyle w:val="000000000000" w:firstRow="0" w:lastRow="0" w:firstColumn="0" w:lastColumn="0" w:oddVBand="0" w:evenVBand="0" w:oddHBand="0" w:evenHBand="0" w:firstRowFirstColumn="0" w:firstRowLastColumn="0" w:lastRowFirstColumn="0" w:lastRowLastColumn="0"/>
              <w:rPr>
                <w:szCs w:val="18"/>
              </w:rPr>
            </w:pPr>
            <w:r w:rsidRPr="005F62F4">
              <w:rPr>
                <w:szCs w:val="18"/>
              </w:rPr>
              <w:t>Single jaw with 1 to 2 procedures</w:t>
            </w:r>
          </w:p>
        </w:tc>
        <w:tc>
          <w:tcPr>
            <w:tcW w:w="1417" w:type="dxa"/>
          </w:tcPr>
          <w:p w14:paraId="3F74FDBF" w14:textId="77777777" w:rsidR="00914AE6" w:rsidRPr="005F62F4" w:rsidRDefault="00914AE6" w:rsidP="000D1A41">
            <w:pPr>
              <w:pStyle w:val="TableTextRight"/>
              <w:ind w:right="340"/>
              <w:cnfStyle w:val="000000000000" w:firstRow="0" w:lastRow="0" w:firstColumn="0" w:lastColumn="0" w:oddVBand="0" w:evenVBand="0" w:oddHBand="0" w:evenHBand="0" w:firstRowFirstColumn="0" w:firstRowLastColumn="0" w:lastRowFirstColumn="0" w:lastRowLastColumn="0"/>
              <w:rPr>
                <w:rFonts w:cstheme="minorHAnsi"/>
                <w:szCs w:val="18"/>
                <w:lang w:val="en-AU"/>
              </w:rPr>
            </w:pPr>
            <w:r w:rsidRPr="005F62F4">
              <w:rPr>
                <w:rFonts w:cstheme="minorHAnsi"/>
                <w:szCs w:val="18"/>
                <w:lang w:val="en-AU"/>
              </w:rPr>
              <w:t>407</w:t>
            </w:r>
          </w:p>
        </w:tc>
        <w:tc>
          <w:tcPr>
            <w:tcW w:w="1088" w:type="dxa"/>
          </w:tcPr>
          <w:p w14:paraId="063767D9" w14:textId="77777777" w:rsidR="00914AE6" w:rsidRPr="005F62F4" w:rsidRDefault="00914AE6" w:rsidP="000D1A41">
            <w:pPr>
              <w:pStyle w:val="TableTextRight"/>
              <w:ind w:right="340"/>
              <w:cnfStyle w:val="000000000000" w:firstRow="0" w:lastRow="0" w:firstColumn="0" w:lastColumn="0" w:oddVBand="0" w:evenVBand="0" w:oddHBand="0" w:evenHBand="0" w:firstRowFirstColumn="0" w:firstRowLastColumn="0" w:lastRowFirstColumn="0" w:lastRowLastColumn="0"/>
              <w:rPr>
                <w:szCs w:val="18"/>
                <w:lang w:val="en-AU"/>
              </w:rPr>
            </w:pPr>
            <w:r w:rsidRPr="005F62F4">
              <w:rPr>
                <w:rFonts w:cstheme="minorHAnsi"/>
                <w:szCs w:val="18"/>
                <w:lang w:val="en-AU"/>
              </w:rPr>
              <w:t>268</w:t>
            </w:r>
          </w:p>
        </w:tc>
        <w:tc>
          <w:tcPr>
            <w:cnfStyle w:val="000100000000" w:firstRow="0" w:lastRow="0" w:firstColumn="0" w:lastColumn="1" w:oddVBand="0" w:evenVBand="0" w:oddHBand="0" w:evenHBand="0" w:firstRowFirstColumn="0" w:firstRowLastColumn="0" w:lastRowFirstColumn="0" w:lastRowLastColumn="0"/>
            <w:tcW w:w="1088" w:type="dxa"/>
          </w:tcPr>
          <w:p w14:paraId="1697B30C" w14:textId="77777777" w:rsidR="00914AE6" w:rsidRPr="005F62F4" w:rsidRDefault="00914AE6" w:rsidP="000D1A41">
            <w:pPr>
              <w:pStyle w:val="TableTextRight"/>
              <w:ind w:right="340"/>
              <w:rPr>
                <w:szCs w:val="18"/>
                <w:lang w:val="en-AU"/>
              </w:rPr>
            </w:pPr>
            <w:r w:rsidRPr="005F62F4">
              <w:rPr>
                <w:szCs w:val="18"/>
                <w:lang w:val="en-AU"/>
              </w:rPr>
              <w:t>1.50</w:t>
            </w:r>
          </w:p>
        </w:tc>
      </w:tr>
      <w:tr w:rsidR="00914AE6" w:rsidRPr="005F62F4" w14:paraId="68DEA2A6" w14:textId="77777777" w:rsidTr="000D1A41">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993" w:type="dxa"/>
          </w:tcPr>
          <w:p w14:paraId="5F28F5F0" w14:textId="77777777" w:rsidR="00914AE6" w:rsidRPr="005F62F4" w:rsidRDefault="00914AE6" w:rsidP="000D1A41">
            <w:pPr>
              <w:pStyle w:val="Tabletextkeep"/>
              <w:rPr>
                <w:b w:val="0"/>
                <w:szCs w:val="18"/>
              </w:rPr>
            </w:pPr>
            <w:r w:rsidRPr="005F62F4">
              <w:rPr>
                <w:b w:val="0"/>
                <w:szCs w:val="18"/>
              </w:rPr>
              <w:t>45857</w:t>
            </w:r>
          </w:p>
        </w:tc>
        <w:tc>
          <w:tcPr>
            <w:tcW w:w="2409" w:type="dxa"/>
          </w:tcPr>
          <w:p w14:paraId="416FEEB9" w14:textId="77777777" w:rsidR="00914AE6" w:rsidRPr="005F62F4" w:rsidRDefault="00914AE6" w:rsidP="000D1A41">
            <w:pPr>
              <w:pStyle w:val="Tabletextkeep"/>
              <w:cnfStyle w:val="000000010000" w:firstRow="0" w:lastRow="0" w:firstColumn="0" w:lastColumn="0" w:oddVBand="0" w:evenVBand="0" w:oddHBand="0" w:evenHBand="1" w:firstRowFirstColumn="0" w:firstRowLastColumn="0" w:lastRowFirstColumn="0" w:lastRowLastColumn="0"/>
              <w:rPr>
                <w:szCs w:val="18"/>
              </w:rPr>
            </w:pPr>
            <w:r w:rsidRPr="005F62F4">
              <w:rPr>
                <w:szCs w:val="18"/>
              </w:rPr>
              <w:t>TMJ arthroscopy</w:t>
            </w:r>
          </w:p>
        </w:tc>
        <w:tc>
          <w:tcPr>
            <w:tcW w:w="1985" w:type="dxa"/>
          </w:tcPr>
          <w:p w14:paraId="7E2616AE" w14:textId="77777777" w:rsidR="00914AE6" w:rsidRPr="005F62F4" w:rsidRDefault="00914AE6" w:rsidP="000D1A41">
            <w:pPr>
              <w:pStyle w:val="Tabletextkeep"/>
              <w:cnfStyle w:val="000000010000" w:firstRow="0" w:lastRow="0" w:firstColumn="0" w:lastColumn="0" w:oddVBand="0" w:evenVBand="0" w:oddHBand="0" w:evenHBand="1" w:firstRowFirstColumn="0" w:firstRowLastColumn="0" w:lastRowFirstColumn="0" w:lastRowLastColumn="0"/>
              <w:rPr>
                <w:szCs w:val="18"/>
              </w:rPr>
            </w:pPr>
            <w:r w:rsidRPr="005F62F4">
              <w:rPr>
                <w:szCs w:val="18"/>
              </w:rPr>
              <w:t>n/a</w:t>
            </w:r>
          </w:p>
        </w:tc>
        <w:tc>
          <w:tcPr>
            <w:tcW w:w="1417" w:type="dxa"/>
          </w:tcPr>
          <w:p w14:paraId="16410B7F" w14:textId="77777777" w:rsidR="00914AE6" w:rsidRPr="005F62F4" w:rsidRDefault="00914AE6" w:rsidP="000D1A41">
            <w:pPr>
              <w:pStyle w:val="TableTextRight"/>
              <w:ind w:right="340"/>
              <w:cnfStyle w:val="000000010000" w:firstRow="0" w:lastRow="0" w:firstColumn="0" w:lastColumn="0" w:oddVBand="0" w:evenVBand="0" w:oddHBand="0" w:evenHBand="1" w:firstRowFirstColumn="0" w:firstRowLastColumn="0" w:lastRowFirstColumn="0" w:lastRowLastColumn="0"/>
              <w:rPr>
                <w:rFonts w:cstheme="minorHAnsi"/>
                <w:szCs w:val="18"/>
                <w:lang w:val="en-AU"/>
              </w:rPr>
            </w:pPr>
            <w:r w:rsidRPr="005F62F4">
              <w:rPr>
                <w:rFonts w:cstheme="minorHAnsi"/>
                <w:szCs w:val="18"/>
                <w:lang w:val="en-AU"/>
              </w:rPr>
              <w:t>86</w:t>
            </w:r>
          </w:p>
        </w:tc>
        <w:tc>
          <w:tcPr>
            <w:tcW w:w="1088" w:type="dxa"/>
          </w:tcPr>
          <w:p w14:paraId="5862CB65" w14:textId="77777777" w:rsidR="00914AE6" w:rsidRPr="005F62F4" w:rsidRDefault="00914AE6" w:rsidP="000D1A41">
            <w:pPr>
              <w:pStyle w:val="TableTextRight"/>
              <w:ind w:right="340"/>
              <w:cnfStyle w:val="000000010000" w:firstRow="0" w:lastRow="0" w:firstColumn="0" w:lastColumn="0" w:oddVBand="0" w:evenVBand="0" w:oddHBand="0" w:evenHBand="1" w:firstRowFirstColumn="0" w:firstRowLastColumn="0" w:lastRowFirstColumn="0" w:lastRowLastColumn="0"/>
              <w:rPr>
                <w:szCs w:val="18"/>
                <w:lang w:val="en-AU"/>
              </w:rPr>
            </w:pPr>
            <w:r w:rsidRPr="005F62F4">
              <w:rPr>
                <w:rFonts w:cstheme="minorHAnsi"/>
                <w:szCs w:val="18"/>
                <w:lang w:val="en-AU"/>
              </w:rPr>
              <w:t>237</w:t>
            </w:r>
          </w:p>
        </w:tc>
        <w:tc>
          <w:tcPr>
            <w:cnfStyle w:val="000100000000" w:firstRow="0" w:lastRow="0" w:firstColumn="0" w:lastColumn="1" w:oddVBand="0" w:evenVBand="0" w:oddHBand="0" w:evenHBand="0" w:firstRowFirstColumn="0" w:firstRowLastColumn="0" w:lastRowFirstColumn="0" w:lastRowLastColumn="0"/>
            <w:tcW w:w="1088" w:type="dxa"/>
          </w:tcPr>
          <w:p w14:paraId="6121CDBC" w14:textId="77777777" w:rsidR="00914AE6" w:rsidRPr="005F62F4" w:rsidRDefault="00914AE6" w:rsidP="000D1A41">
            <w:pPr>
              <w:pStyle w:val="TableTextRight"/>
              <w:ind w:right="340"/>
              <w:rPr>
                <w:szCs w:val="18"/>
                <w:lang w:val="en-AU"/>
              </w:rPr>
            </w:pPr>
            <w:r w:rsidRPr="005F62F4">
              <w:rPr>
                <w:szCs w:val="18"/>
                <w:lang w:val="en-AU"/>
              </w:rPr>
              <w:t>0.30</w:t>
            </w:r>
          </w:p>
        </w:tc>
      </w:tr>
      <w:tr w:rsidR="00914AE6" w:rsidRPr="005F62F4" w14:paraId="64FD9DFA" w14:textId="77777777" w:rsidTr="000D1A41">
        <w:trPr>
          <w:trHeight w:val="170"/>
        </w:trPr>
        <w:tc>
          <w:tcPr>
            <w:cnfStyle w:val="001000000000" w:firstRow="0" w:lastRow="0" w:firstColumn="1" w:lastColumn="0" w:oddVBand="0" w:evenVBand="0" w:oddHBand="0" w:evenHBand="0" w:firstRowFirstColumn="0" w:firstRowLastColumn="0" w:lastRowFirstColumn="0" w:lastRowLastColumn="0"/>
            <w:tcW w:w="993" w:type="dxa"/>
          </w:tcPr>
          <w:p w14:paraId="76B4C7A6" w14:textId="77777777" w:rsidR="00914AE6" w:rsidRPr="005F62F4" w:rsidRDefault="00914AE6" w:rsidP="000D1A41">
            <w:pPr>
              <w:pStyle w:val="Tabletextkeep"/>
              <w:rPr>
                <w:b w:val="0"/>
                <w:szCs w:val="18"/>
              </w:rPr>
            </w:pPr>
            <w:r w:rsidRPr="005F62F4">
              <w:rPr>
                <w:b w:val="0"/>
                <w:szCs w:val="18"/>
              </w:rPr>
              <w:t>45732</w:t>
            </w:r>
          </w:p>
        </w:tc>
        <w:tc>
          <w:tcPr>
            <w:tcW w:w="2409" w:type="dxa"/>
          </w:tcPr>
          <w:p w14:paraId="105C14E2" w14:textId="77777777" w:rsidR="00914AE6" w:rsidRPr="005F62F4" w:rsidRDefault="00914AE6" w:rsidP="000D1A41">
            <w:pPr>
              <w:pStyle w:val="Tabletextkeep"/>
              <w:cnfStyle w:val="000000000000" w:firstRow="0" w:lastRow="0" w:firstColumn="0" w:lastColumn="0" w:oddVBand="0" w:evenVBand="0" w:oddHBand="0" w:evenHBand="0" w:firstRowFirstColumn="0" w:firstRowLastColumn="0" w:lastRowFirstColumn="0" w:lastRowLastColumn="0"/>
              <w:rPr>
                <w:szCs w:val="18"/>
              </w:rPr>
            </w:pPr>
            <w:r w:rsidRPr="005F62F4">
              <w:rPr>
                <w:szCs w:val="18"/>
              </w:rPr>
              <w:t>Bilateral osteotomies or ostectomies of mandible or maxilla</w:t>
            </w:r>
          </w:p>
        </w:tc>
        <w:tc>
          <w:tcPr>
            <w:tcW w:w="1985" w:type="dxa"/>
          </w:tcPr>
          <w:p w14:paraId="3799D308" w14:textId="77777777" w:rsidR="00914AE6" w:rsidRPr="005F62F4" w:rsidRDefault="00914AE6" w:rsidP="000D1A41">
            <w:pPr>
              <w:pStyle w:val="Tabletextkeep"/>
              <w:cnfStyle w:val="000000000000" w:firstRow="0" w:lastRow="0" w:firstColumn="0" w:lastColumn="0" w:oddVBand="0" w:evenVBand="0" w:oddHBand="0" w:evenHBand="0" w:firstRowFirstColumn="0" w:firstRowLastColumn="0" w:lastRowFirstColumn="0" w:lastRowLastColumn="0"/>
              <w:rPr>
                <w:szCs w:val="18"/>
              </w:rPr>
            </w:pPr>
            <w:r w:rsidRPr="005F62F4">
              <w:rPr>
                <w:szCs w:val="18"/>
              </w:rPr>
              <w:t>Single jaw with 3 or more procedures</w:t>
            </w:r>
          </w:p>
        </w:tc>
        <w:tc>
          <w:tcPr>
            <w:tcW w:w="1417" w:type="dxa"/>
          </w:tcPr>
          <w:p w14:paraId="2341A4D6" w14:textId="77777777" w:rsidR="00914AE6" w:rsidRPr="005F62F4" w:rsidRDefault="00914AE6" w:rsidP="000D1A41">
            <w:pPr>
              <w:pStyle w:val="TableTextRight"/>
              <w:ind w:right="340"/>
              <w:cnfStyle w:val="000000000000" w:firstRow="0" w:lastRow="0" w:firstColumn="0" w:lastColumn="0" w:oddVBand="0" w:evenVBand="0" w:oddHBand="0" w:evenHBand="0" w:firstRowFirstColumn="0" w:firstRowLastColumn="0" w:lastRowFirstColumn="0" w:lastRowLastColumn="0"/>
              <w:rPr>
                <w:rFonts w:cstheme="minorHAnsi"/>
                <w:szCs w:val="18"/>
                <w:lang w:val="en-AU"/>
              </w:rPr>
            </w:pPr>
            <w:r w:rsidRPr="005F62F4">
              <w:rPr>
                <w:rFonts w:cstheme="minorHAnsi"/>
                <w:szCs w:val="18"/>
                <w:lang w:val="en-AU"/>
              </w:rPr>
              <w:t>427</w:t>
            </w:r>
          </w:p>
        </w:tc>
        <w:tc>
          <w:tcPr>
            <w:tcW w:w="1088" w:type="dxa"/>
          </w:tcPr>
          <w:p w14:paraId="285D71CC" w14:textId="77777777" w:rsidR="00914AE6" w:rsidRPr="005F62F4" w:rsidRDefault="00914AE6" w:rsidP="000D1A41">
            <w:pPr>
              <w:pStyle w:val="TableTextRight"/>
              <w:ind w:right="340"/>
              <w:cnfStyle w:val="000000000000" w:firstRow="0" w:lastRow="0" w:firstColumn="0" w:lastColumn="0" w:oddVBand="0" w:evenVBand="0" w:oddHBand="0" w:evenHBand="0" w:firstRowFirstColumn="0" w:firstRowLastColumn="0" w:lastRowFirstColumn="0" w:lastRowLastColumn="0"/>
              <w:rPr>
                <w:szCs w:val="18"/>
                <w:lang w:val="en-AU"/>
              </w:rPr>
            </w:pPr>
            <w:r w:rsidRPr="005F62F4">
              <w:rPr>
                <w:rFonts w:cstheme="minorHAnsi"/>
                <w:szCs w:val="18"/>
                <w:lang w:val="en-AU"/>
              </w:rPr>
              <w:t>229</w:t>
            </w:r>
          </w:p>
        </w:tc>
        <w:tc>
          <w:tcPr>
            <w:cnfStyle w:val="000100000000" w:firstRow="0" w:lastRow="0" w:firstColumn="0" w:lastColumn="1" w:oddVBand="0" w:evenVBand="0" w:oddHBand="0" w:evenHBand="0" w:firstRowFirstColumn="0" w:firstRowLastColumn="0" w:lastRowFirstColumn="0" w:lastRowLastColumn="0"/>
            <w:tcW w:w="1088" w:type="dxa"/>
          </w:tcPr>
          <w:p w14:paraId="23E36099" w14:textId="77777777" w:rsidR="00914AE6" w:rsidRPr="005F62F4" w:rsidRDefault="00914AE6" w:rsidP="000D1A41">
            <w:pPr>
              <w:pStyle w:val="TableTextRight"/>
              <w:ind w:right="340"/>
              <w:rPr>
                <w:szCs w:val="18"/>
                <w:lang w:val="en-AU"/>
              </w:rPr>
            </w:pPr>
            <w:r w:rsidRPr="005F62F4">
              <w:rPr>
                <w:szCs w:val="18"/>
                <w:lang w:val="en-AU"/>
              </w:rPr>
              <w:t>1.90</w:t>
            </w:r>
          </w:p>
        </w:tc>
      </w:tr>
      <w:tr w:rsidR="00914AE6" w:rsidRPr="005F62F4" w14:paraId="0052F854" w14:textId="77777777" w:rsidTr="000D1A41">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993" w:type="dxa"/>
          </w:tcPr>
          <w:p w14:paraId="70A27C33" w14:textId="77777777" w:rsidR="00914AE6" w:rsidRPr="005F62F4" w:rsidRDefault="00914AE6" w:rsidP="000D1A41">
            <w:pPr>
              <w:pStyle w:val="Tabletextkeep"/>
              <w:rPr>
                <w:b w:val="0"/>
                <w:szCs w:val="18"/>
              </w:rPr>
            </w:pPr>
            <w:r w:rsidRPr="005F62F4">
              <w:rPr>
                <w:b w:val="0"/>
                <w:szCs w:val="18"/>
              </w:rPr>
              <w:t>45752</w:t>
            </w:r>
          </w:p>
        </w:tc>
        <w:tc>
          <w:tcPr>
            <w:tcW w:w="2409" w:type="dxa"/>
          </w:tcPr>
          <w:p w14:paraId="24839E73" w14:textId="77777777" w:rsidR="00914AE6" w:rsidRPr="005F62F4" w:rsidRDefault="00914AE6" w:rsidP="000D1A41">
            <w:pPr>
              <w:pStyle w:val="Tabletextkeep"/>
              <w:cnfStyle w:val="000000010000" w:firstRow="0" w:lastRow="0" w:firstColumn="0" w:lastColumn="0" w:oddVBand="0" w:evenVBand="0" w:oddHBand="0" w:evenHBand="1" w:firstRowFirstColumn="0" w:firstRowLastColumn="0" w:lastRowFirstColumn="0" w:lastRowLastColumn="0"/>
              <w:rPr>
                <w:szCs w:val="18"/>
              </w:rPr>
            </w:pPr>
            <w:r w:rsidRPr="005F62F4">
              <w:rPr>
                <w:szCs w:val="18"/>
              </w:rPr>
              <w:t>Complex bilateral osteotomies or ostectomies of mandible or maxilla</w:t>
            </w:r>
          </w:p>
        </w:tc>
        <w:tc>
          <w:tcPr>
            <w:tcW w:w="1985" w:type="dxa"/>
          </w:tcPr>
          <w:p w14:paraId="6862673C" w14:textId="77777777" w:rsidR="00914AE6" w:rsidRPr="005F62F4" w:rsidRDefault="00914AE6" w:rsidP="000D1A41">
            <w:pPr>
              <w:pStyle w:val="Tabletextkeep"/>
              <w:cnfStyle w:val="000000010000" w:firstRow="0" w:lastRow="0" w:firstColumn="0" w:lastColumn="0" w:oddVBand="0" w:evenVBand="0" w:oddHBand="0" w:evenHBand="1" w:firstRowFirstColumn="0" w:firstRowLastColumn="0" w:lastRowFirstColumn="0" w:lastRowLastColumn="0"/>
              <w:rPr>
                <w:szCs w:val="18"/>
              </w:rPr>
            </w:pPr>
            <w:r w:rsidRPr="005F62F4">
              <w:rPr>
                <w:szCs w:val="18"/>
              </w:rPr>
              <w:t>Double jaw with 3 or more procedures on each jaw</w:t>
            </w:r>
          </w:p>
        </w:tc>
        <w:tc>
          <w:tcPr>
            <w:tcW w:w="1417" w:type="dxa"/>
          </w:tcPr>
          <w:p w14:paraId="221F5140" w14:textId="77777777" w:rsidR="00914AE6" w:rsidRPr="005F62F4" w:rsidRDefault="00914AE6" w:rsidP="000D1A41">
            <w:pPr>
              <w:pStyle w:val="TableTextRight"/>
              <w:ind w:right="340"/>
              <w:cnfStyle w:val="000000010000" w:firstRow="0" w:lastRow="0" w:firstColumn="0" w:lastColumn="0" w:oddVBand="0" w:evenVBand="0" w:oddHBand="0" w:evenHBand="1" w:firstRowFirstColumn="0" w:firstRowLastColumn="0" w:lastRowFirstColumn="0" w:lastRowLastColumn="0"/>
              <w:rPr>
                <w:rFonts w:cstheme="minorHAnsi"/>
                <w:szCs w:val="18"/>
                <w:lang w:val="en-AU"/>
              </w:rPr>
            </w:pPr>
            <w:r w:rsidRPr="005F62F4">
              <w:rPr>
                <w:rFonts w:cstheme="minorHAnsi"/>
                <w:szCs w:val="18"/>
                <w:lang w:val="en-AU"/>
              </w:rPr>
              <w:t>436</w:t>
            </w:r>
          </w:p>
        </w:tc>
        <w:tc>
          <w:tcPr>
            <w:tcW w:w="1088" w:type="dxa"/>
          </w:tcPr>
          <w:p w14:paraId="267CBFAC" w14:textId="77777777" w:rsidR="00914AE6" w:rsidRPr="005F62F4" w:rsidRDefault="00914AE6" w:rsidP="000D1A41">
            <w:pPr>
              <w:pStyle w:val="TableTextRight"/>
              <w:ind w:right="340"/>
              <w:cnfStyle w:val="000000010000" w:firstRow="0" w:lastRow="0" w:firstColumn="0" w:lastColumn="0" w:oddVBand="0" w:evenVBand="0" w:oddHBand="0" w:evenHBand="1" w:firstRowFirstColumn="0" w:firstRowLastColumn="0" w:lastRowFirstColumn="0" w:lastRowLastColumn="0"/>
              <w:rPr>
                <w:szCs w:val="18"/>
                <w:lang w:val="en-AU"/>
              </w:rPr>
            </w:pPr>
            <w:r w:rsidRPr="005F62F4">
              <w:rPr>
                <w:rFonts w:cstheme="minorHAnsi"/>
                <w:szCs w:val="18"/>
                <w:lang w:val="en-AU"/>
              </w:rPr>
              <w:t>172</w:t>
            </w:r>
          </w:p>
        </w:tc>
        <w:tc>
          <w:tcPr>
            <w:cnfStyle w:val="000100000000" w:firstRow="0" w:lastRow="0" w:firstColumn="0" w:lastColumn="1" w:oddVBand="0" w:evenVBand="0" w:oddHBand="0" w:evenHBand="0" w:firstRowFirstColumn="0" w:firstRowLastColumn="0" w:lastRowFirstColumn="0" w:lastRowLastColumn="0"/>
            <w:tcW w:w="1088" w:type="dxa"/>
          </w:tcPr>
          <w:p w14:paraId="1AD1DE89" w14:textId="77777777" w:rsidR="00914AE6" w:rsidRPr="005F62F4" w:rsidRDefault="00914AE6" w:rsidP="000D1A41">
            <w:pPr>
              <w:pStyle w:val="TableTextRight"/>
              <w:ind w:right="340"/>
              <w:rPr>
                <w:szCs w:val="18"/>
                <w:lang w:val="en-AU"/>
              </w:rPr>
            </w:pPr>
            <w:r w:rsidRPr="005F62F4">
              <w:rPr>
                <w:szCs w:val="18"/>
                <w:lang w:val="en-AU"/>
              </w:rPr>
              <w:t>2.50</w:t>
            </w:r>
          </w:p>
        </w:tc>
      </w:tr>
      <w:tr w:rsidR="00914AE6" w:rsidRPr="005F62F4" w14:paraId="4EDA1E1B" w14:textId="77777777" w:rsidTr="000D1A41">
        <w:trPr>
          <w:trHeight w:val="170"/>
        </w:trPr>
        <w:tc>
          <w:tcPr>
            <w:cnfStyle w:val="001000000000" w:firstRow="0" w:lastRow="0" w:firstColumn="1" w:lastColumn="0" w:oddVBand="0" w:evenVBand="0" w:oddHBand="0" w:evenHBand="0" w:firstRowFirstColumn="0" w:firstRowLastColumn="0" w:lastRowFirstColumn="0" w:lastRowLastColumn="0"/>
            <w:tcW w:w="993" w:type="dxa"/>
          </w:tcPr>
          <w:p w14:paraId="6BF5D35B" w14:textId="77777777" w:rsidR="00A11916" w:rsidRPr="005F62F4" w:rsidRDefault="00A11916" w:rsidP="000D1A41">
            <w:pPr>
              <w:pStyle w:val="Tabletextkeep"/>
              <w:rPr>
                <w:b w:val="0"/>
                <w:szCs w:val="18"/>
              </w:rPr>
            </w:pPr>
            <w:r w:rsidRPr="005F62F4">
              <w:rPr>
                <w:b w:val="0"/>
                <w:szCs w:val="18"/>
              </w:rPr>
              <w:t>52357</w:t>
            </w:r>
          </w:p>
        </w:tc>
        <w:tc>
          <w:tcPr>
            <w:tcW w:w="2409" w:type="dxa"/>
          </w:tcPr>
          <w:p w14:paraId="50BA38E0" w14:textId="77777777" w:rsidR="00A11916" w:rsidRPr="005F62F4" w:rsidRDefault="00A11916" w:rsidP="000D1A41">
            <w:pPr>
              <w:pStyle w:val="Tabletextkeep"/>
              <w:cnfStyle w:val="000000000000" w:firstRow="0" w:lastRow="0" w:firstColumn="0" w:lastColumn="0" w:oddVBand="0" w:evenVBand="0" w:oddHBand="0" w:evenHBand="0" w:firstRowFirstColumn="0" w:firstRowLastColumn="0" w:lastRowFirstColumn="0" w:lastRowLastColumn="0"/>
              <w:rPr>
                <w:szCs w:val="18"/>
              </w:rPr>
            </w:pPr>
            <w:r w:rsidRPr="005F62F4">
              <w:rPr>
                <w:szCs w:val="18"/>
              </w:rPr>
              <w:t xml:space="preserve">Osteotomies or </w:t>
            </w:r>
            <w:proofErr w:type="spellStart"/>
            <w:r w:rsidRPr="005F62F4">
              <w:rPr>
                <w:szCs w:val="18"/>
              </w:rPr>
              <w:t>osteectomies</w:t>
            </w:r>
            <w:proofErr w:type="spellEnd"/>
            <w:r w:rsidRPr="005F62F4">
              <w:rPr>
                <w:szCs w:val="18"/>
              </w:rPr>
              <w:t xml:space="preserve"> of the mandible or maxilla</w:t>
            </w:r>
          </w:p>
        </w:tc>
        <w:tc>
          <w:tcPr>
            <w:tcW w:w="1985" w:type="dxa"/>
          </w:tcPr>
          <w:p w14:paraId="1324DC18" w14:textId="77777777" w:rsidR="00A11916" w:rsidRPr="005F62F4" w:rsidRDefault="00A11916" w:rsidP="000D1A41">
            <w:pPr>
              <w:pStyle w:val="Tabletextkeep"/>
              <w:cnfStyle w:val="000000000000" w:firstRow="0" w:lastRow="0" w:firstColumn="0" w:lastColumn="0" w:oddVBand="0" w:evenVBand="0" w:oddHBand="0" w:evenHBand="0" w:firstRowFirstColumn="0" w:firstRowLastColumn="0" w:lastRowFirstColumn="0" w:lastRowLastColumn="0"/>
              <w:rPr>
                <w:szCs w:val="18"/>
              </w:rPr>
            </w:pPr>
            <w:r w:rsidRPr="005F62F4">
              <w:rPr>
                <w:szCs w:val="18"/>
              </w:rPr>
              <w:t>Single jaw with 3 or more procedures</w:t>
            </w:r>
          </w:p>
        </w:tc>
        <w:tc>
          <w:tcPr>
            <w:tcW w:w="1417" w:type="dxa"/>
          </w:tcPr>
          <w:p w14:paraId="081C3BB8" w14:textId="77777777" w:rsidR="00A11916" w:rsidRPr="005F62F4" w:rsidRDefault="00A11916" w:rsidP="000D1A41">
            <w:pPr>
              <w:pStyle w:val="TableTextRight"/>
              <w:ind w:right="340"/>
              <w:cnfStyle w:val="000000000000" w:firstRow="0" w:lastRow="0" w:firstColumn="0" w:lastColumn="0" w:oddVBand="0" w:evenVBand="0" w:oddHBand="0" w:evenHBand="0" w:firstRowFirstColumn="0" w:firstRowLastColumn="0" w:lastRowFirstColumn="0" w:lastRowLastColumn="0"/>
              <w:rPr>
                <w:rFonts w:cstheme="minorHAnsi"/>
                <w:szCs w:val="18"/>
                <w:lang w:val="en-AU"/>
              </w:rPr>
            </w:pPr>
            <w:r w:rsidRPr="005F62F4">
              <w:rPr>
                <w:rFonts w:cstheme="minorHAnsi"/>
                <w:szCs w:val="18"/>
                <w:lang w:val="en-AU"/>
              </w:rPr>
              <w:t>101</w:t>
            </w:r>
          </w:p>
        </w:tc>
        <w:tc>
          <w:tcPr>
            <w:tcW w:w="1088" w:type="dxa"/>
          </w:tcPr>
          <w:p w14:paraId="3E2BC1C2" w14:textId="77777777" w:rsidR="00A11916" w:rsidRPr="005F62F4" w:rsidRDefault="00A11916" w:rsidP="000D1A41">
            <w:pPr>
              <w:pStyle w:val="TableTextRight"/>
              <w:ind w:right="340"/>
              <w:cnfStyle w:val="000000000000" w:firstRow="0" w:lastRow="0" w:firstColumn="0" w:lastColumn="0" w:oddVBand="0" w:evenVBand="0" w:oddHBand="0" w:evenHBand="0" w:firstRowFirstColumn="0" w:firstRowLastColumn="0" w:lastRowFirstColumn="0" w:lastRowLastColumn="0"/>
              <w:rPr>
                <w:szCs w:val="18"/>
                <w:lang w:val="en-AU"/>
              </w:rPr>
            </w:pPr>
            <w:r w:rsidRPr="005F62F4">
              <w:rPr>
                <w:rFonts w:cstheme="minorHAnsi"/>
                <w:szCs w:val="18"/>
                <w:lang w:val="en-AU"/>
              </w:rPr>
              <w:t>160</w:t>
            </w:r>
          </w:p>
        </w:tc>
        <w:tc>
          <w:tcPr>
            <w:cnfStyle w:val="000100000000" w:firstRow="0" w:lastRow="0" w:firstColumn="0" w:lastColumn="1" w:oddVBand="0" w:evenVBand="0" w:oddHBand="0" w:evenHBand="0" w:firstRowFirstColumn="0" w:firstRowLastColumn="0" w:lastRowFirstColumn="0" w:lastRowLastColumn="0"/>
            <w:tcW w:w="1088" w:type="dxa"/>
          </w:tcPr>
          <w:p w14:paraId="2FB506FE" w14:textId="77777777" w:rsidR="00A11916" w:rsidRPr="005F62F4" w:rsidRDefault="00A11916" w:rsidP="000D1A41">
            <w:pPr>
              <w:pStyle w:val="TableTextRight"/>
              <w:ind w:right="340"/>
              <w:rPr>
                <w:szCs w:val="18"/>
                <w:lang w:val="en-AU"/>
              </w:rPr>
            </w:pPr>
            <w:r w:rsidRPr="005F62F4">
              <w:rPr>
                <w:szCs w:val="18"/>
                <w:lang w:val="en-AU"/>
              </w:rPr>
              <w:t>0.60</w:t>
            </w:r>
          </w:p>
        </w:tc>
      </w:tr>
      <w:tr w:rsidR="001D7264" w:rsidRPr="005F62F4" w14:paraId="26027041" w14:textId="77777777" w:rsidTr="000D1A41">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993" w:type="dxa"/>
          </w:tcPr>
          <w:p w14:paraId="465AA198" w14:textId="77777777" w:rsidR="00A11916" w:rsidRPr="005F62F4" w:rsidRDefault="00A11916" w:rsidP="000D1A41">
            <w:pPr>
              <w:pStyle w:val="Tabletextkeep"/>
              <w:rPr>
                <w:b w:val="0"/>
                <w:szCs w:val="18"/>
              </w:rPr>
            </w:pPr>
            <w:r w:rsidRPr="005F62F4">
              <w:rPr>
                <w:b w:val="0"/>
                <w:szCs w:val="18"/>
              </w:rPr>
              <w:t>45738</w:t>
            </w:r>
          </w:p>
        </w:tc>
        <w:tc>
          <w:tcPr>
            <w:tcW w:w="2409" w:type="dxa"/>
          </w:tcPr>
          <w:p w14:paraId="1DF60DA7" w14:textId="77777777" w:rsidR="00A11916" w:rsidRPr="005F62F4" w:rsidRDefault="00A11916" w:rsidP="000D1A41">
            <w:pPr>
              <w:pStyle w:val="Tabletextkeep"/>
              <w:cnfStyle w:val="000000010000" w:firstRow="0" w:lastRow="0" w:firstColumn="0" w:lastColumn="0" w:oddVBand="0" w:evenVBand="0" w:oddHBand="0" w:evenHBand="1" w:firstRowFirstColumn="0" w:firstRowLastColumn="0" w:lastRowFirstColumn="0" w:lastRowLastColumn="0"/>
              <w:rPr>
                <w:szCs w:val="18"/>
              </w:rPr>
            </w:pPr>
            <w:r w:rsidRPr="005F62F4">
              <w:rPr>
                <w:szCs w:val="18"/>
              </w:rPr>
              <w:t>Bilateral osteotomies or ostectomies of mandible or maxilla</w:t>
            </w:r>
          </w:p>
        </w:tc>
        <w:tc>
          <w:tcPr>
            <w:tcW w:w="1985" w:type="dxa"/>
          </w:tcPr>
          <w:p w14:paraId="03767373" w14:textId="77777777" w:rsidR="00A11916" w:rsidRPr="005F62F4" w:rsidRDefault="00A11916" w:rsidP="000D1A41">
            <w:pPr>
              <w:pStyle w:val="Tabletextkeep"/>
              <w:cnfStyle w:val="000000010000" w:firstRow="0" w:lastRow="0" w:firstColumn="0" w:lastColumn="0" w:oddVBand="0" w:evenVBand="0" w:oddHBand="0" w:evenHBand="1" w:firstRowFirstColumn="0" w:firstRowLastColumn="0" w:lastRowFirstColumn="0" w:lastRowLastColumn="0"/>
              <w:rPr>
                <w:szCs w:val="18"/>
              </w:rPr>
            </w:pPr>
            <w:r w:rsidRPr="005F62F4">
              <w:rPr>
                <w:szCs w:val="18"/>
              </w:rPr>
              <w:t>Double jaw with 2 or more procedures on each jaw</w:t>
            </w:r>
          </w:p>
        </w:tc>
        <w:tc>
          <w:tcPr>
            <w:tcW w:w="1417" w:type="dxa"/>
          </w:tcPr>
          <w:p w14:paraId="7237A398" w14:textId="77777777" w:rsidR="00A11916" w:rsidRPr="005F62F4" w:rsidRDefault="00A11916" w:rsidP="000D1A41">
            <w:pPr>
              <w:pStyle w:val="TableTextRight"/>
              <w:ind w:right="340"/>
              <w:cnfStyle w:val="000000010000" w:firstRow="0" w:lastRow="0" w:firstColumn="0" w:lastColumn="0" w:oddVBand="0" w:evenVBand="0" w:oddHBand="0" w:evenHBand="1" w:firstRowFirstColumn="0" w:firstRowLastColumn="0" w:lastRowFirstColumn="0" w:lastRowLastColumn="0"/>
              <w:rPr>
                <w:rFonts w:cstheme="minorHAnsi"/>
                <w:szCs w:val="18"/>
                <w:lang w:val="en-AU"/>
              </w:rPr>
            </w:pPr>
            <w:r w:rsidRPr="005F62F4">
              <w:rPr>
                <w:rFonts w:cstheme="minorHAnsi"/>
                <w:szCs w:val="18"/>
                <w:lang w:val="en-AU"/>
              </w:rPr>
              <w:t>480</w:t>
            </w:r>
          </w:p>
        </w:tc>
        <w:tc>
          <w:tcPr>
            <w:tcW w:w="1088" w:type="dxa"/>
          </w:tcPr>
          <w:p w14:paraId="5B8BED7C" w14:textId="77777777" w:rsidR="00A11916" w:rsidRPr="005F62F4" w:rsidRDefault="00A11916" w:rsidP="000D1A41">
            <w:pPr>
              <w:pStyle w:val="TableTextRight"/>
              <w:ind w:right="340"/>
              <w:cnfStyle w:val="000000010000" w:firstRow="0" w:lastRow="0" w:firstColumn="0" w:lastColumn="0" w:oddVBand="0" w:evenVBand="0" w:oddHBand="0" w:evenHBand="1" w:firstRowFirstColumn="0" w:firstRowLastColumn="0" w:lastRowFirstColumn="0" w:lastRowLastColumn="0"/>
              <w:rPr>
                <w:szCs w:val="18"/>
                <w:lang w:val="en-AU"/>
              </w:rPr>
            </w:pPr>
            <w:r w:rsidRPr="005F62F4">
              <w:rPr>
                <w:rFonts w:cstheme="minorHAnsi"/>
                <w:szCs w:val="18"/>
                <w:lang w:val="en-AU"/>
              </w:rPr>
              <w:t>148</w:t>
            </w:r>
          </w:p>
        </w:tc>
        <w:tc>
          <w:tcPr>
            <w:cnfStyle w:val="000100000000" w:firstRow="0" w:lastRow="0" w:firstColumn="0" w:lastColumn="1" w:oddVBand="0" w:evenVBand="0" w:oddHBand="0" w:evenHBand="0" w:firstRowFirstColumn="0" w:firstRowLastColumn="0" w:lastRowFirstColumn="0" w:lastRowLastColumn="0"/>
            <w:tcW w:w="1088" w:type="dxa"/>
          </w:tcPr>
          <w:p w14:paraId="2222A436" w14:textId="77777777" w:rsidR="00A11916" w:rsidRPr="005F62F4" w:rsidRDefault="00A11916" w:rsidP="000D1A41">
            <w:pPr>
              <w:pStyle w:val="TableTextRight"/>
              <w:ind w:right="340"/>
              <w:rPr>
                <w:szCs w:val="18"/>
                <w:lang w:val="en-AU"/>
              </w:rPr>
            </w:pPr>
            <w:r w:rsidRPr="005F62F4">
              <w:rPr>
                <w:szCs w:val="18"/>
                <w:lang w:val="en-AU"/>
              </w:rPr>
              <w:t>3.20</w:t>
            </w:r>
          </w:p>
        </w:tc>
      </w:tr>
      <w:tr w:rsidR="00914AE6" w:rsidRPr="005F62F4" w14:paraId="58833FA4" w14:textId="77777777" w:rsidTr="000D1A41">
        <w:trPr>
          <w:trHeight w:val="170"/>
        </w:trPr>
        <w:tc>
          <w:tcPr>
            <w:cnfStyle w:val="001000000000" w:firstRow="0" w:lastRow="0" w:firstColumn="1" w:lastColumn="0" w:oddVBand="0" w:evenVBand="0" w:oddHBand="0" w:evenHBand="0" w:firstRowFirstColumn="0" w:firstRowLastColumn="0" w:lastRowFirstColumn="0" w:lastRowLastColumn="0"/>
            <w:tcW w:w="993" w:type="dxa"/>
          </w:tcPr>
          <w:p w14:paraId="602E6037" w14:textId="77777777" w:rsidR="00914AE6" w:rsidRPr="005F62F4" w:rsidRDefault="00914AE6" w:rsidP="000D1A41">
            <w:pPr>
              <w:pStyle w:val="Tabletextkeep"/>
              <w:rPr>
                <w:b w:val="0"/>
                <w:szCs w:val="18"/>
              </w:rPr>
            </w:pPr>
            <w:r w:rsidRPr="005F62F4">
              <w:rPr>
                <w:b w:val="0"/>
                <w:szCs w:val="18"/>
              </w:rPr>
              <w:t>52375</w:t>
            </w:r>
          </w:p>
        </w:tc>
        <w:tc>
          <w:tcPr>
            <w:tcW w:w="2409" w:type="dxa"/>
          </w:tcPr>
          <w:p w14:paraId="6E2E0621" w14:textId="77777777" w:rsidR="00914AE6" w:rsidRPr="005F62F4" w:rsidRDefault="00914AE6" w:rsidP="000D1A41">
            <w:pPr>
              <w:pStyle w:val="Tabletextkeep"/>
              <w:cnfStyle w:val="000000000000" w:firstRow="0" w:lastRow="0" w:firstColumn="0" w:lastColumn="0" w:oddVBand="0" w:evenVBand="0" w:oddHBand="0" w:evenHBand="0" w:firstRowFirstColumn="0" w:firstRowLastColumn="0" w:lastRowFirstColumn="0" w:lastRowLastColumn="0"/>
              <w:rPr>
                <w:szCs w:val="18"/>
              </w:rPr>
            </w:pPr>
            <w:r w:rsidRPr="005F62F4">
              <w:rPr>
                <w:szCs w:val="18"/>
              </w:rPr>
              <w:t>Complex bilateral osteotomies or ostectomies of mandible or maxilla</w:t>
            </w:r>
          </w:p>
        </w:tc>
        <w:tc>
          <w:tcPr>
            <w:tcW w:w="1985" w:type="dxa"/>
          </w:tcPr>
          <w:p w14:paraId="76AE0C42" w14:textId="77777777" w:rsidR="00914AE6" w:rsidRPr="005F62F4" w:rsidRDefault="00914AE6" w:rsidP="000D1A41">
            <w:pPr>
              <w:pStyle w:val="Tabletextkeep"/>
              <w:cnfStyle w:val="000000000000" w:firstRow="0" w:lastRow="0" w:firstColumn="0" w:lastColumn="0" w:oddVBand="0" w:evenVBand="0" w:oddHBand="0" w:evenHBand="0" w:firstRowFirstColumn="0" w:firstRowLastColumn="0" w:lastRowFirstColumn="0" w:lastRowLastColumn="0"/>
              <w:rPr>
                <w:szCs w:val="18"/>
              </w:rPr>
            </w:pPr>
            <w:r w:rsidRPr="005F62F4">
              <w:rPr>
                <w:szCs w:val="18"/>
              </w:rPr>
              <w:t>Double jaw with 3 or more procedures on each jaw</w:t>
            </w:r>
          </w:p>
        </w:tc>
        <w:tc>
          <w:tcPr>
            <w:tcW w:w="1417" w:type="dxa"/>
          </w:tcPr>
          <w:p w14:paraId="0E192BF4" w14:textId="77777777" w:rsidR="00914AE6" w:rsidRPr="005F62F4" w:rsidRDefault="00914AE6" w:rsidP="000D1A41">
            <w:pPr>
              <w:pStyle w:val="TableTextRight"/>
              <w:ind w:right="340"/>
              <w:cnfStyle w:val="000000000000" w:firstRow="0" w:lastRow="0" w:firstColumn="0" w:lastColumn="0" w:oddVBand="0" w:evenVBand="0" w:oddHBand="0" w:evenHBand="0" w:firstRowFirstColumn="0" w:firstRowLastColumn="0" w:lastRowFirstColumn="0" w:lastRowLastColumn="0"/>
              <w:rPr>
                <w:rFonts w:cstheme="minorHAnsi"/>
                <w:szCs w:val="18"/>
                <w:lang w:val="en-AU"/>
              </w:rPr>
            </w:pPr>
            <w:r w:rsidRPr="005F62F4">
              <w:rPr>
                <w:rFonts w:cstheme="minorHAnsi"/>
                <w:szCs w:val="18"/>
                <w:lang w:val="en-AU"/>
              </w:rPr>
              <w:t>650</w:t>
            </w:r>
          </w:p>
        </w:tc>
        <w:tc>
          <w:tcPr>
            <w:tcW w:w="1088" w:type="dxa"/>
          </w:tcPr>
          <w:p w14:paraId="76B7D95F" w14:textId="77777777" w:rsidR="00914AE6" w:rsidRPr="005F62F4" w:rsidRDefault="00914AE6" w:rsidP="000D1A41">
            <w:pPr>
              <w:pStyle w:val="TableTextRight"/>
              <w:ind w:right="340"/>
              <w:cnfStyle w:val="000000000000" w:firstRow="0" w:lastRow="0" w:firstColumn="0" w:lastColumn="0" w:oddVBand="0" w:evenVBand="0" w:oddHBand="0" w:evenHBand="0" w:firstRowFirstColumn="0" w:firstRowLastColumn="0" w:lastRowFirstColumn="0" w:lastRowLastColumn="0"/>
              <w:rPr>
                <w:szCs w:val="18"/>
                <w:lang w:val="en-AU"/>
              </w:rPr>
            </w:pPr>
            <w:r w:rsidRPr="005F62F4">
              <w:rPr>
                <w:rFonts w:cstheme="minorHAnsi"/>
                <w:szCs w:val="18"/>
                <w:lang w:val="en-AU"/>
              </w:rPr>
              <w:t>102</w:t>
            </w:r>
          </w:p>
        </w:tc>
        <w:tc>
          <w:tcPr>
            <w:cnfStyle w:val="000100000000" w:firstRow="0" w:lastRow="0" w:firstColumn="0" w:lastColumn="1" w:oddVBand="0" w:evenVBand="0" w:oddHBand="0" w:evenHBand="0" w:firstRowFirstColumn="0" w:firstRowLastColumn="0" w:lastRowFirstColumn="0" w:lastRowLastColumn="0"/>
            <w:tcW w:w="1088" w:type="dxa"/>
          </w:tcPr>
          <w:p w14:paraId="061B1863" w14:textId="77777777" w:rsidR="00914AE6" w:rsidRPr="005F62F4" w:rsidRDefault="00914AE6" w:rsidP="000D1A41">
            <w:pPr>
              <w:pStyle w:val="TableTextRight"/>
              <w:ind w:right="340"/>
              <w:rPr>
                <w:szCs w:val="18"/>
                <w:lang w:val="en-AU"/>
              </w:rPr>
            </w:pPr>
            <w:r w:rsidRPr="005F62F4">
              <w:rPr>
                <w:szCs w:val="18"/>
                <w:lang w:val="en-AU"/>
              </w:rPr>
              <w:t>6.40</w:t>
            </w:r>
          </w:p>
        </w:tc>
      </w:tr>
      <w:tr w:rsidR="00914AE6" w:rsidRPr="005F62F4" w14:paraId="13057E74" w14:textId="77777777" w:rsidTr="000D1A41">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993" w:type="dxa"/>
          </w:tcPr>
          <w:p w14:paraId="25003BC0" w14:textId="77777777" w:rsidR="00A11916" w:rsidRPr="005F62F4" w:rsidRDefault="00A11916" w:rsidP="000D1A41">
            <w:pPr>
              <w:pStyle w:val="Tabletextkeep"/>
              <w:rPr>
                <w:b w:val="0"/>
                <w:szCs w:val="18"/>
              </w:rPr>
            </w:pPr>
            <w:r w:rsidRPr="005F62F4">
              <w:rPr>
                <w:b w:val="0"/>
                <w:szCs w:val="18"/>
              </w:rPr>
              <w:t>52363</w:t>
            </w:r>
          </w:p>
        </w:tc>
        <w:tc>
          <w:tcPr>
            <w:tcW w:w="2409" w:type="dxa"/>
          </w:tcPr>
          <w:p w14:paraId="1500FBB6" w14:textId="77777777" w:rsidR="00A11916" w:rsidRPr="005F62F4" w:rsidRDefault="00A11916" w:rsidP="000D1A41">
            <w:pPr>
              <w:pStyle w:val="Tabletextkeep"/>
              <w:cnfStyle w:val="000000010000" w:firstRow="0" w:lastRow="0" w:firstColumn="0" w:lastColumn="0" w:oddVBand="0" w:evenVBand="0" w:oddHBand="0" w:evenHBand="1" w:firstRowFirstColumn="0" w:firstRowLastColumn="0" w:lastRowFirstColumn="0" w:lastRowLastColumn="0"/>
              <w:rPr>
                <w:szCs w:val="18"/>
              </w:rPr>
            </w:pPr>
            <w:r w:rsidRPr="005F62F4">
              <w:rPr>
                <w:szCs w:val="18"/>
              </w:rPr>
              <w:t>Complex bilateral osteotomies or ostectomies of mandible or maxilla</w:t>
            </w:r>
          </w:p>
        </w:tc>
        <w:tc>
          <w:tcPr>
            <w:tcW w:w="1985" w:type="dxa"/>
          </w:tcPr>
          <w:p w14:paraId="61C5291E" w14:textId="77777777" w:rsidR="00A11916" w:rsidRPr="005F62F4" w:rsidRDefault="00A11916" w:rsidP="000D1A41">
            <w:pPr>
              <w:pStyle w:val="Tabletextkeep"/>
              <w:cnfStyle w:val="000000010000" w:firstRow="0" w:lastRow="0" w:firstColumn="0" w:lastColumn="0" w:oddVBand="0" w:evenVBand="0" w:oddHBand="0" w:evenHBand="1" w:firstRowFirstColumn="0" w:firstRowLastColumn="0" w:lastRowFirstColumn="0" w:lastRowLastColumn="0"/>
              <w:rPr>
                <w:szCs w:val="18"/>
              </w:rPr>
            </w:pPr>
            <w:r w:rsidRPr="005F62F4">
              <w:rPr>
                <w:szCs w:val="18"/>
              </w:rPr>
              <w:t>Double jaw with 2 procedures on each jaw</w:t>
            </w:r>
          </w:p>
        </w:tc>
        <w:tc>
          <w:tcPr>
            <w:tcW w:w="1417" w:type="dxa"/>
          </w:tcPr>
          <w:p w14:paraId="63C73FFC" w14:textId="77777777" w:rsidR="00A11916" w:rsidRPr="005F62F4" w:rsidRDefault="00A11916" w:rsidP="000D1A41">
            <w:pPr>
              <w:pStyle w:val="TableTextRight"/>
              <w:ind w:right="340"/>
              <w:cnfStyle w:val="000000010000" w:firstRow="0" w:lastRow="0" w:firstColumn="0" w:lastColumn="0" w:oddVBand="0" w:evenVBand="0" w:oddHBand="0" w:evenHBand="1" w:firstRowFirstColumn="0" w:firstRowLastColumn="0" w:lastRowFirstColumn="0" w:lastRowLastColumn="0"/>
              <w:rPr>
                <w:rFonts w:cstheme="minorHAnsi"/>
                <w:szCs w:val="18"/>
                <w:lang w:val="en-AU"/>
              </w:rPr>
            </w:pPr>
            <w:r w:rsidRPr="005F62F4">
              <w:rPr>
                <w:rFonts w:cstheme="minorHAnsi"/>
                <w:szCs w:val="18"/>
                <w:lang w:val="en-AU"/>
              </w:rPr>
              <w:t>346</w:t>
            </w:r>
          </w:p>
        </w:tc>
        <w:tc>
          <w:tcPr>
            <w:tcW w:w="1088" w:type="dxa"/>
          </w:tcPr>
          <w:p w14:paraId="6DEE8973" w14:textId="77777777" w:rsidR="00A11916" w:rsidRPr="005F62F4" w:rsidRDefault="00A11916" w:rsidP="000D1A41">
            <w:pPr>
              <w:pStyle w:val="TableTextRight"/>
              <w:ind w:right="340"/>
              <w:cnfStyle w:val="000000010000" w:firstRow="0" w:lastRow="0" w:firstColumn="0" w:lastColumn="0" w:oddVBand="0" w:evenVBand="0" w:oddHBand="0" w:evenHBand="1" w:firstRowFirstColumn="0" w:firstRowLastColumn="0" w:lastRowFirstColumn="0" w:lastRowLastColumn="0"/>
              <w:rPr>
                <w:szCs w:val="18"/>
                <w:lang w:val="en-AU"/>
              </w:rPr>
            </w:pPr>
            <w:r w:rsidRPr="005F62F4">
              <w:rPr>
                <w:rFonts w:cstheme="minorHAnsi"/>
                <w:szCs w:val="18"/>
                <w:lang w:val="en-AU"/>
              </w:rPr>
              <w:t>89</w:t>
            </w:r>
          </w:p>
        </w:tc>
        <w:tc>
          <w:tcPr>
            <w:cnfStyle w:val="000100000000" w:firstRow="0" w:lastRow="0" w:firstColumn="0" w:lastColumn="1" w:oddVBand="0" w:evenVBand="0" w:oddHBand="0" w:evenHBand="0" w:firstRowFirstColumn="0" w:firstRowLastColumn="0" w:lastRowFirstColumn="0" w:lastRowLastColumn="0"/>
            <w:tcW w:w="1088" w:type="dxa"/>
          </w:tcPr>
          <w:p w14:paraId="731BF7FC" w14:textId="77777777" w:rsidR="00A11916" w:rsidRPr="005F62F4" w:rsidRDefault="00A11916" w:rsidP="000D1A41">
            <w:pPr>
              <w:pStyle w:val="TableTextRight"/>
              <w:ind w:right="340"/>
              <w:rPr>
                <w:szCs w:val="18"/>
                <w:lang w:val="en-AU"/>
              </w:rPr>
            </w:pPr>
            <w:r w:rsidRPr="005F62F4">
              <w:rPr>
                <w:szCs w:val="18"/>
                <w:lang w:val="en-AU"/>
              </w:rPr>
              <w:t>3.90</w:t>
            </w:r>
          </w:p>
        </w:tc>
      </w:tr>
      <w:tr w:rsidR="001D7264" w:rsidRPr="005F62F4" w14:paraId="6760C981" w14:textId="77777777" w:rsidTr="000D1A41">
        <w:trPr>
          <w:trHeight w:val="170"/>
        </w:trPr>
        <w:tc>
          <w:tcPr>
            <w:cnfStyle w:val="001000000000" w:firstRow="0" w:lastRow="0" w:firstColumn="1" w:lastColumn="0" w:oddVBand="0" w:evenVBand="0" w:oddHBand="0" w:evenHBand="0" w:firstRowFirstColumn="0" w:firstRowLastColumn="0" w:lastRowFirstColumn="0" w:lastRowLastColumn="0"/>
            <w:tcW w:w="993" w:type="dxa"/>
          </w:tcPr>
          <w:p w14:paraId="00A58279" w14:textId="77777777" w:rsidR="002E334D" w:rsidRPr="005F62F4" w:rsidRDefault="002E334D" w:rsidP="000D1A41">
            <w:pPr>
              <w:pStyle w:val="Tabletextkeep"/>
              <w:rPr>
                <w:b w:val="0"/>
                <w:szCs w:val="18"/>
              </w:rPr>
            </w:pPr>
            <w:r w:rsidRPr="005F62F4">
              <w:rPr>
                <w:b w:val="0"/>
                <w:szCs w:val="18"/>
              </w:rPr>
              <w:t>45744</w:t>
            </w:r>
          </w:p>
        </w:tc>
        <w:tc>
          <w:tcPr>
            <w:tcW w:w="2409" w:type="dxa"/>
          </w:tcPr>
          <w:p w14:paraId="688B02D8" w14:textId="77777777" w:rsidR="002E334D" w:rsidRPr="005F62F4" w:rsidRDefault="002E334D" w:rsidP="000D1A41">
            <w:pPr>
              <w:pStyle w:val="Tabletextkeep"/>
              <w:cnfStyle w:val="000000000000" w:firstRow="0" w:lastRow="0" w:firstColumn="0" w:lastColumn="0" w:oddVBand="0" w:evenVBand="0" w:oddHBand="0" w:evenHBand="0" w:firstRowFirstColumn="0" w:firstRowLastColumn="0" w:lastRowFirstColumn="0" w:lastRowLastColumn="0"/>
              <w:rPr>
                <w:szCs w:val="18"/>
              </w:rPr>
            </w:pPr>
            <w:r w:rsidRPr="005F62F4">
              <w:rPr>
                <w:szCs w:val="18"/>
              </w:rPr>
              <w:t>Complex bilateral osteotomies or ostectomies of mandible or maxilla</w:t>
            </w:r>
          </w:p>
        </w:tc>
        <w:tc>
          <w:tcPr>
            <w:tcW w:w="1985" w:type="dxa"/>
          </w:tcPr>
          <w:p w14:paraId="37F8FCBA" w14:textId="77777777" w:rsidR="002E334D" w:rsidRPr="005F62F4" w:rsidRDefault="002E334D" w:rsidP="000D1A41">
            <w:pPr>
              <w:pStyle w:val="Tabletextkeep"/>
              <w:cnfStyle w:val="000000000000" w:firstRow="0" w:lastRow="0" w:firstColumn="0" w:lastColumn="0" w:oddVBand="0" w:evenVBand="0" w:oddHBand="0" w:evenHBand="0" w:firstRowFirstColumn="0" w:firstRowLastColumn="0" w:lastRowFirstColumn="0" w:lastRowLastColumn="0"/>
              <w:rPr>
                <w:szCs w:val="18"/>
              </w:rPr>
            </w:pPr>
            <w:r w:rsidRPr="005F62F4">
              <w:rPr>
                <w:szCs w:val="18"/>
              </w:rPr>
              <w:t>Double jaw with 3 procedures on one jaw and 2 on the other jaw</w:t>
            </w:r>
          </w:p>
        </w:tc>
        <w:tc>
          <w:tcPr>
            <w:tcW w:w="1417" w:type="dxa"/>
          </w:tcPr>
          <w:p w14:paraId="66042BDB" w14:textId="77777777" w:rsidR="002E334D" w:rsidRPr="005F62F4" w:rsidRDefault="002E334D" w:rsidP="000D1A41">
            <w:pPr>
              <w:pStyle w:val="TableTextRight"/>
              <w:ind w:right="340"/>
              <w:cnfStyle w:val="000000000000" w:firstRow="0" w:lastRow="0" w:firstColumn="0" w:lastColumn="0" w:oddVBand="0" w:evenVBand="0" w:oddHBand="0" w:evenHBand="0" w:firstRowFirstColumn="0" w:firstRowLastColumn="0" w:lastRowFirstColumn="0" w:lastRowLastColumn="0"/>
              <w:rPr>
                <w:rFonts w:cstheme="minorHAnsi"/>
                <w:szCs w:val="18"/>
                <w:lang w:val="en-AU"/>
              </w:rPr>
            </w:pPr>
            <w:r w:rsidRPr="005F62F4">
              <w:rPr>
                <w:rFonts w:cstheme="minorHAnsi"/>
                <w:szCs w:val="18"/>
                <w:lang w:val="en-AU"/>
              </w:rPr>
              <w:t>226</w:t>
            </w:r>
          </w:p>
        </w:tc>
        <w:tc>
          <w:tcPr>
            <w:tcW w:w="1088" w:type="dxa"/>
          </w:tcPr>
          <w:p w14:paraId="49136AEB" w14:textId="77777777" w:rsidR="002E334D" w:rsidRPr="005F62F4" w:rsidRDefault="002E334D" w:rsidP="000D1A41">
            <w:pPr>
              <w:pStyle w:val="TableTextRight"/>
              <w:ind w:right="340"/>
              <w:cnfStyle w:val="000000000000" w:firstRow="0" w:lastRow="0" w:firstColumn="0" w:lastColumn="0" w:oddVBand="0" w:evenVBand="0" w:oddHBand="0" w:evenHBand="0" w:firstRowFirstColumn="0" w:firstRowLastColumn="0" w:lastRowFirstColumn="0" w:lastRowLastColumn="0"/>
              <w:rPr>
                <w:szCs w:val="18"/>
                <w:lang w:val="en-AU"/>
              </w:rPr>
            </w:pPr>
            <w:r w:rsidRPr="005F62F4">
              <w:rPr>
                <w:rFonts w:cstheme="minorHAnsi"/>
                <w:szCs w:val="18"/>
                <w:lang w:val="en-AU"/>
              </w:rPr>
              <w:t>81</w:t>
            </w:r>
          </w:p>
        </w:tc>
        <w:tc>
          <w:tcPr>
            <w:cnfStyle w:val="000100000000" w:firstRow="0" w:lastRow="0" w:firstColumn="0" w:lastColumn="1" w:oddVBand="0" w:evenVBand="0" w:oddHBand="0" w:evenHBand="0" w:firstRowFirstColumn="0" w:firstRowLastColumn="0" w:lastRowFirstColumn="0" w:lastRowLastColumn="0"/>
            <w:tcW w:w="1088" w:type="dxa"/>
          </w:tcPr>
          <w:p w14:paraId="08F9849A" w14:textId="77777777" w:rsidR="002E334D" w:rsidRPr="005F62F4" w:rsidRDefault="002E334D" w:rsidP="000D1A41">
            <w:pPr>
              <w:pStyle w:val="TableTextRight"/>
              <w:ind w:right="340"/>
              <w:rPr>
                <w:szCs w:val="18"/>
                <w:lang w:val="en-AU"/>
              </w:rPr>
            </w:pPr>
            <w:r w:rsidRPr="005F62F4">
              <w:rPr>
                <w:szCs w:val="18"/>
                <w:lang w:val="en-AU"/>
              </w:rPr>
              <w:t>2.80</w:t>
            </w:r>
          </w:p>
        </w:tc>
      </w:tr>
      <w:tr w:rsidR="008B3159" w:rsidRPr="005F62F4" w14:paraId="48C4E5AF" w14:textId="77777777" w:rsidTr="008B3159">
        <w:trPr>
          <w:cnfStyle w:val="010000000000" w:firstRow="0" w:lastRow="1" w:firstColumn="0" w:lastColumn="0" w:oddVBand="0" w:evenVBand="0" w:oddHBand="0"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993" w:type="dxa"/>
          </w:tcPr>
          <w:p w14:paraId="113E331F" w14:textId="77777777" w:rsidR="008B3159" w:rsidRPr="005F62F4" w:rsidRDefault="008B3159" w:rsidP="000D1A41">
            <w:pPr>
              <w:pStyle w:val="TableText"/>
              <w:rPr>
                <w:b w:val="0"/>
                <w:szCs w:val="18"/>
              </w:rPr>
            </w:pPr>
            <w:r w:rsidRPr="005F62F4">
              <w:rPr>
                <w:szCs w:val="18"/>
              </w:rPr>
              <w:t xml:space="preserve">Total </w:t>
            </w:r>
          </w:p>
        </w:tc>
        <w:tc>
          <w:tcPr>
            <w:tcW w:w="2409" w:type="dxa"/>
          </w:tcPr>
          <w:p w14:paraId="1A3BF65E" w14:textId="77777777" w:rsidR="008B3159" w:rsidRPr="005F62F4" w:rsidRDefault="008B3159" w:rsidP="000D1A41">
            <w:pPr>
              <w:pStyle w:val="TableText"/>
              <w:cnfStyle w:val="010000000000" w:firstRow="0" w:lastRow="1" w:firstColumn="0" w:lastColumn="0" w:oddVBand="0" w:evenVBand="0" w:oddHBand="0" w:evenHBand="0" w:firstRowFirstColumn="0" w:firstRowLastColumn="0" w:lastRowFirstColumn="0" w:lastRowLastColumn="0"/>
              <w:rPr>
                <w:b w:val="0"/>
                <w:szCs w:val="18"/>
              </w:rPr>
            </w:pPr>
          </w:p>
        </w:tc>
        <w:tc>
          <w:tcPr>
            <w:tcW w:w="1985" w:type="dxa"/>
          </w:tcPr>
          <w:p w14:paraId="7019A759" w14:textId="28098BA0" w:rsidR="008B3159" w:rsidRPr="005F62F4" w:rsidRDefault="008B3159" w:rsidP="000D1A41">
            <w:pPr>
              <w:pStyle w:val="TableText"/>
              <w:cnfStyle w:val="010000000000" w:firstRow="0" w:lastRow="1" w:firstColumn="0" w:lastColumn="0" w:oddVBand="0" w:evenVBand="0" w:oddHBand="0" w:evenHBand="0" w:firstRowFirstColumn="0" w:firstRowLastColumn="0" w:lastRowFirstColumn="0" w:lastRowLastColumn="0"/>
              <w:rPr>
                <w:szCs w:val="18"/>
              </w:rPr>
            </w:pPr>
          </w:p>
        </w:tc>
        <w:tc>
          <w:tcPr>
            <w:tcW w:w="1417" w:type="dxa"/>
          </w:tcPr>
          <w:p w14:paraId="2335E42A" w14:textId="77777777" w:rsidR="008B3159" w:rsidRPr="005F62F4" w:rsidRDefault="008B3159" w:rsidP="000D1A41">
            <w:pPr>
              <w:pStyle w:val="TableTextRight"/>
              <w:ind w:right="340"/>
              <w:cnfStyle w:val="010000000000" w:firstRow="0" w:lastRow="1" w:firstColumn="0" w:lastColumn="0" w:oddVBand="0" w:evenVBand="0" w:oddHBand="0" w:evenHBand="0" w:firstRowFirstColumn="0" w:firstRowLastColumn="0" w:lastRowFirstColumn="0" w:lastRowLastColumn="0"/>
              <w:rPr>
                <w:szCs w:val="18"/>
                <w:lang w:val="en-AU"/>
              </w:rPr>
            </w:pPr>
            <w:r w:rsidRPr="005F62F4">
              <w:rPr>
                <w:szCs w:val="18"/>
                <w:lang w:val="en-AU"/>
              </w:rPr>
              <w:t>3,909</w:t>
            </w:r>
          </w:p>
        </w:tc>
        <w:tc>
          <w:tcPr>
            <w:tcW w:w="1088" w:type="dxa"/>
          </w:tcPr>
          <w:p w14:paraId="657EE936" w14:textId="73CEA908" w:rsidR="008B3159" w:rsidRPr="005F62F4" w:rsidRDefault="008B3159" w:rsidP="000D1A41">
            <w:pPr>
              <w:pStyle w:val="TableTextRight"/>
              <w:keepNext/>
              <w:ind w:right="340"/>
              <w:cnfStyle w:val="010000000000" w:firstRow="0" w:lastRow="1" w:firstColumn="0" w:lastColumn="0" w:oddVBand="0" w:evenVBand="0" w:oddHBand="0" w:evenHBand="0" w:firstRowFirstColumn="0" w:firstRowLastColumn="0" w:lastRowFirstColumn="0" w:lastRowLastColumn="0"/>
              <w:rPr>
                <w:szCs w:val="18"/>
                <w:lang w:val="en-AU"/>
              </w:rPr>
            </w:pPr>
            <w:r w:rsidRPr="005F62F4">
              <w:rPr>
                <w:szCs w:val="18"/>
                <w:lang w:val="en-AU"/>
              </w:rPr>
              <w:t>10,682</w:t>
            </w:r>
          </w:p>
        </w:tc>
        <w:tc>
          <w:tcPr>
            <w:cnfStyle w:val="000100000000" w:firstRow="0" w:lastRow="0" w:firstColumn="0" w:lastColumn="1" w:oddVBand="0" w:evenVBand="0" w:oddHBand="0" w:evenHBand="0" w:firstRowFirstColumn="0" w:firstRowLastColumn="0" w:lastRowFirstColumn="0" w:lastRowLastColumn="0"/>
            <w:tcW w:w="1088" w:type="dxa"/>
          </w:tcPr>
          <w:p w14:paraId="50C5A12C" w14:textId="2065933F" w:rsidR="008B3159" w:rsidRPr="005F62F4" w:rsidRDefault="008B3159" w:rsidP="000D1A41">
            <w:pPr>
              <w:pStyle w:val="TableTextRight"/>
              <w:keepNext/>
              <w:ind w:right="340"/>
              <w:rPr>
                <w:szCs w:val="18"/>
                <w:lang w:val="en-AU"/>
              </w:rPr>
            </w:pPr>
          </w:p>
        </w:tc>
      </w:tr>
    </w:tbl>
    <w:p w14:paraId="77EF464B" w14:textId="04CA02DA" w:rsidR="00DC2FE0" w:rsidRPr="005F62F4" w:rsidRDefault="00DC2FE0" w:rsidP="00DC2FE0">
      <w:r w:rsidRPr="005F62F4">
        <w:br w:type="page"/>
      </w:r>
    </w:p>
    <w:p w14:paraId="23566900" w14:textId="7AFC9887" w:rsidR="002B56A7" w:rsidRPr="005F62F4" w:rsidRDefault="00E03A37" w:rsidP="004F2931">
      <w:pPr>
        <w:pStyle w:val="Heading3"/>
      </w:pPr>
      <w:bookmarkStart w:id="187" w:name="_Toc120178322"/>
      <w:r w:rsidRPr="005F62F4">
        <w:lastRenderedPageBreak/>
        <w:t>Utilisation</w:t>
      </w:r>
      <w:r w:rsidR="002B56A7" w:rsidRPr="005F62F4">
        <w:t xml:space="preserve"> by ICD</w:t>
      </w:r>
      <w:r w:rsidR="006F1B32" w:rsidRPr="005F62F4">
        <w:t xml:space="preserve"> </w:t>
      </w:r>
      <w:r w:rsidR="000A02CF" w:rsidRPr="005F62F4">
        <w:t>classification</w:t>
      </w:r>
      <w:bookmarkEnd w:id="187"/>
    </w:p>
    <w:p w14:paraId="4333D85D" w14:textId="369CD07A" w:rsidR="00592BB7" w:rsidRPr="005F62F4" w:rsidRDefault="00CE7FE1" w:rsidP="00592BB7">
      <w:pPr>
        <w:pStyle w:val="Para"/>
        <w:rPr>
          <w:lang w:eastAsia="en-AU"/>
        </w:rPr>
      </w:pPr>
      <w:r w:rsidRPr="005F62F4">
        <w:rPr>
          <w:lang w:eastAsia="en-AU"/>
        </w:rPr>
        <w:t>The vast majority of</w:t>
      </w:r>
      <w:r w:rsidRPr="005F62F4">
        <w:t xml:space="preserve"> surgical guide and </w:t>
      </w:r>
      <w:proofErr w:type="spellStart"/>
      <w:r w:rsidRPr="005F62F4">
        <w:t>biomodel</w:t>
      </w:r>
      <w:proofErr w:type="spellEnd"/>
      <w:r w:rsidRPr="005F62F4">
        <w:t xml:space="preserve"> use </w:t>
      </w:r>
      <w:r w:rsidR="009D1522" w:rsidRPr="005F62F4">
        <w:t xml:space="preserve">was </w:t>
      </w:r>
      <w:r w:rsidR="00E63FFA" w:rsidRPr="005F62F4">
        <w:t>associated with</w:t>
      </w:r>
      <w:r w:rsidR="00AB1249" w:rsidRPr="005F62F4">
        <w:t xml:space="preserve"> </w:t>
      </w:r>
      <w:r w:rsidR="00CC0C54" w:rsidRPr="005F62F4">
        <w:t>dentofacial anomalies (including malocclusion)</w:t>
      </w:r>
      <w:r w:rsidR="009F11CC" w:rsidRPr="005F62F4">
        <w:t xml:space="preserve"> (M</w:t>
      </w:r>
      <w:r w:rsidR="0053729D" w:rsidRPr="005F62F4">
        <w:t>26)</w:t>
      </w:r>
      <w:r w:rsidR="00CC0C54" w:rsidRPr="005F62F4">
        <w:t>.</w:t>
      </w:r>
      <w:r w:rsidR="00CC0C54" w:rsidRPr="005F62F4">
        <w:rPr>
          <w:lang w:eastAsia="en-AU"/>
        </w:rPr>
        <w:t xml:space="preserve"> </w:t>
      </w:r>
      <w:r w:rsidR="005B080F" w:rsidRPr="005F62F4">
        <w:rPr>
          <w:lang w:eastAsia="en-AU"/>
        </w:rPr>
        <w:t>Between 2016–17 and 2018–19</w:t>
      </w:r>
      <w:r w:rsidR="00CC7B18" w:rsidRPr="005F62F4">
        <w:rPr>
          <w:lang w:eastAsia="en-AU"/>
        </w:rPr>
        <w:t xml:space="preserve">, </w:t>
      </w:r>
      <w:r w:rsidR="005B080F" w:rsidRPr="005F62F4">
        <w:rPr>
          <w:lang w:eastAsia="en-AU"/>
        </w:rPr>
        <w:t>anomalies of jaw-cranial base relationship</w:t>
      </w:r>
      <w:r w:rsidR="00082751" w:rsidRPr="005F62F4">
        <w:rPr>
          <w:lang w:eastAsia="en-AU"/>
        </w:rPr>
        <w:t xml:space="preserve"> (M26.</w:t>
      </w:r>
      <w:r w:rsidR="00314E1B" w:rsidRPr="005F62F4">
        <w:rPr>
          <w:lang w:eastAsia="en-AU"/>
        </w:rPr>
        <w:t>10</w:t>
      </w:r>
      <w:r w:rsidR="00082751" w:rsidRPr="005F62F4">
        <w:rPr>
          <w:lang w:eastAsia="en-AU"/>
        </w:rPr>
        <w:t>) was most common</w:t>
      </w:r>
      <w:r w:rsidR="0036775E" w:rsidRPr="005F62F4">
        <w:rPr>
          <w:lang w:eastAsia="en-AU"/>
        </w:rPr>
        <w:t>,</w:t>
      </w:r>
      <w:r w:rsidR="00082751" w:rsidRPr="005F62F4">
        <w:rPr>
          <w:lang w:eastAsia="en-AU"/>
        </w:rPr>
        <w:t xml:space="preserve"> accounting for around one-third of surgical guide and </w:t>
      </w:r>
      <w:proofErr w:type="spellStart"/>
      <w:r w:rsidR="00082751" w:rsidRPr="005F62F4">
        <w:rPr>
          <w:lang w:eastAsia="en-AU"/>
        </w:rPr>
        <w:t>biomodel</w:t>
      </w:r>
      <w:proofErr w:type="spellEnd"/>
      <w:r w:rsidR="00082751" w:rsidRPr="005F62F4">
        <w:rPr>
          <w:lang w:eastAsia="en-AU"/>
        </w:rPr>
        <w:t xml:space="preserve"> use</w:t>
      </w:r>
      <w:r w:rsidR="00E5706D" w:rsidRPr="005F62F4">
        <w:rPr>
          <w:lang w:eastAsia="en-AU"/>
        </w:rPr>
        <w:t xml:space="preserve"> (</w:t>
      </w:r>
      <w:r w:rsidR="00B9402F" w:rsidRPr="005F62F4">
        <w:rPr>
          <w:lang w:eastAsia="en-AU"/>
        </w:rPr>
        <w:fldChar w:fldCharType="begin"/>
      </w:r>
      <w:r w:rsidR="00B9402F" w:rsidRPr="005F62F4">
        <w:rPr>
          <w:lang w:eastAsia="en-AU"/>
        </w:rPr>
        <w:instrText xml:space="preserve"> REF _Ref119871364 \h </w:instrText>
      </w:r>
      <w:r w:rsidR="005F62F4">
        <w:rPr>
          <w:lang w:eastAsia="en-AU"/>
        </w:rPr>
        <w:instrText xml:space="preserve"> \* MERGEFORMAT </w:instrText>
      </w:r>
      <w:r w:rsidR="00B9402F" w:rsidRPr="005F62F4">
        <w:rPr>
          <w:lang w:eastAsia="en-AU"/>
        </w:rPr>
      </w:r>
      <w:r w:rsidR="00B9402F" w:rsidRPr="005F62F4">
        <w:rPr>
          <w:lang w:eastAsia="en-AU"/>
        </w:rPr>
        <w:fldChar w:fldCharType="separate"/>
      </w:r>
      <w:r w:rsidR="005606BF" w:rsidRPr="005F62F4">
        <w:t>Table </w:t>
      </w:r>
      <w:r w:rsidR="005606BF">
        <w:t>12</w:t>
      </w:r>
      <w:r w:rsidR="00B9402F" w:rsidRPr="005F62F4">
        <w:rPr>
          <w:lang w:eastAsia="en-AU"/>
        </w:rPr>
        <w:fldChar w:fldCharType="end"/>
      </w:r>
      <w:r w:rsidR="00E5706D" w:rsidRPr="005F62F4">
        <w:rPr>
          <w:lang w:eastAsia="en-AU"/>
        </w:rPr>
        <w:t>).</w:t>
      </w:r>
      <w:r w:rsidR="005B080F" w:rsidRPr="005F62F4">
        <w:rPr>
          <w:lang w:eastAsia="en-AU"/>
        </w:rPr>
        <w:t xml:space="preserve"> </w:t>
      </w:r>
      <w:r w:rsidR="006F0DA1" w:rsidRPr="005F62F4">
        <w:rPr>
          <w:lang w:eastAsia="en-AU"/>
        </w:rPr>
        <w:t>U</w:t>
      </w:r>
      <w:r w:rsidR="005B080F" w:rsidRPr="005F62F4">
        <w:rPr>
          <w:lang w:eastAsia="en-AU"/>
        </w:rPr>
        <w:t>nspecified dentofacial anomalies (M26.5)</w:t>
      </w:r>
      <w:r w:rsidR="00E5706D" w:rsidRPr="005F62F4">
        <w:rPr>
          <w:lang w:eastAsia="en-AU"/>
        </w:rPr>
        <w:t xml:space="preserve"> h</w:t>
      </w:r>
      <w:r w:rsidR="00195850" w:rsidRPr="005F62F4">
        <w:rPr>
          <w:lang w:eastAsia="en-AU"/>
        </w:rPr>
        <w:t xml:space="preserve">ave since gained </w:t>
      </w:r>
      <w:r w:rsidR="008B553A" w:rsidRPr="005F62F4">
        <w:rPr>
          <w:lang w:eastAsia="en-AU"/>
        </w:rPr>
        <w:t>prominence</w:t>
      </w:r>
      <w:r w:rsidR="00195850" w:rsidRPr="005F62F4">
        <w:rPr>
          <w:lang w:eastAsia="en-AU"/>
        </w:rPr>
        <w:t xml:space="preserve"> and were </w:t>
      </w:r>
      <w:r w:rsidR="00CC2997" w:rsidRPr="005F62F4">
        <w:rPr>
          <w:lang w:eastAsia="en-AU"/>
        </w:rPr>
        <w:t>the primary classification recorded in 2021–22</w:t>
      </w:r>
      <w:r w:rsidR="004C1FE0" w:rsidRPr="005F62F4">
        <w:rPr>
          <w:lang w:eastAsia="en-AU"/>
        </w:rPr>
        <w:t>, accoun</w:t>
      </w:r>
      <w:r w:rsidR="006A0B6A" w:rsidRPr="005F62F4">
        <w:rPr>
          <w:lang w:eastAsia="en-AU"/>
        </w:rPr>
        <w:t xml:space="preserve">ting for 14% of </w:t>
      </w:r>
      <w:r w:rsidR="00037DC2" w:rsidRPr="005F62F4">
        <w:rPr>
          <w:lang w:eastAsia="en-AU"/>
        </w:rPr>
        <w:t xml:space="preserve">surgical guide and </w:t>
      </w:r>
      <w:proofErr w:type="spellStart"/>
      <w:r w:rsidR="00037DC2" w:rsidRPr="005F62F4">
        <w:rPr>
          <w:lang w:eastAsia="en-AU"/>
        </w:rPr>
        <w:t>biomodel</w:t>
      </w:r>
      <w:proofErr w:type="spellEnd"/>
      <w:r w:rsidR="00037DC2" w:rsidRPr="005F62F4">
        <w:rPr>
          <w:lang w:eastAsia="en-AU"/>
        </w:rPr>
        <w:t xml:space="preserve"> use</w:t>
      </w:r>
      <w:r w:rsidR="00CC2997" w:rsidRPr="005F62F4">
        <w:rPr>
          <w:lang w:eastAsia="en-AU"/>
        </w:rPr>
        <w:t>.</w:t>
      </w:r>
    </w:p>
    <w:p w14:paraId="1DC2DC32" w14:textId="02829012" w:rsidR="00847DAD" w:rsidRPr="005F62F4" w:rsidRDefault="00E56C05" w:rsidP="00847DAD">
      <w:pPr>
        <w:pStyle w:val="Caption"/>
      </w:pPr>
      <w:bookmarkStart w:id="188" w:name="_Ref119871364"/>
      <w:bookmarkStart w:id="189" w:name="_Toc129954649"/>
      <w:r w:rsidRPr="005F62F4">
        <w:t>Table </w:t>
      </w:r>
      <w:r w:rsidRPr="005F62F4">
        <w:fldChar w:fldCharType="begin"/>
      </w:r>
      <w:r w:rsidRPr="005F62F4">
        <w:instrText>SEQ Table \* ARABIC</w:instrText>
      </w:r>
      <w:r w:rsidRPr="005F62F4">
        <w:fldChar w:fldCharType="separate"/>
      </w:r>
      <w:r w:rsidR="005606BF">
        <w:rPr>
          <w:noProof/>
        </w:rPr>
        <w:t>12</w:t>
      </w:r>
      <w:r w:rsidRPr="005F62F4">
        <w:fldChar w:fldCharType="end"/>
      </w:r>
      <w:bookmarkEnd w:id="188"/>
      <w:r w:rsidR="00847DAD" w:rsidRPr="005F62F4">
        <w:t>: Combined</w:t>
      </w:r>
      <w:r w:rsidR="004121AD" w:rsidRPr="005F62F4">
        <w:t xml:space="preserve"> </w:t>
      </w:r>
      <w:r w:rsidR="00847DAD" w:rsidRPr="005F62F4">
        <w:t xml:space="preserve">surgical guides and </w:t>
      </w:r>
      <w:proofErr w:type="spellStart"/>
      <w:r w:rsidR="00847DAD" w:rsidRPr="005F62F4">
        <w:t>biomodels</w:t>
      </w:r>
      <w:proofErr w:type="spellEnd"/>
      <w:r w:rsidR="00847DAD" w:rsidRPr="005F62F4">
        <w:t xml:space="preserve"> utilisation by</w:t>
      </w:r>
      <w:r w:rsidR="00DC597C" w:rsidRPr="005F62F4">
        <w:t xml:space="preserve"> </w:t>
      </w:r>
      <w:r w:rsidR="00847DAD" w:rsidRPr="005F62F4">
        <w:t>ICD code</w:t>
      </w:r>
      <w:r w:rsidR="00DC597C" w:rsidRPr="005F62F4">
        <w:t>s</w:t>
      </w:r>
      <w:r w:rsidR="00847DAD" w:rsidRPr="005F62F4">
        <w:t>, by financial year</w:t>
      </w:r>
      <w:bookmarkEnd w:id="189"/>
    </w:p>
    <w:tbl>
      <w:tblPr>
        <w:tblStyle w:val="SGB"/>
        <w:tblW w:w="5000" w:type="pct"/>
        <w:tblLook w:val="0420" w:firstRow="1" w:lastRow="0" w:firstColumn="0" w:lastColumn="0" w:noHBand="0" w:noVBand="1"/>
      </w:tblPr>
      <w:tblGrid>
        <w:gridCol w:w="3545"/>
        <w:gridCol w:w="1158"/>
        <w:gridCol w:w="1158"/>
        <w:gridCol w:w="1157"/>
        <w:gridCol w:w="1157"/>
        <w:gridCol w:w="1157"/>
      </w:tblGrid>
      <w:tr w:rsidR="00B644BB" w:rsidRPr="005F62F4" w14:paraId="784659B1" w14:textId="77777777" w:rsidTr="00083CA8">
        <w:trPr>
          <w:cnfStyle w:val="100000000000" w:firstRow="1" w:lastRow="0" w:firstColumn="0" w:lastColumn="0" w:oddVBand="0" w:evenVBand="0" w:oddHBand="0" w:evenHBand="0" w:firstRowFirstColumn="0" w:firstRowLastColumn="0" w:lastRowFirstColumn="0" w:lastRowLastColumn="0"/>
          <w:trHeight w:val="411"/>
        </w:trPr>
        <w:tc>
          <w:tcPr>
            <w:tcW w:w="1899" w:type="pct"/>
          </w:tcPr>
          <w:p w14:paraId="2C5227AA" w14:textId="34C58330" w:rsidR="003D1E32" w:rsidRPr="005F62F4" w:rsidRDefault="000A02CF" w:rsidP="00945CA9">
            <w:pPr>
              <w:pStyle w:val="TableText"/>
            </w:pPr>
            <w:bookmarkStart w:id="190" w:name="Title_14" w:colFirst="0" w:colLast="0"/>
            <w:r w:rsidRPr="005F62F4">
              <w:t>ICD classification</w:t>
            </w:r>
          </w:p>
        </w:tc>
        <w:tc>
          <w:tcPr>
            <w:tcW w:w="620" w:type="pct"/>
          </w:tcPr>
          <w:p w14:paraId="66C86B57" w14:textId="30361E8D" w:rsidR="003D1E32" w:rsidRPr="005F62F4" w:rsidRDefault="007067D1" w:rsidP="00945CA9">
            <w:pPr>
              <w:pStyle w:val="TableTextRight"/>
              <w:rPr>
                <w:lang w:val="en-AU"/>
              </w:rPr>
            </w:pPr>
            <w:r w:rsidRPr="005F62F4">
              <w:rPr>
                <w:lang w:val="en-AU"/>
              </w:rPr>
              <w:t>2016–</w:t>
            </w:r>
            <w:r w:rsidR="003D1E32" w:rsidRPr="005F62F4">
              <w:rPr>
                <w:lang w:val="en-AU"/>
              </w:rPr>
              <w:t>17</w:t>
            </w:r>
          </w:p>
        </w:tc>
        <w:tc>
          <w:tcPr>
            <w:tcW w:w="620" w:type="pct"/>
          </w:tcPr>
          <w:p w14:paraId="31CAC67E" w14:textId="632191BC" w:rsidR="003D1E32" w:rsidRPr="005F62F4" w:rsidRDefault="007067D1" w:rsidP="00945CA9">
            <w:pPr>
              <w:pStyle w:val="TableTextRight"/>
              <w:rPr>
                <w:lang w:val="en-AU"/>
              </w:rPr>
            </w:pPr>
            <w:r w:rsidRPr="005F62F4">
              <w:rPr>
                <w:lang w:val="en-AU"/>
              </w:rPr>
              <w:t>2017–</w:t>
            </w:r>
            <w:r w:rsidR="003D1E32" w:rsidRPr="005F62F4">
              <w:rPr>
                <w:lang w:val="en-AU"/>
              </w:rPr>
              <w:t>18</w:t>
            </w:r>
          </w:p>
        </w:tc>
        <w:tc>
          <w:tcPr>
            <w:tcW w:w="620" w:type="pct"/>
          </w:tcPr>
          <w:p w14:paraId="4B2D9A1A" w14:textId="56A40C1B" w:rsidR="003D1E32" w:rsidRPr="005F62F4" w:rsidRDefault="007067D1" w:rsidP="00945CA9">
            <w:pPr>
              <w:pStyle w:val="TableTextRight"/>
              <w:rPr>
                <w:lang w:val="en-AU"/>
              </w:rPr>
            </w:pPr>
            <w:r w:rsidRPr="005F62F4">
              <w:rPr>
                <w:lang w:val="en-AU"/>
              </w:rPr>
              <w:t>2018–</w:t>
            </w:r>
            <w:r w:rsidR="003D1E32" w:rsidRPr="005F62F4">
              <w:rPr>
                <w:lang w:val="en-AU"/>
              </w:rPr>
              <w:t>19</w:t>
            </w:r>
          </w:p>
        </w:tc>
        <w:tc>
          <w:tcPr>
            <w:tcW w:w="620" w:type="pct"/>
          </w:tcPr>
          <w:p w14:paraId="2F7DB87B" w14:textId="57A7C240" w:rsidR="003D1E32" w:rsidRPr="005F62F4" w:rsidRDefault="007067D1" w:rsidP="00945CA9">
            <w:pPr>
              <w:pStyle w:val="TableTextRight"/>
              <w:rPr>
                <w:lang w:val="en-AU"/>
              </w:rPr>
            </w:pPr>
            <w:r w:rsidRPr="005F62F4">
              <w:rPr>
                <w:lang w:val="en-AU"/>
              </w:rPr>
              <w:t>2019–</w:t>
            </w:r>
            <w:r w:rsidR="003D1E32" w:rsidRPr="005F62F4">
              <w:rPr>
                <w:lang w:val="en-AU"/>
              </w:rPr>
              <w:t>20</w:t>
            </w:r>
          </w:p>
        </w:tc>
        <w:tc>
          <w:tcPr>
            <w:tcW w:w="620" w:type="pct"/>
          </w:tcPr>
          <w:p w14:paraId="051B02C8" w14:textId="45047CB3" w:rsidR="003D1E32" w:rsidRPr="005F62F4" w:rsidRDefault="007067D1" w:rsidP="00945CA9">
            <w:pPr>
              <w:pStyle w:val="TableTextRight"/>
              <w:rPr>
                <w:lang w:val="en-AU"/>
              </w:rPr>
            </w:pPr>
            <w:r w:rsidRPr="005F62F4">
              <w:rPr>
                <w:lang w:val="en-AU"/>
              </w:rPr>
              <w:t>2020–</w:t>
            </w:r>
            <w:r w:rsidR="003D1E32" w:rsidRPr="005F62F4">
              <w:rPr>
                <w:lang w:val="en-AU"/>
              </w:rPr>
              <w:t>21</w:t>
            </w:r>
          </w:p>
        </w:tc>
      </w:tr>
      <w:bookmarkEnd w:id="190"/>
      <w:tr w:rsidR="003D1E32" w:rsidRPr="005F62F4" w14:paraId="4C12AD84" w14:textId="77777777" w:rsidTr="00083CA8">
        <w:trPr>
          <w:trHeight w:val="170"/>
        </w:trPr>
        <w:tc>
          <w:tcPr>
            <w:tcW w:w="1899" w:type="pct"/>
          </w:tcPr>
          <w:p w14:paraId="1A372DB9" w14:textId="0A9DE30B" w:rsidR="003D1E32" w:rsidRPr="005F62F4" w:rsidRDefault="003D1E32" w:rsidP="00945CA9">
            <w:pPr>
              <w:pStyle w:val="TableText"/>
              <w:rPr>
                <w:rFonts w:cstheme="minorHAnsi"/>
              </w:rPr>
            </w:pPr>
            <w:r w:rsidRPr="005F62F4">
              <w:rPr>
                <w:rFonts w:cstheme="minorHAnsi"/>
                <w:color w:val="000000"/>
              </w:rPr>
              <w:t>Dentofacial anomaly, unspecified (M26.5)</w:t>
            </w:r>
          </w:p>
        </w:tc>
        <w:tc>
          <w:tcPr>
            <w:tcW w:w="620" w:type="pct"/>
          </w:tcPr>
          <w:p w14:paraId="51E1C89B" w14:textId="677367D0" w:rsidR="003D1E32" w:rsidRPr="005F62F4" w:rsidRDefault="00B50DF1" w:rsidP="00945CA9">
            <w:pPr>
              <w:pStyle w:val="TableTextRight"/>
              <w:rPr>
                <w:rFonts w:cstheme="minorHAnsi"/>
                <w:lang w:val="en-AU"/>
              </w:rPr>
            </w:pPr>
            <w:r w:rsidRPr="001E5E40">
              <w:rPr>
                <w:sz w:val="17"/>
                <w:szCs w:val="17"/>
              </w:rPr>
              <w:t>[redacted]</w:t>
            </w:r>
          </w:p>
        </w:tc>
        <w:tc>
          <w:tcPr>
            <w:tcW w:w="620" w:type="pct"/>
          </w:tcPr>
          <w:p w14:paraId="5DD9B733" w14:textId="77777777" w:rsidR="003D1E32" w:rsidRPr="005F62F4" w:rsidRDefault="003D1E32" w:rsidP="00945CA9">
            <w:pPr>
              <w:pStyle w:val="TableTextRight"/>
              <w:rPr>
                <w:rFonts w:cstheme="minorHAnsi"/>
                <w:lang w:val="en-AU"/>
              </w:rPr>
            </w:pPr>
            <w:r w:rsidRPr="005F62F4">
              <w:rPr>
                <w:rFonts w:cstheme="minorHAnsi"/>
                <w:lang w:val="en-AU"/>
              </w:rPr>
              <w:t>258</w:t>
            </w:r>
          </w:p>
        </w:tc>
        <w:tc>
          <w:tcPr>
            <w:tcW w:w="620" w:type="pct"/>
          </w:tcPr>
          <w:p w14:paraId="04561804" w14:textId="77777777" w:rsidR="003D1E32" w:rsidRPr="005F62F4" w:rsidRDefault="003D1E32" w:rsidP="00945CA9">
            <w:pPr>
              <w:pStyle w:val="TableTextRight"/>
              <w:rPr>
                <w:rFonts w:cstheme="minorHAnsi"/>
                <w:lang w:val="en-AU"/>
              </w:rPr>
            </w:pPr>
            <w:r w:rsidRPr="005F62F4">
              <w:rPr>
                <w:rFonts w:cstheme="minorHAnsi"/>
                <w:lang w:val="en-AU"/>
              </w:rPr>
              <w:t>443</w:t>
            </w:r>
          </w:p>
        </w:tc>
        <w:tc>
          <w:tcPr>
            <w:tcW w:w="620" w:type="pct"/>
          </w:tcPr>
          <w:p w14:paraId="75E407EC" w14:textId="77777777" w:rsidR="003D1E32" w:rsidRPr="005F62F4" w:rsidRDefault="003D1E32" w:rsidP="00945CA9">
            <w:pPr>
              <w:pStyle w:val="TableTextRight"/>
              <w:rPr>
                <w:rFonts w:cstheme="minorHAnsi"/>
                <w:lang w:val="en-AU"/>
              </w:rPr>
            </w:pPr>
            <w:r w:rsidRPr="005F62F4">
              <w:rPr>
                <w:rFonts w:cstheme="minorHAnsi"/>
                <w:lang w:val="en-AU"/>
              </w:rPr>
              <w:t>633</w:t>
            </w:r>
          </w:p>
        </w:tc>
        <w:tc>
          <w:tcPr>
            <w:tcW w:w="620" w:type="pct"/>
          </w:tcPr>
          <w:p w14:paraId="4810EAF6" w14:textId="02393AD0" w:rsidR="003D1E32" w:rsidRPr="005F62F4" w:rsidRDefault="003D1E32" w:rsidP="00945CA9">
            <w:pPr>
              <w:pStyle w:val="TableTextRight"/>
              <w:rPr>
                <w:rFonts w:cstheme="minorHAnsi"/>
                <w:lang w:val="en-AU"/>
              </w:rPr>
            </w:pPr>
            <w:r w:rsidRPr="005F62F4">
              <w:rPr>
                <w:rFonts w:cstheme="minorHAnsi"/>
                <w:lang w:val="en-AU"/>
              </w:rPr>
              <w:t>1</w:t>
            </w:r>
            <w:r w:rsidR="00F0630F" w:rsidRPr="005F62F4">
              <w:rPr>
                <w:rFonts w:cstheme="minorHAnsi"/>
                <w:lang w:val="en-AU"/>
              </w:rPr>
              <w:t>,</w:t>
            </w:r>
            <w:r w:rsidRPr="005F62F4">
              <w:rPr>
                <w:rFonts w:cstheme="minorHAnsi"/>
                <w:lang w:val="en-AU"/>
              </w:rPr>
              <w:t>066</w:t>
            </w:r>
          </w:p>
        </w:tc>
      </w:tr>
      <w:tr w:rsidR="003D1E32" w:rsidRPr="005F62F4" w14:paraId="3899197E" w14:textId="77777777" w:rsidTr="00083CA8">
        <w:trPr>
          <w:cnfStyle w:val="000000010000" w:firstRow="0" w:lastRow="0" w:firstColumn="0" w:lastColumn="0" w:oddVBand="0" w:evenVBand="0" w:oddHBand="0" w:evenHBand="1" w:firstRowFirstColumn="0" w:firstRowLastColumn="0" w:lastRowFirstColumn="0" w:lastRowLastColumn="0"/>
          <w:trHeight w:val="170"/>
        </w:trPr>
        <w:tc>
          <w:tcPr>
            <w:tcW w:w="1899" w:type="pct"/>
          </w:tcPr>
          <w:p w14:paraId="03978C1B" w14:textId="77777777" w:rsidR="003D1E32" w:rsidRPr="005F62F4" w:rsidRDefault="003D1E32" w:rsidP="00083CA8">
            <w:pPr>
              <w:pStyle w:val="TableText"/>
              <w:rPr>
                <w:rFonts w:cstheme="minorHAnsi"/>
                <w:color w:val="000000"/>
              </w:rPr>
            </w:pPr>
            <w:r w:rsidRPr="005F62F4">
              <w:rPr>
                <w:rFonts w:cstheme="minorHAnsi"/>
                <w:color w:val="000000"/>
              </w:rPr>
              <w:t>Anomalies of jaw-cranial base relationship (M26.10)</w:t>
            </w:r>
          </w:p>
        </w:tc>
        <w:tc>
          <w:tcPr>
            <w:tcW w:w="620" w:type="pct"/>
          </w:tcPr>
          <w:p w14:paraId="67E6918B" w14:textId="489D2A6C" w:rsidR="003D1E32" w:rsidRPr="005F62F4" w:rsidRDefault="00B50DF1" w:rsidP="00945CA9">
            <w:pPr>
              <w:pStyle w:val="TableTextRight"/>
              <w:rPr>
                <w:rFonts w:cstheme="minorHAnsi"/>
                <w:lang w:val="en-AU"/>
              </w:rPr>
            </w:pPr>
            <w:r w:rsidRPr="001E5E40">
              <w:rPr>
                <w:sz w:val="17"/>
                <w:szCs w:val="17"/>
              </w:rPr>
              <w:t>[redacted]</w:t>
            </w:r>
          </w:p>
        </w:tc>
        <w:tc>
          <w:tcPr>
            <w:tcW w:w="620" w:type="pct"/>
          </w:tcPr>
          <w:p w14:paraId="136A6202" w14:textId="77777777" w:rsidR="003D1E32" w:rsidRPr="005F62F4" w:rsidRDefault="003D1E32" w:rsidP="00945CA9">
            <w:pPr>
              <w:pStyle w:val="TableTextRight"/>
              <w:rPr>
                <w:rFonts w:cstheme="minorHAnsi"/>
                <w:lang w:val="en-AU"/>
              </w:rPr>
            </w:pPr>
            <w:r w:rsidRPr="005F62F4">
              <w:rPr>
                <w:rFonts w:cstheme="minorHAnsi"/>
                <w:lang w:val="en-AU"/>
              </w:rPr>
              <w:t>462</w:t>
            </w:r>
          </w:p>
        </w:tc>
        <w:tc>
          <w:tcPr>
            <w:tcW w:w="620" w:type="pct"/>
          </w:tcPr>
          <w:p w14:paraId="733E9867" w14:textId="77777777" w:rsidR="003D1E32" w:rsidRPr="005F62F4" w:rsidRDefault="003D1E32" w:rsidP="00945CA9">
            <w:pPr>
              <w:pStyle w:val="TableTextRight"/>
              <w:rPr>
                <w:rFonts w:cstheme="minorHAnsi"/>
                <w:lang w:val="en-AU"/>
              </w:rPr>
            </w:pPr>
            <w:r w:rsidRPr="005F62F4">
              <w:rPr>
                <w:rFonts w:cstheme="minorHAnsi"/>
                <w:lang w:val="en-AU"/>
              </w:rPr>
              <w:t>743</w:t>
            </w:r>
          </w:p>
        </w:tc>
        <w:tc>
          <w:tcPr>
            <w:tcW w:w="620" w:type="pct"/>
          </w:tcPr>
          <w:p w14:paraId="436991AB" w14:textId="77777777" w:rsidR="003D1E32" w:rsidRPr="005F62F4" w:rsidRDefault="003D1E32" w:rsidP="00945CA9">
            <w:pPr>
              <w:pStyle w:val="TableTextRight"/>
              <w:rPr>
                <w:rFonts w:cstheme="minorHAnsi"/>
                <w:lang w:val="en-AU"/>
              </w:rPr>
            </w:pPr>
            <w:r w:rsidRPr="005F62F4">
              <w:rPr>
                <w:rFonts w:cstheme="minorHAnsi"/>
                <w:lang w:val="en-AU"/>
              </w:rPr>
              <w:t>625</w:t>
            </w:r>
          </w:p>
        </w:tc>
        <w:tc>
          <w:tcPr>
            <w:tcW w:w="620" w:type="pct"/>
          </w:tcPr>
          <w:p w14:paraId="4406167A" w14:textId="77777777" w:rsidR="003D1E32" w:rsidRPr="005F62F4" w:rsidRDefault="003D1E32" w:rsidP="00945CA9">
            <w:pPr>
              <w:pStyle w:val="TableTextRight"/>
              <w:rPr>
                <w:rFonts w:cstheme="minorHAnsi"/>
                <w:lang w:val="en-AU"/>
              </w:rPr>
            </w:pPr>
            <w:r w:rsidRPr="005F62F4">
              <w:rPr>
                <w:rFonts w:cstheme="minorHAnsi"/>
                <w:lang w:val="en-AU"/>
              </w:rPr>
              <w:t>881</w:t>
            </w:r>
          </w:p>
        </w:tc>
      </w:tr>
      <w:tr w:rsidR="003D1E32" w:rsidRPr="005F62F4" w14:paraId="666FB233" w14:textId="77777777" w:rsidTr="00083CA8">
        <w:trPr>
          <w:trHeight w:val="170"/>
        </w:trPr>
        <w:tc>
          <w:tcPr>
            <w:tcW w:w="1899" w:type="pct"/>
          </w:tcPr>
          <w:p w14:paraId="47E941CC" w14:textId="493A5C0D" w:rsidR="003D1E32" w:rsidRPr="005F62F4" w:rsidRDefault="003D1E32" w:rsidP="00945CA9">
            <w:pPr>
              <w:pStyle w:val="TableText"/>
              <w:rPr>
                <w:rFonts w:cstheme="minorHAnsi"/>
              </w:rPr>
            </w:pPr>
            <w:r w:rsidRPr="005F62F4">
              <w:rPr>
                <w:rFonts w:cstheme="minorHAnsi"/>
                <w:color w:val="000000"/>
              </w:rPr>
              <w:t>Temporomandibular joint disorders (M26.6)</w:t>
            </w:r>
          </w:p>
        </w:tc>
        <w:tc>
          <w:tcPr>
            <w:tcW w:w="620" w:type="pct"/>
          </w:tcPr>
          <w:p w14:paraId="5A8E025A" w14:textId="4016DADC" w:rsidR="003D1E32" w:rsidRPr="005F62F4" w:rsidRDefault="00B50DF1" w:rsidP="00945CA9">
            <w:pPr>
              <w:pStyle w:val="TableTextRight"/>
              <w:rPr>
                <w:rFonts w:cstheme="minorHAnsi"/>
                <w:lang w:val="en-AU"/>
              </w:rPr>
            </w:pPr>
            <w:r w:rsidRPr="001E5E40">
              <w:rPr>
                <w:sz w:val="17"/>
                <w:szCs w:val="17"/>
              </w:rPr>
              <w:t>[redacted]</w:t>
            </w:r>
          </w:p>
        </w:tc>
        <w:tc>
          <w:tcPr>
            <w:tcW w:w="620" w:type="pct"/>
          </w:tcPr>
          <w:p w14:paraId="14FD2F55" w14:textId="77777777" w:rsidR="003D1E32" w:rsidRPr="005F62F4" w:rsidRDefault="003D1E32" w:rsidP="00945CA9">
            <w:pPr>
              <w:pStyle w:val="TableTextRight"/>
              <w:rPr>
                <w:rFonts w:cstheme="minorHAnsi"/>
                <w:lang w:val="en-AU"/>
              </w:rPr>
            </w:pPr>
            <w:r w:rsidRPr="005F62F4">
              <w:rPr>
                <w:rFonts w:cstheme="minorHAnsi"/>
                <w:lang w:val="en-AU"/>
              </w:rPr>
              <w:t>74</w:t>
            </w:r>
          </w:p>
        </w:tc>
        <w:tc>
          <w:tcPr>
            <w:tcW w:w="620" w:type="pct"/>
          </w:tcPr>
          <w:p w14:paraId="500D944A" w14:textId="77777777" w:rsidR="003D1E32" w:rsidRPr="005F62F4" w:rsidRDefault="003D1E32" w:rsidP="00945CA9">
            <w:pPr>
              <w:pStyle w:val="TableTextRight"/>
              <w:rPr>
                <w:rFonts w:cstheme="minorHAnsi"/>
                <w:lang w:val="en-AU"/>
              </w:rPr>
            </w:pPr>
            <w:r w:rsidRPr="005F62F4">
              <w:rPr>
                <w:rFonts w:cstheme="minorHAnsi"/>
                <w:lang w:val="en-AU"/>
              </w:rPr>
              <w:t>140</w:t>
            </w:r>
          </w:p>
        </w:tc>
        <w:tc>
          <w:tcPr>
            <w:tcW w:w="620" w:type="pct"/>
          </w:tcPr>
          <w:p w14:paraId="33FEAE81" w14:textId="77777777" w:rsidR="003D1E32" w:rsidRPr="005F62F4" w:rsidRDefault="003D1E32" w:rsidP="00945CA9">
            <w:pPr>
              <w:pStyle w:val="TableTextRight"/>
              <w:rPr>
                <w:rFonts w:cstheme="minorHAnsi"/>
                <w:lang w:val="en-AU"/>
              </w:rPr>
            </w:pPr>
            <w:r w:rsidRPr="005F62F4">
              <w:rPr>
                <w:rFonts w:cstheme="minorHAnsi"/>
                <w:lang w:val="en-AU"/>
              </w:rPr>
              <w:t>347</w:t>
            </w:r>
          </w:p>
        </w:tc>
        <w:tc>
          <w:tcPr>
            <w:tcW w:w="620" w:type="pct"/>
          </w:tcPr>
          <w:p w14:paraId="4C79599D" w14:textId="77777777" w:rsidR="003D1E32" w:rsidRPr="005F62F4" w:rsidRDefault="003D1E32" w:rsidP="00945CA9">
            <w:pPr>
              <w:pStyle w:val="TableTextRight"/>
              <w:rPr>
                <w:rFonts w:cstheme="minorHAnsi"/>
                <w:lang w:val="en-AU"/>
              </w:rPr>
            </w:pPr>
            <w:r w:rsidRPr="005F62F4">
              <w:rPr>
                <w:rFonts w:cstheme="minorHAnsi"/>
                <w:lang w:val="en-AU"/>
              </w:rPr>
              <w:t>532</w:t>
            </w:r>
          </w:p>
        </w:tc>
      </w:tr>
      <w:tr w:rsidR="003D1E32" w:rsidRPr="005F62F4" w14:paraId="4CD92A35" w14:textId="77777777" w:rsidTr="00083CA8">
        <w:trPr>
          <w:cnfStyle w:val="000000010000" w:firstRow="0" w:lastRow="0" w:firstColumn="0" w:lastColumn="0" w:oddVBand="0" w:evenVBand="0" w:oddHBand="0" w:evenHBand="1" w:firstRowFirstColumn="0" w:firstRowLastColumn="0" w:lastRowFirstColumn="0" w:lastRowLastColumn="0"/>
          <w:trHeight w:val="170"/>
        </w:trPr>
        <w:tc>
          <w:tcPr>
            <w:tcW w:w="1899" w:type="pct"/>
          </w:tcPr>
          <w:p w14:paraId="3376751C" w14:textId="1D692972" w:rsidR="003D1E32" w:rsidRPr="005F62F4" w:rsidRDefault="003D1E32" w:rsidP="00945CA9">
            <w:pPr>
              <w:pStyle w:val="TableText"/>
              <w:rPr>
                <w:rFonts w:cstheme="minorHAnsi"/>
              </w:rPr>
            </w:pPr>
            <w:r w:rsidRPr="005F62F4">
              <w:rPr>
                <w:rFonts w:cstheme="minorHAnsi"/>
                <w:color w:val="000000"/>
              </w:rPr>
              <w:t>Loss of teeth due to accident, extraction or local periodontal disease (K.08.419)</w:t>
            </w:r>
          </w:p>
        </w:tc>
        <w:tc>
          <w:tcPr>
            <w:tcW w:w="620" w:type="pct"/>
          </w:tcPr>
          <w:p w14:paraId="62776F0A" w14:textId="77777777" w:rsidR="003D1E32" w:rsidRPr="005F62F4" w:rsidRDefault="003D1E32" w:rsidP="00945CA9">
            <w:pPr>
              <w:pStyle w:val="TableTextRight"/>
              <w:rPr>
                <w:rFonts w:cstheme="minorHAnsi"/>
                <w:lang w:val="en-AU"/>
              </w:rPr>
            </w:pPr>
          </w:p>
        </w:tc>
        <w:tc>
          <w:tcPr>
            <w:tcW w:w="620" w:type="pct"/>
          </w:tcPr>
          <w:p w14:paraId="1AEBB17F" w14:textId="77777777" w:rsidR="003D1E32" w:rsidRPr="005F62F4" w:rsidRDefault="003D1E32" w:rsidP="00945CA9">
            <w:pPr>
              <w:pStyle w:val="TableTextRight"/>
              <w:rPr>
                <w:rFonts w:cstheme="minorHAnsi"/>
                <w:lang w:val="en-AU"/>
              </w:rPr>
            </w:pPr>
            <w:proofErr w:type="spellStart"/>
            <w:r w:rsidRPr="005F62F4">
              <w:rPr>
                <w:rFonts w:cstheme="minorHAnsi"/>
                <w:lang w:val="en-AU"/>
              </w:rPr>
              <w:t>n.p.</w:t>
            </w:r>
            <w:proofErr w:type="spellEnd"/>
          </w:p>
        </w:tc>
        <w:tc>
          <w:tcPr>
            <w:tcW w:w="620" w:type="pct"/>
          </w:tcPr>
          <w:p w14:paraId="5F0506F6" w14:textId="77777777" w:rsidR="003D1E32" w:rsidRPr="005F62F4" w:rsidRDefault="003D1E32" w:rsidP="00945CA9">
            <w:pPr>
              <w:pStyle w:val="TableTextRight"/>
              <w:rPr>
                <w:rFonts w:cstheme="minorHAnsi"/>
                <w:lang w:val="en-AU"/>
              </w:rPr>
            </w:pPr>
          </w:p>
        </w:tc>
        <w:tc>
          <w:tcPr>
            <w:tcW w:w="620" w:type="pct"/>
          </w:tcPr>
          <w:p w14:paraId="5EE9038D" w14:textId="77777777" w:rsidR="003D1E32" w:rsidRPr="005F62F4" w:rsidRDefault="003D1E32" w:rsidP="00945CA9">
            <w:pPr>
              <w:pStyle w:val="TableTextRight"/>
              <w:rPr>
                <w:rFonts w:cstheme="minorHAnsi"/>
                <w:lang w:val="en-AU"/>
              </w:rPr>
            </w:pPr>
            <w:r w:rsidRPr="005F62F4">
              <w:rPr>
                <w:rFonts w:cstheme="minorHAnsi"/>
                <w:lang w:val="en-AU"/>
              </w:rPr>
              <w:t>145</w:t>
            </w:r>
          </w:p>
        </w:tc>
        <w:tc>
          <w:tcPr>
            <w:tcW w:w="620" w:type="pct"/>
          </w:tcPr>
          <w:p w14:paraId="2C3A1F8D" w14:textId="77777777" w:rsidR="003D1E32" w:rsidRPr="005F62F4" w:rsidRDefault="003D1E32" w:rsidP="00945CA9">
            <w:pPr>
              <w:pStyle w:val="TableTextRight"/>
              <w:rPr>
                <w:rFonts w:cstheme="minorHAnsi"/>
                <w:lang w:val="en-AU"/>
              </w:rPr>
            </w:pPr>
            <w:r w:rsidRPr="005F62F4">
              <w:rPr>
                <w:rFonts w:cstheme="minorHAnsi"/>
                <w:lang w:val="en-AU"/>
              </w:rPr>
              <w:t>463</w:t>
            </w:r>
          </w:p>
        </w:tc>
      </w:tr>
      <w:tr w:rsidR="003D1E32" w:rsidRPr="005F62F4" w14:paraId="5A6E6C10" w14:textId="77777777" w:rsidTr="00083CA8">
        <w:trPr>
          <w:trHeight w:val="170"/>
        </w:trPr>
        <w:tc>
          <w:tcPr>
            <w:tcW w:w="1899" w:type="pct"/>
          </w:tcPr>
          <w:p w14:paraId="06447A6A" w14:textId="40D8ACC8" w:rsidR="003D1E32" w:rsidRPr="005F62F4" w:rsidRDefault="003D1E32" w:rsidP="00945CA9">
            <w:pPr>
              <w:pStyle w:val="TableText"/>
              <w:rPr>
                <w:rFonts w:cstheme="minorHAnsi"/>
              </w:rPr>
            </w:pPr>
            <w:r w:rsidRPr="005F62F4">
              <w:rPr>
                <w:rFonts w:cstheme="minorHAnsi"/>
                <w:color w:val="000000"/>
              </w:rPr>
              <w:t>Malocclusion, unspecified (M26.4)</w:t>
            </w:r>
          </w:p>
        </w:tc>
        <w:tc>
          <w:tcPr>
            <w:tcW w:w="620" w:type="pct"/>
          </w:tcPr>
          <w:p w14:paraId="0C18EC2F" w14:textId="784A846C" w:rsidR="003D1E32" w:rsidRPr="005F62F4" w:rsidRDefault="00B50DF1" w:rsidP="00945CA9">
            <w:pPr>
              <w:pStyle w:val="TableTextRight"/>
              <w:rPr>
                <w:rFonts w:cstheme="minorHAnsi"/>
                <w:lang w:val="en-AU"/>
              </w:rPr>
            </w:pPr>
            <w:r w:rsidRPr="001E5E40">
              <w:rPr>
                <w:sz w:val="17"/>
                <w:szCs w:val="17"/>
              </w:rPr>
              <w:t>[redacted]</w:t>
            </w:r>
          </w:p>
        </w:tc>
        <w:tc>
          <w:tcPr>
            <w:tcW w:w="620" w:type="pct"/>
          </w:tcPr>
          <w:p w14:paraId="332978FA" w14:textId="77777777" w:rsidR="003D1E32" w:rsidRPr="005F62F4" w:rsidRDefault="003D1E32" w:rsidP="00945CA9">
            <w:pPr>
              <w:pStyle w:val="TableTextRight"/>
              <w:rPr>
                <w:rFonts w:cstheme="minorHAnsi"/>
                <w:lang w:val="en-AU"/>
              </w:rPr>
            </w:pPr>
            <w:r w:rsidRPr="005F62F4">
              <w:rPr>
                <w:rFonts w:cstheme="minorHAnsi"/>
                <w:lang w:val="en-AU"/>
              </w:rPr>
              <w:t>133</w:t>
            </w:r>
          </w:p>
        </w:tc>
        <w:tc>
          <w:tcPr>
            <w:tcW w:w="620" w:type="pct"/>
          </w:tcPr>
          <w:p w14:paraId="5912E79C" w14:textId="77777777" w:rsidR="003D1E32" w:rsidRPr="005F62F4" w:rsidRDefault="003D1E32" w:rsidP="00945CA9">
            <w:pPr>
              <w:pStyle w:val="TableTextRight"/>
              <w:rPr>
                <w:rFonts w:cstheme="minorHAnsi"/>
                <w:lang w:val="en-AU"/>
              </w:rPr>
            </w:pPr>
            <w:r w:rsidRPr="005F62F4">
              <w:rPr>
                <w:rFonts w:cstheme="minorHAnsi"/>
                <w:lang w:val="en-AU"/>
              </w:rPr>
              <w:t>300</w:t>
            </w:r>
          </w:p>
        </w:tc>
        <w:tc>
          <w:tcPr>
            <w:tcW w:w="620" w:type="pct"/>
          </w:tcPr>
          <w:p w14:paraId="454C2EE0" w14:textId="77777777" w:rsidR="003D1E32" w:rsidRPr="005F62F4" w:rsidRDefault="003D1E32" w:rsidP="00945CA9">
            <w:pPr>
              <w:pStyle w:val="TableTextRight"/>
              <w:rPr>
                <w:rFonts w:cstheme="minorHAnsi"/>
                <w:lang w:val="en-AU"/>
              </w:rPr>
            </w:pPr>
            <w:r w:rsidRPr="005F62F4">
              <w:rPr>
                <w:rFonts w:cstheme="minorHAnsi"/>
                <w:lang w:val="en-AU"/>
              </w:rPr>
              <w:t>313</w:t>
            </w:r>
          </w:p>
        </w:tc>
        <w:tc>
          <w:tcPr>
            <w:tcW w:w="620" w:type="pct"/>
          </w:tcPr>
          <w:p w14:paraId="16AF3419" w14:textId="77777777" w:rsidR="003D1E32" w:rsidRPr="005F62F4" w:rsidRDefault="003D1E32" w:rsidP="00945CA9">
            <w:pPr>
              <w:pStyle w:val="TableTextRight"/>
              <w:rPr>
                <w:rFonts w:cstheme="minorHAnsi"/>
                <w:lang w:val="en-AU"/>
              </w:rPr>
            </w:pPr>
            <w:r w:rsidRPr="005F62F4">
              <w:rPr>
                <w:rFonts w:cstheme="minorHAnsi"/>
                <w:lang w:val="en-AU"/>
              </w:rPr>
              <w:t>383</w:t>
            </w:r>
          </w:p>
        </w:tc>
      </w:tr>
      <w:tr w:rsidR="003D1E32" w:rsidRPr="005F62F4" w14:paraId="1F547C56" w14:textId="77777777" w:rsidTr="00083CA8">
        <w:trPr>
          <w:cnfStyle w:val="000000010000" w:firstRow="0" w:lastRow="0" w:firstColumn="0" w:lastColumn="0" w:oddVBand="0" w:evenVBand="0" w:oddHBand="0" w:evenHBand="1" w:firstRowFirstColumn="0" w:firstRowLastColumn="0" w:lastRowFirstColumn="0" w:lastRowLastColumn="0"/>
          <w:trHeight w:val="170"/>
        </w:trPr>
        <w:tc>
          <w:tcPr>
            <w:tcW w:w="1899" w:type="pct"/>
          </w:tcPr>
          <w:p w14:paraId="4CFFCCC5" w14:textId="57BB7B9D" w:rsidR="003D1E32" w:rsidRPr="005F62F4" w:rsidRDefault="003D1E32" w:rsidP="00945CA9">
            <w:pPr>
              <w:pStyle w:val="TableText"/>
              <w:rPr>
                <w:rFonts w:cstheme="minorHAnsi"/>
              </w:rPr>
            </w:pPr>
            <w:r w:rsidRPr="005F62F4">
              <w:rPr>
                <w:rFonts w:cstheme="minorHAnsi"/>
                <w:color w:val="000000"/>
              </w:rPr>
              <w:t>Hypoplasia of maxilla (M26.02)</w:t>
            </w:r>
          </w:p>
        </w:tc>
        <w:tc>
          <w:tcPr>
            <w:tcW w:w="620" w:type="pct"/>
          </w:tcPr>
          <w:p w14:paraId="0C5F8E97" w14:textId="598AE6D1" w:rsidR="003D1E32" w:rsidRPr="005F62F4" w:rsidRDefault="00B50DF1" w:rsidP="00945CA9">
            <w:pPr>
              <w:pStyle w:val="TableTextRight"/>
              <w:rPr>
                <w:rFonts w:cstheme="minorHAnsi"/>
                <w:lang w:val="en-AU"/>
              </w:rPr>
            </w:pPr>
            <w:r w:rsidRPr="001E5E40">
              <w:rPr>
                <w:sz w:val="17"/>
                <w:szCs w:val="17"/>
              </w:rPr>
              <w:t>[redacted]</w:t>
            </w:r>
          </w:p>
        </w:tc>
        <w:tc>
          <w:tcPr>
            <w:tcW w:w="620" w:type="pct"/>
          </w:tcPr>
          <w:p w14:paraId="48EDF558" w14:textId="77777777" w:rsidR="003D1E32" w:rsidRPr="005F62F4" w:rsidRDefault="003D1E32" w:rsidP="00945CA9">
            <w:pPr>
              <w:pStyle w:val="TableTextRight"/>
              <w:rPr>
                <w:rFonts w:cstheme="minorHAnsi"/>
                <w:lang w:val="en-AU"/>
              </w:rPr>
            </w:pPr>
            <w:r w:rsidRPr="005F62F4">
              <w:rPr>
                <w:rFonts w:cstheme="minorHAnsi"/>
                <w:lang w:val="en-AU"/>
              </w:rPr>
              <w:t>157</w:t>
            </w:r>
          </w:p>
        </w:tc>
        <w:tc>
          <w:tcPr>
            <w:tcW w:w="620" w:type="pct"/>
          </w:tcPr>
          <w:p w14:paraId="6BEA1D8A" w14:textId="77777777" w:rsidR="003D1E32" w:rsidRPr="005F62F4" w:rsidRDefault="003D1E32" w:rsidP="00945CA9">
            <w:pPr>
              <w:pStyle w:val="TableTextRight"/>
              <w:rPr>
                <w:rFonts w:cstheme="minorHAnsi"/>
                <w:lang w:val="en-AU"/>
              </w:rPr>
            </w:pPr>
            <w:r w:rsidRPr="005F62F4">
              <w:rPr>
                <w:rFonts w:cstheme="minorHAnsi"/>
                <w:lang w:val="en-AU"/>
              </w:rPr>
              <w:t>304</w:t>
            </w:r>
          </w:p>
        </w:tc>
        <w:tc>
          <w:tcPr>
            <w:tcW w:w="620" w:type="pct"/>
          </w:tcPr>
          <w:p w14:paraId="0F7C188B" w14:textId="77777777" w:rsidR="003D1E32" w:rsidRPr="005F62F4" w:rsidRDefault="003D1E32" w:rsidP="00945CA9">
            <w:pPr>
              <w:pStyle w:val="TableTextRight"/>
              <w:rPr>
                <w:rFonts w:cstheme="minorHAnsi"/>
                <w:lang w:val="en-AU"/>
              </w:rPr>
            </w:pPr>
            <w:r w:rsidRPr="005F62F4">
              <w:rPr>
                <w:rFonts w:cstheme="minorHAnsi"/>
                <w:lang w:val="en-AU"/>
              </w:rPr>
              <w:t>234</w:t>
            </w:r>
          </w:p>
        </w:tc>
        <w:tc>
          <w:tcPr>
            <w:tcW w:w="620" w:type="pct"/>
          </w:tcPr>
          <w:p w14:paraId="26C64512" w14:textId="77777777" w:rsidR="003D1E32" w:rsidRPr="005F62F4" w:rsidRDefault="003D1E32" w:rsidP="00945CA9">
            <w:pPr>
              <w:pStyle w:val="TableTextRight"/>
              <w:rPr>
                <w:rFonts w:cstheme="minorHAnsi"/>
                <w:lang w:val="en-AU"/>
              </w:rPr>
            </w:pPr>
            <w:r w:rsidRPr="005F62F4">
              <w:rPr>
                <w:rFonts w:cstheme="minorHAnsi"/>
                <w:lang w:val="en-AU"/>
              </w:rPr>
              <w:t>337</w:t>
            </w:r>
          </w:p>
        </w:tc>
      </w:tr>
      <w:tr w:rsidR="003D1E32" w:rsidRPr="005F62F4" w14:paraId="04BCB997" w14:textId="77777777" w:rsidTr="00083CA8">
        <w:trPr>
          <w:trHeight w:val="170"/>
        </w:trPr>
        <w:tc>
          <w:tcPr>
            <w:tcW w:w="1899" w:type="pct"/>
          </w:tcPr>
          <w:p w14:paraId="40875140" w14:textId="1EE3D44C" w:rsidR="003D1E32" w:rsidRPr="005F62F4" w:rsidRDefault="003D1E32" w:rsidP="00945CA9">
            <w:pPr>
              <w:pStyle w:val="TableText"/>
              <w:rPr>
                <w:rFonts w:cstheme="minorHAnsi"/>
              </w:rPr>
            </w:pPr>
            <w:r w:rsidRPr="005F62F4">
              <w:rPr>
                <w:rFonts w:cstheme="minorHAnsi"/>
                <w:color w:val="000000"/>
              </w:rPr>
              <w:t>Other dentofacial anomalies (M26.9)</w:t>
            </w:r>
          </w:p>
        </w:tc>
        <w:tc>
          <w:tcPr>
            <w:tcW w:w="620" w:type="pct"/>
          </w:tcPr>
          <w:p w14:paraId="2244ED14" w14:textId="50644578" w:rsidR="003D1E32" w:rsidRPr="005F62F4" w:rsidRDefault="00B50DF1" w:rsidP="00945CA9">
            <w:pPr>
              <w:pStyle w:val="TableTextRight"/>
              <w:rPr>
                <w:rFonts w:cstheme="minorHAnsi"/>
                <w:lang w:val="en-AU"/>
              </w:rPr>
            </w:pPr>
            <w:r w:rsidRPr="001E5E40">
              <w:rPr>
                <w:sz w:val="17"/>
                <w:szCs w:val="17"/>
              </w:rPr>
              <w:t>[redacted]</w:t>
            </w:r>
          </w:p>
        </w:tc>
        <w:tc>
          <w:tcPr>
            <w:tcW w:w="620" w:type="pct"/>
          </w:tcPr>
          <w:p w14:paraId="4947D029" w14:textId="77777777" w:rsidR="003D1E32" w:rsidRPr="005F62F4" w:rsidRDefault="003D1E32" w:rsidP="00945CA9">
            <w:pPr>
              <w:pStyle w:val="TableTextRight"/>
              <w:rPr>
                <w:rFonts w:cstheme="minorHAnsi"/>
                <w:lang w:val="en-AU"/>
              </w:rPr>
            </w:pPr>
            <w:r w:rsidRPr="005F62F4">
              <w:rPr>
                <w:rFonts w:cstheme="minorHAnsi"/>
                <w:lang w:val="en-AU"/>
              </w:rPr>
              <w:t>102</w:t>
            </w:r>
          </w:p>
        </w:tc>
        <w:tc>
          <w:tcPr>
            <w:tcW w:w="620" w:type="pct"/>
          </w:tcPr>
          <w:p w14:paraId="6309A210" w14:textId="77777777" w:rsidR="003D1E32" w:rsidRPr="005F62F4" w:rsidRDefault="003D1E32" w:rsidP="00945CA9">
            <w:pPr>
              <w:pStyle w:val="TableTextRight"/>
              <w:rPr>
                <w:rFonts w:cstheme="minorHAnsi"/>
                <w:lang w:val="en-AU"/>
              </w:rPr>
            </w:pPr>
            <w:r w:rsidRPr="005F62F4">
              <w:rPr>
                <w:rFonts w:cstheme="minorHAnsi"/>
                <w:lang w:val="en-AU"/>
              </w:rPr>
              <w:t>175</w:t>
            </w:r>
          </w:p>
        </w:tc>
        <w:tc>
          <w:tcPr>
            <w:tcW w:w="620" w:type="pct"/>
          </w:tcPr>
          <w:p w14:paraId="039B329B" w14:textId="77777777" w:rsidR="003D1E32" w:rsidRPr="005F62F4" w:rsidRDefault="003D1E32" w:rsidP="00945CA9">
            <w:pPr>
              <w:pStyle w:val="TableTextRight"/>
              <w:rPr>
                <w:rFonts w:cstheme="minorHAnsi"/>
                <w:lang w:val="en-AU"/>
              </w:rPr>
            </w:pPr>
            <w:r w:rsidRPr="005F62F4">
              <w:rPr>
                <w:rFonts w:cstheme="minorHAnsi"/>
                <w:lang w:val="en-AU"/>
              </w:rPr>
              <w:t>145</w:t>
            </w:r>
          </w:p>
        </w:tc>
        <w:tc>
          <w:tcPr>
            <w:tcW w:w="620" w:type="pct"/>
          </w:tcPr>
          <w:p w14:paraId="73F12245" w14:textId="77777777" w:rsidR="003D1E32" w:rsidRPr="005F62F4" w:rsidRDefault="003D1E32" w:rsidP="00945CA9">
            <w:pPr>
              <w:pStyle w:val="TableTextRight"/>
              <w:rPr>
                <w:rFonts w:cstheme="minorHAnsi"/>
                <w:lang w:val="en-AU"/>
              </w:rPr>
            </w:pPr>
            <w:r w:rsidRPr="005F62F4">
              <w:rPr>
                <w:rFonts w:cstheme="minorHAnsi"/>
                <w:lang w:val="en-AU"/>
              </w:rPr>
              <w:t>301</w:t>
            </w:r>
          </w:p>
        </w:tc>
      </w:tr>
      <w:tr w:rsidR="003D1E32" w:rsidRPr="005F62F4" w14:paraId="40AC764D" w14:textId="77777777" w:rsidTr="00083CA8">
        <w:trPr>
          <w:cnfStyle w:val="000000010000" w:firstRow="0" w:lastRow="0" w:firstColumn="0" w:lastColumn="0" w:oddVBand="0" w:evenVBand="0" w:oddHBand="0" w:evenHBand="1" w:firstRowFirstColumn="0" w:firstRowLastColumn="0" w:lastRowFirstColumn="0" w:lastRowLastColumn="0"/>
          <w:trHeight w:val="170"/>
        </w:trPr>
        <w:tc>
          <w:tcPr>
            <w:tcW w:w="1899" w:type="pct"/>
          </w:tcPr>
          <w:p w14:paraId="48E456A8" w14:textId="189C6E05" w:rsidR="003D1E32" w:rsidRPr="005F62F4" w:rsidRDefault="003D1E32" w:rsidP="00945CA9">
            <w:pPr>
              <w:pStyle w:val="TableText"/>
              <w:rPr>
                <w:rFonts w:cstheme="minorHAnsi"/>
                <w:color w:val="000000"/>
              </w:rPr>
            </w:pPr>
            <w:r w:rsidRPr="005F62F4">
              <w:rPr>
                <w:rFonts w:cstheme="minorHAnsi"/>
                <w:color w:val="000000"/>
              </w:rPr>
              <w:t>Anodontia (K00.0)</w:t>
            </w:r>
          </w:p>
        </w:tc>
        <w:tc>
          <w:tcPr>
            <w:tcW w:w="620" w:type="pct"/>
          </w:tcPr>
          <w:p w14:paraId="7ADD343C" w14:textId="77777777" w:rsidR="003D1E32" w:rsidRPr="005F62F4" w:rsidRDefault="003D1E32" w:rsidP="00945CA9">
            <w:pPr>
              <w:pStyle w:val="TableTextRight"/>
              <w:rPr>
                <w:rFonts w:cstheme="minorHAnsi"/>
                <w:lang w:val="en-AU"/>
              </w:rPr>
            </w:pPr>
          </w:p>
        </w:tc>
        <w:tc>
          <w:tcPr>
            <w:tcW w:w="620" w:type="pct"/>
          </w:tcPr>
          <w:p w14:paraId="1329CD66" w14:textId="77777777" w:rsidR="003D1E32" w:rsidRPr="005F62F4" w:rsidRDefault="003D1E32" w:rsidP="00945CA9">
            <w:pPr>
              <w:pStyle w:val="TableTextRight"/>
              <w:rPr>
                <w:rFonts w:cstheme="minorHAnsi"/>
                <w:lang w:val="en-AU"/>
              </w:rPr>
            </w:pPr>
          </w:p>
        </w:tc>
        <w:tc>
          <w:tcPr>
            <w:tcW w:w="620" w:type="pct"/>
          </w:tcPr>
          <w:p w14:paraId="45B96F3D" w14:textId="77777777" w:rsidR="003D1E32" w:rsidRPr="005F62F4" w:rsidRDefault="003D1E32" w:rsidP="00945CA9">
            <w:pPr>
              <w:pStyle w:val="TableTextRight"/>
              <w:rPr>
                <w:rFonts w:cstheme="minorHAnsi"/>
                <w:lang w:val="en-AU"/>
              </w:rPr>
            </w:pPr>
          </w:p>
        </w:tc>
        <w:tc>
          <w:tcPr>
            <w:tcW w:w="620" w:type="pct"/>
          </w:tcPr>
          <w:p w14:paraId="75ED3EF0" w14:textId="77777777" w:rsidR="003D1E32" w:rsidRPr="005F62F4" w:rsidRDefault="003D1E32" w:rsidP="00945CA9">
            <w:pPr>
              <w:pStyle w:val="TableTextRight"/>
              <w:rPr>
                <w:rFonts w:cstheme="minorHAnsi"/>
                <w:lang w:val="en-AU"/>
              </w:rPr>
            </w:pPr>
            <w:r w:rsidRPr="005F62F4">
              <w:rPr>
                <w:rFonts w:cstheme="minorHAnsi"/>
                <w:lang w:val="en-AU"/>
              </w:rPr>
              <w:t>35</w:t>
            </w:r>
          </w:p>
        </w:tc>
        <w:tc>
          <w:tcPr>
            <w:tcW w:w="620" w:type="pct"/>
          </w:tcPr>
          <w:p w14:paraId="29947DD7" w14:textId="77777777" w:rsidR="003D1E32" w:rsidRPr="005F62F4" w:rsidRDefault="003D1E32" w:rsidP="00945CA9">
            <w:pPr>
              <w:pStyle w:val="TableTextRight"/>
              <w:rPr>
                <w:rFonts w:cstheme="minorHAnsi"/>
                <w:lang w:val="en-AU"/>
              </w:rPr>
            </w:pPr>
            <w:r w:rsidRPr="005F62F4">
              <w:rPr>
                <w:rFonts w:cstheme="minorHAnsi"/>
                <w:lang w:val="en-AU"/>
              </w:rPr>
              <w:t>273</w:t>
            </w:r>
          </w:p>
        </w:tc>
      </w:tr>
      <w:tr w:rsidR="003D1E32" w:rsidRPr="005F62F4" w14:paraId="47E29F27" w14:textId="77777777" w:rsidTr="00083CA8">
        <w:trPr>
          <w:trHeight w:val="170"/>
        </w:trPr>
        <w:tc>
          <w:tcPr>
            <w:tcW w:w="1899" w:type="pct"/>
          </w:tcPr>
          <w:p w14:paraId="338619A9" w14:textId="50587086" w:rsidR="003D1E32" w:rsidRPr="005F62F4" w:rsidRDefault="003D1E32" w:rsidP="00945CA9">
            <w:pPr>
              <w:pStyle w:val="TableText"/>
              <w:rPr>
                <w:rFonts w:cstheme="minorHAnsi"/>
                <w:color w:val="000000"/>
              </w:rPr>
            </w:pPr>
            <w:r w:rsidRPr="005F62F4">
              <w:rPr>
                <w:rFonts w:cstheme="minorHAnsi"/>
                <w:color w:val="000000"/>
              </w:rPr>
              <w:t>Disorder of teeth and supporting structures, unspecified (K08.9)</w:t>
            </w:r>
          </w:p>
        </w:tc>
        <w:tc>
          <w:tcPr>
            <w:tcW w:w="620" w:type="pct"/>
          </w:tcPr>
          <w:p w14:paraId="3A9345C1" w14:textId="5BCC4252" w:rsidR="003D1E32" w:rsidRPr="005F62F4" w:rsidRDefault="00B50DF1" w:rsidP="00945CA9">
            <w:pPr>
              <w:pStyle w:val="TableTextRight"/>
              <w:rPr>
                <w:rFonts w:cstheme="minorHAnsi"/>
                <w:lang w:val="en-AU"/>
              </w:rPr>
            </w:pPr>
            <w:r w:rsidRPr="001E5E40">
              <w:rPr>
                <w:sz w:val="17"/>
                <w:szCs w:val="17"/>
              </w:rPr>
              <w:t>[redacted]</w:t>
            </w:r>
          </w:p>
        </w:tc>
        <w:tc>
          <w:tcPr>
            <w:tcW w:w="620" w:type="pct"/>
          </w:tcPr>
          <w:p w14:paraId="3EE7E364" w14:textId="77777777" w:rsidR="003D1E32" w:rsidRPr="005F62F4" w:rsidRDefault="003D1E32" w:rsidP="00945CA9">
            <w:pPr>
              <w:pStyle w:val="TableTextRight"/>
              <w:rPr>
                <w:rFonts w:cstheme="minorHAnsi"/>
                <w:lang w:val="en-AU"/>
              </w:rPr>
            </w:pPr>
            <w:r w:rsidRPr="005F62F4">
              <w:rPr>
                <w:rFonts w:cstheme="minorHAnsi"/>
                <w:lang w:val="en-AU"/>
              </w:rPr>
              <w:t>27</w:t>
            </w:r>
          </w:p>
        </w:tc>
        <w:tc>
          <w:tcPr>
            <w:tcW w:w="620" w:type="pct"/>
          </w:tcPr>
          <w:p w14:paraId="610B4AD8" w14:textId="77777777" w:rsidR="003D1E32" w:rsidRPr="005F62F4" w:rsidRDefault="003D1E32" w:rsidP="00945CA9">
            <w:pPr>
              <w:pStyle w:val="TableTextRight"/>
              <w:rPr>
                <w:rFonts w:cstheme="minorHAnsi"/>
                <w:lang w:val="en-AU"/>
              </w:rPr>
            </w:pPr>
            <w:r w:rsidRPr="005F62F4">
              <w:rPr>
                <w:rFonts w:cstheme="minorHAnsi"/>
                <w:lang w:val="en-AU"/>
              </w:rPr>
              <w:t>15</w:t>
            </w:r>
          </w:p>
        </w:tc>
        <w:tc>
          <w:tcPr>
            <w:tcW w:w="620" w:type="pct"/>
          </w:tcPr>
          <w:p w14:paraId="0943204E" w14:textId="77777777" w:rsidR="003D1E32" w:rsidRPr="005F62F4" w:rsidRDefault="003D1E32" w:rsidP="00945CA9">
            <w:pPr>
              <w:pStyle w:val="TableTextRight"/>
              <w:rPr>
                <w:rFonts w:cstheme="minorHAnsi"/>
                <w:lang w:val="en-AU"/>
              </w:rPr>
            </w:pPr>
            <w:r w:rsidRPr="005F62F4">
              <w:rPr>
                <w:rFonts w:cstheme="minorHAnsi"/>
                <w:lang w:val="en-AU"/>
              </w:rPr>
              <w:t>61</w:t>
            </w:r>
          </w:p>
        </w:tc>
        <w:tc>
          <w:tcPr>
            <w:tcW w:w="620" w:type="pct"/>
          </w:tcPr>
          <w:p w14:paraId="6F3B1006" w14:textId="77777777" w:rsidR="003D1E32" w:rsidRPr="005F62F4" w:rsidRDefault="003D1E32" w:rsidP="00945CA9">
            <w:pPr>
              <w:pStyle w:val="TableTextRight"/>
              <w:rPr>
                <w:rFonts w:cstheme="minorHAnsi"/>
                <w:lang w:val="en-AU"/>
              </w:rPr>
            </w:pPr>
            <w:r w:rsidRPr="005F62F4">
              <w:rPr>
                <w:rFonts w:cstheme="minorHAnsi"/>
                <w:lang w:val="en-AU"/>
              </w:rPr>
              <w:t>230</w:t>
            </w:r>
          </w:p>
        </w:tc>
      </w:tr>
      <w:tr w:rsidR="003D1E32" w:rsidRPr="005F62F4" w14:paraId="7E258FBA" w14:textId="77777777" w:rsidTr="00083CA8">
        <w:trPr>
          <w:cnfStyle w:val="000000010000" w:firstRow="0" w:lastRow="0" w:firstColumn="0" w:lastColumn="0" w:oddVBand="0" w:evenVBand="0" w:oddHBand="0" w:evenHBand="1" w:firstRowFirstColumn="0" w:firstRowLastColumn="0" w:lastRowFirstColumn="0" w:lastRowLastColumn="0"/>
          <w:trHeight w:val="170"/>
        </w:trPr>
        <w:tc>
          <w:tcPr>
            <w:tcW w:w="1899" w:type="pct"/>
          </w:tcPr>
          <w:p w14:paraId="1B58BF96" w14:textId="4A169090" w:rsidR="003D1E32" w:rsidRPr="005F62F4" w:rsidRDefault="003D1E32" w:rsidP="00945CA9">
            <w:pPr>
              <w:pStyle w:val="TableText"/>
              <w:rPr>
                <w:rFonts w:cstheme="minorHAnsi"/>
                <w:color w:val="000000"/>
              </w:rPr>
            </w:pPr>
            <w:r w:rsidRPr="005F62F4">
              <w:rPr>
                <w:rFonts w:cstheme="minorHAnsi"/>
                <w:color w:val="000000"/>
              </w:rPr>
              <w:t>Hypoplasia of mandible (M26.04)</w:t>
            </w:r>
          </w:p>
        </w:tc>
        <w:tc>
          <w:tcPr>
            <w:tcW w:w="620" w:type="pct"/>
          </w:tcPr>
          <w:p w14:paraId="36BAA68C" w14:textId="5DB041E8" w:rsidR="003D1E32" w:rsidRPr="005F62F4" w:rsidRDefault="00B50DF1" w:rsidP="00945CA9">
            <w:pPr>
              <w:pStyle w:val="TableTextRight"/>
              <w:rPr>
                <w:rFonts w:cstheme="minorHAnsi"/>
                <w:lang w:val="en-AU"/>
              </w:rPr>
            </w:pPr>
            <w:r w:rsidRPr="001E5E40">
              <w:rPr>
                <w:sz w:val="17"/>
                <w:szCs w:val="17"/>
              </w:rPr>
              <w:t>[redacted]</w:t>
            </w:r>
          </w:p>
        </w:tc>
        <w:tc>
          <w:tcPr>
            <w:tcW w:w="620" w:type="pct"/>
          </w:tcPr>
          <w:p w14:paraId="31942685" w14:textId="77777777" w:rsidR="003D1E32" w:rsidRPr="005F62F4" w:rsidRDefault="003D1E32" w:rsidP="00945CA9">
            <w:pPr>
              <w:pStyle w:val="TableTextRight"/>
              <w:rPr>
                <w:rFonts w:cstheme="minorHAnsi"/>
                <w:lang w:val="en-AU"/>
              </w:rPr>
            </w:pPr>
            <w:r w:rsidRPr="005F62F4">
              <w:rPr>
                <w:rFonts w:cstheme="minorHAnsi"/>
                <w:lang w:val="en-AU"/>
              </w:rPr>
              <w:t>87</w:t>
            </w:r>
          </w:p>
        </w:tc>
        <w:tc>
          <w:tcPr>
            <w:tcW w:w="620" w:type="pct"/>
          </w:tcPr>
          <w:p w14:paraId="1B96981B" w14:textId="77777777" w:rsidR="003D1E32" w:rsidRPr="005F62F4" w:rsidRDefault="003D1E32" w:rsidP="00945CA9">
            <w:pPr>
              <w:pStyle w:val="TableTextRight"/>
              <w:rPr>
                <w:rFonts w:cstheme="minorHAnsi"/>
                <w:lang w:val="en-AU"/>
              </w:rPr>
            </w:pPr>
            <w:r w:rsidRPr="005F62F4">
              <w:rPr>
                <w:rFonts w:cstheme="minorHAnsi"/>
                <w:lang w:val="en-AU"/>
              </w:rPr>
              <w:t>221</w:t>
            </w:r>
          </w:p>
        </w:tc>
        <w:tc>
          <w:tcPr>
            <w:tcW w:w="620" w:type="pct"/>
          </w:tcPr>
          <w:p w14:paraId="7B560AD6" w14:textId="77777777" w:rsidR="003D1E32" w:rsidRPr="005F62F4" w:rsidRDefault="003D1E32" w:rsidP="00945CA9">
            <w:pPr>
              <w:pStyle w:val="TableTextRight"/>
              <w:rPr>
                <w:rFonts w:cstheme="minorHAnsi"/>
                <w:lang w:val="en-AU"/>
              </w:rPr>
            </w:pPr>
            <w:r w:rsidRPr="005F62F4">
              <w:rPr>
                <w:rFonts w:cstheme="minorHAnsi"/>
                <w:lang w:val="en-AU"/>
              </w:rPr>
              <w:t>134</w:t>
            </w:r>
          </w:p>
        </w:tc>
        <w:tc>
          <w:tcPr>
            <w:tcW w:w="620" w:type="pct"/>
          </w:tcPr>
          <w:p w14:paraId="2EEABB70" w14:textId="77777777" w:rsidR="003D1E32" w:rsidRPr="005F62F4" w:rsidRDefault="003D1E32" w:rsidP="00945CA9">
            <w:pPr>
              <w:pStyle w:val="TableTextRight"/>
              <w:rPr>
                <w:rFonts w:cstheme="minorHAnsi"/>
                <w:lang w:val="en-AU"/>
              </w:rPr>
            </w:pPr>
            <w:r w:rsidRPr="005F62F4">
              <w:rPr>
                <w:rFonts w:cstheme="minorHAnsi"/>
                <w:lang w:val="en-AU"/>
              </w:rPr>
              <w:t>202</w:t>
            </w:r>
          </w:p>
        </w:tc>
      </w:tr>
      <w:tr w:rsidR="003D1E32" w:rsidRPr="005F62F4" w14:paraId="0E5B4524" w14:textId="77777777" w:rsidTr="00083CA8">
        <w:trPr>
          <w:trHeight w:val="170"/>
        </w:trPr>
        <w:tc>
          <w:tcPr>
            <w:tcW w:w="1899" w:type="pct"/>
          </w:tcPr>
          <w:p w14:paraId="7DE38DA4" w14:textId="7A4E9738" w:rsidR="003D1E32" w:rsidRPr="005F62F4" w:rsidRDefault="003D1E32" w:rsidP="00945CA9">
            <w:pPr>
              <w:pStyle w:val="TableText"/>
              <w:rPr>
                <w:rFonts w:cstheme="minorHAnsi"/>
              </w:rPr>
            </w:pPr>
            <w:r w:rsidRPr="005F62F4">
              <w:rPr>
                <w:rFonts w:cstheme="minorHAnsi"/>
                <w:color w:val="000000"/>
              </w:rPr>
              <w:t>Other major anomalies of jaw size (M26.00)</w:t>
            </w:r>
          </w:p>
        </w:tc>
        <w:tc>
          <w:tcPr>
            <w:tcW w:w="620" w:type="pct"/>
          </w:tcPr>
          <w:p w14:paraId="1DBDC61E" w14:textId="5DF5075B" w:rsidR="003D1E32" w:rsidRPr="005F62F4" w:rsidRDefault="00B50DF1" w:rsidP="00945CA9">
            <w:pPr>
              <w:pStyle w:val="TableTextRight"/>
              <w:rPr>
                <w:rFonts w:cstheme="minorHAnsi"/>
                <w:lang w:val="en-AU"/>
              </w:rPr>
            </w:pPr>
            <w:r w:rsidRPr="001E5E40">
              <w:rPr>
                <w:sz w:val="17"/>
                <w:szCs w:val="17"/>
              </w:rPr>
              <w:t>[redacted]</w:t>
            </w:r>
          </w:p>
        </w:tc>
        <w:tc>
          <w:tcPr>
            <w:tcW w:w="620" w:type="pct"/>
          </w:tcPr>
          <w:p w14:paraId="146628EB" w14:textId="77777777" w:rsidR="003D1E32" w:rsidRPr="005F62F4" w:rsidRDefault="003D1E32" w:rsidP="00945CA9">
            <w:pPr>
              <w:pStyle w:val="TableTextRight"/>
              <w:rPr>
                <w:rFonts w:cstheme="minorHAnsi"/>
                <w:lang w:val="en-AU"/>
              </w:rPr>
            </w:pPr>
            <w:proofErr w:type="spellStart"/>
            <w:r w:rsidRPr="005F62F4">
              <w:rPr>
                <w:rFonts w:cstheme="minorHAnsi"/>
                <w:lang w:val="en-AU"/>
              </w:rPr>
              <w:t>n.p.</w:t>
            </w:r>
            <w:proofErr w:type="spellEnd"/>
          </w:p>
        </w:tc>
        <w:tc>
          <w:tcPr>
            <w:tcW w:w="620" w:type="pct"/>
          </w:tcPr>
          <w:p w14:paraId="2E3C85CE" w14:textId="77777777" w:rsidR="003D1E32" w:rsidRPr="005F62F4" w:rsidRDefault="003D1E32" w:rsidP="00945CA9">
            <w:pPr>
              <w:pStyle w:val="TableTextRight"/>
              <w:rPr>
                <w:rFonts w:cstheme="minorHAnsi"/>
                <w:lang w:val="en-AU"/>
              </w:rPr>
            </w:pPr>
            <w:r w:rsidRPr="005F62F4">
              <w:rPr>
                <w:rFonts w:cstheme="minorHAnsi"/>
                <w:lang w:val="en-AU"/>
              </w:rPr>
              <w:t>14</w:t>
            </w:r>
          </w:p>
        </w:tc>
        <w:tc>
          <w:tcPr>
            <w:tcW w:w="620" w:type="pct"/>
          </w:tcPr>
          <w:p w14:paraId="62E5FFC8" w14:textId="77777777" w:rsidR="003D1E32" w:rsidRPr="005F62F4" w:rsidRDefault="003D1E32" w:rsidP="00945CA9">
            <w:pPr>
              <w:pStyle w:val="TableTextRight"/>
              <w:rPr>
                <w:rFonts w:cstheme="minorHAnsi"/>
                <w:lang w:val="en-AU"/>
              </w:rPr>
            </w:pPr>
            <w:r w:rsidRPr="005F62F4">
              <w:rPr>
                <w:rFonts w:cstheme="minorHAnsi"/>
                <w:lang w:val="en-AU"/>
              </w:rPr>
              <w:t>52</w:t>
            </w:r>
          </w:p>
        </w:tc>
        <w:tc>
          <w:tcPr>
            <w:tcW w:w="620" w:type="pct"/>
          </w:tcPr>
          <w:p w14:paraId="2C929498" w14:textId="77777777" w:rsidR="003D1E32" w:rsidRPr="005F62F4" w:rsidRDefault="003D1E32" w:rsidP="00945CA9">
            <w:pPr>
              <w:pStyle w:val="TableTextRight"/>
              <w:rPr>
                <w:rFonts w:cstheme="minorHAnsi"/>
                <w:lang w:val="en-AU"/>
              </w:rPr>
            </w:pPr>
            <w:r w:rsidRPr="005F62F4">
              <w:rPr>
                <w:rFonts w:cstheme="minorHAnsi"/>
                <w:lang w:val="en-AU"/>
              </w:rPr>
              <w:t>113</w:t>
            </w:r>
          </w:p>
        </w:tc>
      </w:tr>
      <w:tr w:rsidR="003D1E32" w:rsidRPr="005F62F4" w14:paraId="7B6A9521" w14:textId="77777777" w:rsidTr="00083CA8">
        <w:trPr>
          <w:cnfStyle w:val="000000010000" w:firstRow="0" w:lastRow="0" w:firstColumn="0" w:lastColumn="0" w:oddVBand="0" w:evenVBand="0" w:oddHBand="0" w:evenHBand="1" w:firstRowFirstColumn="0" w:firstRowLastColumn="0" w:lastRowFirstColumn="0" w:lastRowLastColumn="0"/>
          <w:trHeight w:val="170"/>
        </w:trPr>
        <w:tc>
          <w:tcPr>
            <w:tcW w:w="1899" w:type="pct"/>
          </w:tcPr>
          <w:p w14:paraId="4537C33B" w14:textId="32A0ACAD" w:rsidR="003D1E32" w:rsidRPr="005F62F4" w:rsidRDefault="003D1E32" w:rsidP="00945CA9">
            <w:pPr>
              <w:pStyle w:val="TableText"/>
              <w:rPr>
                <w:rFonts w:cstheme="minorHAnsi"/>
              </w:rPr>
            </w:pPr>
            <w:r w:rsidRPr="005F62F4">
              <w:rPr>
                <w:rFonts w:cstheme="minorHAnsi"/>
                <w:color w:val="000000"/>
              </w:rPr>
              <w:t>Other primary coxarthrosis (M16)</w:t>
            </w:r>
          </w:p>
        </w:tc>
        <w:tc>
          <w:tcPr>
            <w:tcW w:w="620" w:type="pct"/>
          </w:tcPr>
          <w:p w14:paraId="07497685" w14:textId="77777777" w:rsidR="003D1E32" w:rsidRPr="005F62F4" w:rsidRDefault="003D1E32" w:rsidP="00945CA9">
            <w:pPr>
              <w:pStyle w:val="TableTextRight"/>
              <w:rPr>
                <w:rFonts w:cstheme="minorHAnsi"/>
                <w:lang w:val="en-AU"/>
              </w:rPr>
            </w:pPr>
          </w:p>
        </w:tc>
        <w:tc>
          <w:tcPr>
            <w:tcW w:w="620" w:type="pct"/>
          </w:tcPr>
          <w:p w14:paraId="285475C1" w14:textId="77777777" w:rsidR="003D1E32" w:rsidRPr="005F62F4" w:rsidRDefault="003D1E32" w:rsidP="00945CA9">
            <w:pPr>
              <w:pStyle w:val="TableTextRight"/>
              <w:rPr>
                <w:rFonts w:cstheme="minorHAnsi"/>
                <w:lang w:val="en-AU"/>
              </w:rPr>
            </w:pPr>
          </w:p>
        </w:tc>
        <w:tc>
          <w:tcPr>
            <w:tcW w:w="620" w:type="pct"/>
          </w:tcPr>
          <w:p w14:paraId="4B3631BF" w14:textId="77777777" w:rsidR="003D1E32" w:rsidRPr="005F62F4" w:rsidRDefault="003D1E32" w:rsidP="00945CA9">
            <w:pPr>
              <w:pStyle w:val="TableTextRight"/>
              <w:rPr>
                <w:rFonts w:cstheme="minorHAnsi"/>
                <w:lang w:val="en-AU"/>
              </w:rPr>
            </w:pPr>
          </w:p>
        </w:tc>
        <w:tc>
          <w:tcPr>
            <w:tcW w:w="620" w:type="pct"/>
          </w:tcPr>
          <w:p w14:paraId="791F54E9" w14:textId="77777777" w:rsidR="003D1E32" w:rsidRPr="005F62F4" w:rsidRDefault="003D1E32" w:rsidP="00945CA9">
            <w:pPr>
              <w:pStyle w:val="TableTextRight"/>
              <w:rPr>
                <w:rFonts w:cstheme="minorHAnsi"/>
                <w:lang w:val="en-AU"/>
              </w:rPr>
            </w:pPr>
            <w:r w:rsidRPr="005F62F4">
              <w:rPr>
                <w:rFonts w:cstheme="minorHAnsi"/>
                <w:lang w:val="en-AU"/>
              </w:rPr>
              <w:t>22</w:t>
            </w:r>
          </w:p>
        </w:tc>
        <w:tc>
          <w:tcPr>
            <w:tcW w:w="620" w:type="pct"/>
          </w:tcPr>
          <w:p w14:paraId="42095765" w14:textId="77777777" w:rsidR="003D1E32" w:rsidRPr="005F62F4" w:rsidRDefault="003D1E32" w:rsidP="002A656F">
            <w:pPr>
              <w:pStyle w:val="TableTextRight"/>
              <w:keepNext/>
              <w:rPr>
                <w:rFonts w:cstheme="minorHAnsi"/>
                <w:lang w:val="en-AU"/>
              </w:rPr>
            </w:pPr>
            <w:r w:rsidRPr="005F62F4">
              <w:rPr>
                <w:rFonts w:cstheme="minorHAnsi"/>
                <w:lang w:val="en-AU"/>
              </w:rPr>
              <w:t>80</w:t>
            </w:r>
          </w:p>
        </w:tc>
      </w:tr>
    </w:tbl>
    <w:p w14:paraId="769F208A" w14:textId="09489A4D" w:rsidR="00131400" w:rsidRPr="005F62F4" w:rsidRDefault="00592BB7" w:rsidP="00736257">
      <w:pPr>
        <w:pStyle w:val="FootnoteText"/>
        <w:rPr>
          <w:rStyle w:val="TableTextChar"/>
        </w:rPr>
      </w:pPr>
      <w:r w:rsidRPr="005F62F4">
        <w:rPr>
          <w:rStyle w:val="TableTextChar"/>
        </w:rPr>
        <w:t>Note</w:t>
      </w:r>
      <w:r w:rsidR="004104CD" w:rsidRPr="005F62F4">
        <w:rPr>
          <w:rStyle w:val="TableTextChar"/>
        </w:rPr>
        <w:t>:</w:t>
      </w:r>
      <w:r w:rsidRPr="005F62F4">
        <w:rPr>
          <w:rStyle w:val="TableTextChar"/>
        </w:rPr>
        <w:t xml:space="preserve"> </w:t>
      </w:r>
      <w:r w:rsidR="004C2744" w:rsidRPr="005F62F4">
        <w:rPr>
          <w:rStyle w:val="TableTextChar"/>
        </w:rPr>
        <w:t>D</w:t>
      </w:r>
      <w:r w:rsidRPr="005F62F4">
        <w:rPr>
          <w:rStyle w:val="TableTextChar"/>
        </w:rPr>
        <w:t>ata</w:t>
      </w:r>
      <w:r w:rsidR="006B5AA3" w:rsidRPr="005F62F4">
        <w:rPr>
          <w:rStyle w:val="TableTextChar"/>
        </w:rPr>
        <w:t xml:space="preserve"> sub</w:t>
      </w:r>
      <w:r w:rsidRPr="005F62F4">
        <w:rPr>
          <w:rStyle w:val="TableTextChar"/>
        </w:rPr>
        <w:t>set used from 2016</w:t>
      </w:r>
      <w:r w:rsidR="00592314" w:rsidRPr="005F62F4">
        <w:rPr>
          <w:rStyle w:val="TableTextChar"/>
        </w:rPr>
        <w:t>–</w:t>
      </w:r>
      <w:r w:rsidRPr="005F62F4">
        <w:rPr>
          <w:rStyle w:val="TableTextChar"/>
        </w:rPr>
        <w:t>17 due to minimal comparable reporting prior to the 2016</w:t>
      </w:r>
      <w:r w:rsidR="00592314" w:rsidRPr="005F62F4">
        <w:rPr>
          <w:rStyle w:val="TableTextChar"/>
        </w:rPr>
        <w:t>–</w:t>
      </w:r>
      <w:r w:rsidRPr="005F62F4">
        <w:rPr>
          <w:rStyle w:val="TableTextChar"/>
        </w:rPr>
        <w:t>17 financial year.</w:t>
      </w:r>
    </w:p>
    <w:p w14:paraId="3890E99C" w14:textId="77777777" w:rsidR="00C772ED" w:rsidRPr="005F62F4" w:rsidRDefault="007C1E3C" w:rsidP="00736257">
      <w:pPr>
        <w:pStyle w:val="FootnoteText"/>
        <w:rPr>
          <w:rStyle w:val="TableTextChar"/>
        </w:rPr>
      </w:pPr>
      <w:r w:rsidRPr="005F62F4">
        <w:rPr>
          <w:rStyle w:val="TableTextChar"/>
        </w:rPr>
        <w:t xml:space="preserve">Cells annotated with </w:t>
      </w:r>
      <w:proofErr w:type="spellStart"/>
      <w:r w:rsidRPr="005F62F4">
        <w:rPr>
          <w:rStyle w:val="TableTextChar"/>
        </w:rPr>
        <w:t>n.p.</w:t>
      </w:r>
      <w:proofErr w:type="spellEnd"/>
      <w:r w:rsidRPr="005F62F4">
        <w:rPr>
          <w:rStyle w:val="TableTextChar"/>
        </w:rPr>
        <w:t xml:space="preserve"> indicate that there were fewer than 10 datapoints available and that the data was suppressed in files supplied by the department.</w:t>
      </w:r>
    </w:p>
    <w:p w14:paraId="40BA2E4C" w14:textId="782B84C1" w:rsidR="008F1AB4" w:rsidRPr="005F62F4" w:rsidRDefault="008F1AB4" w:rsidP="00DE20E6">
      <w:r w:rsidRPr="005F62F4">
        <w:br w:type="page"/>
      </w:r>
    </w:p>
    <w:p w14:paraId="7959C228" w14:textId="57E9D5C1" w:rsidR="00311A9B" w:rsidRPr="005F62F4" w:rsidRDefault="00E03A37" w:rsidP="00152A4B">
      <w:pPr>
        <w:pStyle w:val="Heading03"/>
      </w:pPr>
      <w:bookmarkStart w:id="191" w:name="_Toc120178323"/>
      <w:r w:rsidRPr="005F62F4">
        <w:lastRenderedPageBreak/>
        <w:t xml:space="preserve">Utilisation </w:t>
      </w:r>
      <w:r w:rsidR="00311A9B" w:rsidRPr="005F62F4">
        <w:t>by diagnosis related group (DRG)</w:t>
      </w:r>
      <w:bookmarkEnd w:id="191"/>
    </w:p>
    <w:p w14:paraId="44401838" w14:textId="15E86D97" w:rsidR="00040A7D" w:rsidRPr="005F62F4" w:rsidRDefault="008F1AB4" w:rsidP="00435A36">
      <w:pPr>
        <w:pStyle w:val="Para"/>
      </w:pPr>
      <w:r w:rsidRPr="005F62F4">
        <w:fldChar w:fldCharType="begin"/>
      </w:r>
      <w:r w:rsidRPr="005F62F4">
        <w:instrText xml:space="preserve"> REF _Ref119871397 \h </w:instrText>
      </w:r>
      <w:r w:rsidR="005F62F4">
        <w:instrText xml:space="preserve"> \* MERGEFORMAT </w:instrText>
      </w:r>
      <w:r w:rsidRPr="005F62F4">
        <w:fldChar w:fldCharType="separate"/>
      </w:r>
      <w:r w:rsidR="005606BF" w:rsidRPr="005F62F4">
        <w:t>Table </w:t>
      </w:r>
      <w:r w:rsidR="005606BF">
        <w:t>13</w:t>
      </w:r>
      <w:r w:rsidRPr="005F62F4">
        <w:fldChar w:fldCharType="end"/>
      </w:r>
      <w:r w:rsidR="1F3B96DF" w:rsidRPr="005F62F4">
        <w:t xml:space="preserve"> shows </w:t>
      </w:r>
      <w:proofErr w:type="spellStart"/>
      <w:r w:rsidR="1F3B96DF" w:rsidRPr="005F62F4">
        <w:t>biomodel</w:t>
      </w:r>
      <w:proofErr w:type="spellEnd"/>
      <w:r w:rsidR="1F3B96DF" w:rsidRPr="005F62F4">
        <w:t xml:space="preserve"> utilisation by DRG</w:t>
      </w:r>
      <w:r w:rsidR="70FC0C38" w:rsidRPr="005F62F4">
        <w:t xml:space="preserve">. </w:t>
      </w:r>
      <w:r w:rsidR="004A6F28" w:rsidRPr="005F62F4">
        <w:t>M</w:t>
      </w:r>
      <w:r w:rsidR="70FC0C38" w:rsidRPr="005F62F4">
        <w:t xml:space="preserve">ajor complexity </w:t>
      </w:r>
      <w:r w:rsidR="10FC0BD5" w:rsidRPr="005F62F4">
        <w:t>m</w:t>
      </w:r>
      <w:r w:rsidR="214A10C6" w:rsidRPr="005F62F4">
        <w:t xml:space="preserve">axillofacial </w:t>
      </w:r>
      <w:r w:rsidR="70FC0C38" w:rsidRPr="005F62F4" w:rsidDel="002D09DA">
        <w:t>surgery</w:t>
      </w:r>
      <w:r w:rsidR="70FC0C38" w:rsidRPr="005F62F4" w:rsidDel="003721CB">
        <w:t xml:space="preserve"> </w:t>
      </w:r>
      <w:r w:rsidR="70FC0C38" w:rsidRPr="005F62F4">
        <w:t>account</w:t>
      </w:r>
      <w:r w:rsidR="7EC5883A" w:rsidRPr="005F62F4">
        <w:t>ed</w:t>
      </w:r>
      <w:r w:rsidR="70FC0C38" w:rsidRPr="005F62F4">
        <w:t xml:space="preserve"> for </w:t>
      </w:r>
      <w:r w:rsidR="78051421" w:rsidRPr="005F62F4">
        <w:t>53</w:t>
      </w:r>
      <w:r w:rsidR="70FC0C38" w:rsidRPr="005F62F4">
        <w:t xml:space="preserve">% of the total utilisation of </w:t>
      </w:r>
      <w:proofErr w:type="spellStart"/>
      <w:r w:rsidR="70FC0C38" w:rsidRPr="005F62F4">
        <w:t>biomodels</w:t>
      </w:r>
      <w:proofErr w:type="spellEnd"/>
      <w:r w:rsidR="70FC0C38" w:rsidRPr="005F62F4">
        <w:t xml:space="preserve"> in </w:t>
      </w:r>
      <w:r w:rsidR="65BBD2BE" w:rsidRPr="005F62F4">
        <w:t>2020–21</w:t>
      </w:r>
      <w:r w:rsidR="70FC0C38" w:rsidRPr="005F62F4" w:rsidDel="00277135">
        <w:t>.</w:t>
      </w:r>
      <w:r w:rsidR="6CBC57D9" w:rsidRPr="005F62F4">
        <w:t xml:space="preserve"> </w:t>
      </w:r>
      <w:r w:rsidR="70FC0C38" w:rsidRPr="005F62F4">
        <w:t>Minor complexity m</w:t>
      </w:r>
      <w:r w:rsidR="70FC0C38" w:rsidRPr="005F62F4" w:rsidDel="00277135">
        <w:t xml:space="preserve">axillofacial surgery </w:t>
      </w:r>
      <w:r w:rsidR="70FC0C38" w:rsidRPr="005F62F4">
        <w:t>account</w:t>
      </w:r>
      <w:r w:rsidR="5F40EECC" w:rsidRPr="005F62F4">
        <w:t>ed</w:t>
      </w:r>
      <w:r w:rsidR="70FC0C38" w:rsidRPr="005F62F4">
        <w:t xml:space="preserve"> for </w:t>
      </w:r>
      <w:r w:rsidR="62912D41" w:rsidRPr="005F62F4">
        <w:t>9</w:t>
      </w:r>
      <w:r w:rsidR="70FC0C38" w:rsidRPr="005F62F4">
        <w:t>%</w:t>
      </w:r>
      <w:r w:rsidRPr="005F62F4" w:rsidDel="70FC0C38">
        <w:t xml:space="preserve"> of </w:t>
      </w:r>
      <w:proofErr w:type="spellStart"/>
      <w:r w:rsidRPr="005F62F4" w:rsidDel="70FC0C38">
        <w:t>biomodel</w:t>
      </w:r>
      <w:proofErr w:type="spellEnd"/>
      <w:r w:rsidRPr="005F62F4" w:rsidDel="70FC0C38">
        <w:t xml:space="preserve"> use</w:t>
      </w:r>
      <w:r w:rsidR="78B35E30" w:rsidRPr="005F62F4">
        <w:t>.</w:t>
      </w:r>
      <w:r w:rsidR="70FC0C38" w:rsidRPr="005F62F4">
        <w:t xml:space="preserve"> </w:t>
      </w:r>
      <w:r w:rsidR="12FC1142" w:rsidRPr="005F62F4">
        <w:t>O</w:t>
      </w:r>
      <w:r w:rsidR="70FC0C38" w:rsidRPr="005F62F4">
        <w:t>rthopaedic DRGs (</w:t>
      </w:r>
      <w:r w:rsidR="71CF6A72" w:rsidRPr="005F62F4">
        <w:t>hip</w:t>
      </w:r>
      <w:r w:rsidR="70FC0C38" w:rsidRPr="005F62F4">
        <w:t xml:space="preserve"> replacement; humerus, tibia and fibula and ankle; and other hip and femur procedures) account for a combined </w:t>
      </w:r>
      <w:r w:rsidR="66056B82" w:rsidRPr="005F62F4">
        <w:t>2</w:t>
      </w:r>
      <w:r w:rsidR="70FC0C38" w:rsidRPr="005F62F4">
        <w:t xml:space="preserve">% of </w:t>
      </w:r>
      <w:proofErr w:type="spellStart"/>
      <w:r w:rsidR="70FC0C38" w:rsidRPr="005F62F4">
        <w:t>biomodel</w:t>
      </w:r>
      <w:proofErr w:type="spellEnd"/>
      <w:r w:rsidR="70FC0C38" w:rsidRPr="005F62F4">
        <w:t xml:space="preserve"> use in </w:t>
      </w:r>
      <w:r w:rsidR="003D5E1C" w:rsidRPr="005F62F4">
        <w:t>2019-20</w:t>
      </w:r>
      <w:r w:rsidR="007F3FCB" w:rsidRPr="005F62F4">
        <w:t>,</w:t>
      </w:r>
      <w:r w:rsidR="003D5E1C" w:rsidRPr="005F62F4">
        <w:t xml:space="preserve"> growing to 9.5% in </w:t>
      </w:r>
      <w:r w:rsidR="65BBD2BE" w:rsidRPr="005F62F4">
        <w:t>20</w:t>
      </w:r>
      <w:r w:rsidRPr="005F62F4" w:rsidDel="65BBD2BE">
        <w:t>20–21</w:t>
      </w:r>
      <w:r w:rsidR="1E60904F" w:rsidRPr="005F62F4">
        <w:t>.</w:t>
      </w:r>
    </w:p>
    <w:p w14:paraId="1D7EC332" w14:textId="5B7DDD23" w:rsidR="00847DAD" w:rsidRPr="005F62F4" w:rsidRDefault="00E56C05" w:rsidP="00847DAD">
      <w:pPr>
        <w:pStyle w:val="Caption"/>
      </w:pPr>
      <w:bookmarkStart w:id="192" w:name="_Ref119871397"/>
      <w:bookmarkStart w:id="193" w:name="_Toc129954650"/>
      <w:r w:rsidRPr="005F62F4">
        <w:t>Table </w:t>
      </w:r>
      <w:r w:rsidRPr="005F62F4">
        <w:fldChar w:fldCharType="begin"/>
      </w:r>
      <w:r w:rsidRPr="005F62F4">
        <w:instrText>SEQ Table \* ARABIC</w:instrText>
      </w:r>
      <w:r w:rsidRPr="005F62F4">
        <w:fldChar w:fldCharType="separate"/>
      </w:r>
      <w:r w:rsidR="005606BF">
        <w:rPr>
          <w:noProof/>
        </w:rPr>
        <w:t>13</w:t>
      </w:r>
      <w:r w:rsidRPr="005F62F4">
        <w:fldChar w:fldCharType="end"/>
      </w:r>
      <w:bookmarkEnd w:id="192"/>
      <w:r w:rsidR="00847DAD" w:rsidRPr="005F62F4">
        <w:t xml:space="preserve">: </w:t>
      </w:r>
      <w:proofErr w:type="spellStart"/>
      <w:r w:rsidR="00847DAD" w:rsidRPr="005F62F4">
        <w:t>Biomodels</w:t>
      </w:r>
      <w:proofErr w:type="spellEnd"/>
      <w:r w:rsidR="00847DAD" w:rsidRPr="005F62F4">
        <w:t xml:space="preserve"> by diagnosis related groupings, by financial year</w:t>
      </w:r>
      <w:bookmarkEnd w:id="193"/>
    </w:p>
    <w:tbl>
      <w:tblPr>
        <w:tblStyle w:val="SGB"/>
        <w:tblW w:w="5000" w:type="pct"/>
        <w:tblLook w:val="01A0" w:firstRow="1" w:lastRow="0" w:firstColumn="1" w:lastColumn="1" w:noHBand="0" w:noVBand="0"/>
      </w:tblPr>
      <w:tblGrid>
        <w:gridCol w:w="6182"/>
        <w:gridCol w:w="1028"/>
        <w:gridCol w:w="1013"/>
        <w:gridCol w:w="1109"/>
      </w:tblGrid>
      <w:tr w:rsidR="003E121D" w:rsidRPr="005F62F4" w14:paraId="58290E6F" w14:textId="77777777" w:rsidTr="008B3159">
        <w:trPr>
          <w:cnfStyle w:val="100000000000" w:firstRow="1" w:lastRow="0" w:firstColumn="0" w:lastColumn="0" w:oddVBand="0" w:evenVBand="0" w:oddHBand="0" w:evenHBand="0" w:firstRowFirstColumn="0" w:firstRowLastColumn="0" w:lastRowFirstColumn="0" w:lastRowLastColumn="0"/>
          <w:trHeight w:val="411"/>
        </w:trPr>
        <w:tc>
          <w:tcPr>
            <w:cnfStyle w:val="001000000000" w:firstRow="0" w:lastRow="0" w:firstColumn="1" w:lastColumn="0" w:oddVBand="0" w:evenVBand="0" w:oddHBand="0" w:evenHBand="0" w:firstRowFirstColumn="0" w:firstRowLastColumn="0" w:lastRowFirstColumn="0" w:lastRowLastColumn="0"/>
            <w:tcW w:w="3312" w:type="pct"/>
          </w:tcPr>
          <w:p w14:paraId="69820CF1" w14:textId="6052D360" w:rsidR="00040A7D" w:rsidRPr="005F62F4" w:rsidRDefault="000A02CF" w:rsidP="00FD56E3">
            <w:pPr>
              <w:pStyle w:val="TableText"/>
            </w:pPr>
            <w:bookmarkStart w:id="194" w:name="Title_15" w:colFirst="0" w:colLast="0"/>
            <w:r w:rsidRPr="005F62F4">
              <w:t>DRG</w:t>
            </w:r>
          </w:p>
        </w:tc>
        <w:tc>
          <w:tcPr>
            <w:tcW w:w="551" w:type="pct"/>
          </w:tcPr>
          <w:p w14:paraId="3D3765D3" w14:textId="31F7D646" w:rsidR="00040A7D" w:rsidRPr="005F62F4" w:rsidRDefault="007067D1" w:rsidP="00FD56E3">
            <w:pPr>
              <w:pStyle w:val="TableTextRight"/>
              <w:cnfStyle w:val="100000000000" w:firstRow="1" w:lastRow="0" w:firstColumn="0" w:lastColumn="0" w:oddVBand="0" w:evenVBand="0" w:oddHBand="0" w:evenHBand="0" w:firstRowFirstColumn="0" w:firstRowLastColumn="0" w:lastRowFirstColumn="0" w:lastRowLastColumn="0"/>
              <w:rPr>
                <w:lang w:val="en-AU"/>
              </w:rPr>
            </w:pPr>
            <w:r w:rsidRPr="005F62F4">
              <w:rPr>
                <w:lang w:val="en-AU"/>
              </w:rPr>
              <w:t>2018–</w:t>
            </w:r>
            <w:r w:rsidR="00040A7D" w:rsidRPr="005F62F4">
              <w:rPr>
                <w:lang w:val="en-AU"/>
              </w:rPr>
              <w:t>19</w:t>
            </w:r>
          </w:p>
        </w:tc>
        <w:tc>
          <w:tcPr>
            <w:tcW w:w="543" w:type="pct"/>
          </w:tcPr>
          <w:p w14:paraId="114A1530" w14:textId="00780480" w:rsidR="00040A7D" w:rsidRPr="005F62F4" w:rsidRDefault="007067D1" w:rsidP="00FD56E3">
            <w:pPr>
              <w:pStyle w:val="TableTextRight"/>
              <w:cnfStyle w:val="100000000000" w:firstRow="1" w:lastRow="0" w:firstColumn="0" w:lastColumn="0" w:oddVBand="0" w:evenVBand="0" w:oddHBand="0" w:evenHBand="0" w:firstRowFirstColumn="0" w:firstRowLastColumn="0" w:lastRowFirstColumn="0" w:lastRowLastColumn="0"/>
              <w:rPr>
                <w:lang w:val="en-AU"/>
              </w:rPr>
            </w:pPr>
            <w:r w:rsidRPr="005F62F4">
              <w:rPr>
                <w:lang w:val="en-AU"/>
              </w:rPr>
              <w:t>2019–</w:t>
            </w:r>
            <w:r w:rsidR="00040A7D" w:rsidRPr="005F62F4">
              <w:rPr>
                <w:lang w:val="en-AU"/>
              </w:rPr>
              <w:t>20</w:t>
            </w:r>
          </w:p>
        </w:tc>
        <w:tc>
          <w:tcPr>
            <w:cnfStyle w:val="000100000000" w:firstRow="0" w:lastRow="0" w:firstColumn="0" w:lastColumn="1" w:oddVBand="0" w:evenVBand="0" w:oddHBand="0" w:evenHBand="0" w:firstRowFirstColumn="0" w:firstRowLastColumn="0" w:lastRowFirstColumn="0" w:lastRowLastColumn="0"/>
            <w:tcW w:w="594" w:type="pct"/>
          </w:tcPr>
          <w:p w14:paraId="621B9B7E" w14:textId="5A7AF000" w:rsidR="00040A7D" w:rsidRPr="005F62F4" w:rsidRDefault="007067D1" w:rsidP="00FD56E3">
            <w:pPr>
              <w:pStyle w:val="TableTextRight"/>
              <w:rPr>
                <w:lang w:val="en-AU"/>
              </w:rPr>
            </w:pPr>
            <w:r w:rsidRPr="005F62F4">
              <w:rPr>
                <w:lang w:val="en-AU"/>
              </w:rPr>
              <w:t>2020–</w:t>
            </w:r>
            <w:r w:rsidR="00040A7D" w:rsidRPr="005F62F4">
              <w:rPr>
                <w:lang w:val="en-AU"/>
              </w:rPr>
              <w:t>21</w:t>
            </w:r>
          </w:p>
        </w:tc>
      </w:tr>
      <w:bookmarkEnd w:id="194"/>
      <w:tr w:rsidR="00040A7D" w:rsidRPr="005F62F4" w14:paraId="1F3B6895" w14:textId="77777777" w:rsidTr="008B3159">
        <w:trPr>
          <w:trHeight w:val="170"/>
        </w:trPr>
        <w:tc>
          <w:tcPr>
            <w:cnfStyle w:val="001000000000" w:firstRow="0" w:lastRow="0" w:firstColumn="1" w:lastColumn="0" w:oddVBand="0" w:evenVBand="0" w:oddHBand="0" w:evenHBand="0" w:firstRowFirstColumn="0" w:firstRowLastColumn="0" w:lastRowFirstColumn="0" w:lastRowLastColumn="0"/>
            <w:tcW w:w="3312" w:type="pct"/>
          </w:tcPr>
          <w:p w14:paraId="3A1B941D" w14:textId="77777777" w:rsidR="00040A7D" w:rsidRPr="005F62F4" w:rsidRDefault="00040A7D" w:rsidP="00FD56E3">
            <w:pPr>
              <w:pStyle w:val="TableText"/>
              <w:rPr>
                <w:rFonts w:cstheme="minorHAnsi"/>
                <w:b w:val="0"/>
              </w:rPr>
            </w:pPr>
            <w:r w:rsidRPr="005F62F4">
              <w:rPr>
                <w:rFonts w:cstheme="minorHAnsi"/>
                <w:b w:val="0"/>
              </w:rPr>
              <w:t>Maxillofacial Surgery, Major Complexity</w:t>
            </w:r>
          </w:p>
        </w:tc>
        <w:tc>
          <w:tcPr>
            <w:tcW w:w="551" w:type="pct"/>
          </w:tcPr>
          <w:p w14:paraId="4F0DE391" w14:textId="77777777" w:rsidR="00040A7D" w:rsidRPr="005F62F4" w:rsidRDefault="00040A7D" w:rsidP="00FD56E3">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lang w:val="en-AU"/>
              </w:rPr>
              <w:t>800</w:t>
            </w:r>
          </w:p>
        </w:tc>
        <w:tc>
          <w:tcPr>
            <w:tcW w:w="543" w:type="pct"/>
          </w:tcPr>
          <w:p w14:paraId="62E01301" w14:textId="77777777" w:rsidR="00040A7D" w:rsidRPr="005F62F4" w:rsidRDefault="00040A7D" w:rsidP="00FD56E3">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lang w:val="en-AU"/>
              </w:rPr>
              <w:t>829</w:t>
            </w:r>
          </w:p>
        </w:tc>
        <w:tc>
          <w:tcPr>
            <w:cnfStyle w:val="000100000000" w:firstRow="0" w:lastRow="0" w:firstColumn="0" w:lastColumn="1" w:oddVBand="0" w:evenVBand="0" w:oddHBand="0" w:evenHBand="0" w:firstRowFirstColumn="0" w:firstRowLastColumn="0" w:lastRowFirstColumn="0" w:lastRowLastColumn="0"/>
            <w:tcW w:w="594" w:type="pct"/>
          </w:tcPr>
          <w:p w14:paraId="49460BB1" w14:textId="77777777" w:rsidR="00040A7D" w:rsidRPr="005F62F4" w:rsidRDefault="00040A7D" w:rsidP="00FD56E3">
            <w:pPr>
              <w:pStyle w:val="TableTextRight"/>
              <w:rPr>
                <w:rFonts w:cstheme="minorHAnsi"/>
                <w:b w:val="0"/>
                <w:lang w:val="en-AU"/>
              </w:rPr>
            </w:pPr>
            <w:r w:rsidRPr="005F62F4">
              <w:rPr>
                <w:rFonts w:cstheme="minorHAnsi"/>
                <w:b w:val="0"/>
                <w:lang w:val="en-AU"/>
              </w:rPr>
              <w:t>1307</w:t>
            </w:r>
          </w:p>
        </w:tc>
      </w:tr>
      <w:tr w:rsidR="002F187D" w:rsidRPr="005F62F4" w14:paraId="51FE678B" w14:textId="77777777" w:rsidTr="008B3159">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3312" w:type="pct"/>
          </w:tcPr>
          <w:p w14:paraId="4527E974" w14:textId="77777777" w:rsidR="00040A7D" w:rsidRPr="005F62F4" w:rsidRDefault="00040A7D" w:rsidP="00FD56E3">
            <w:pPr>
              <w:pStyle w:val="TableText"/>
              <w:rPr>
                <w:rFonts w:cstheme="minorHAnsi"/>
                <w:b w:val="0"/>
              </w:rPr>
            </w:pPr>
            <w:r w:rsidRPr="005F62F4">
              <w:rPr>
                <w:rFonts w:cstheme="minorHAnsi"/>
                <w:b w:val="0"/>
              </w:rPr>
              <w:t>Maxillofacial Surgery, Minor Complexity</w:t>
            </w:r>
          </w:p>
        </w:tc>
        <w:tc>
          <w:tcPr>
            <w:tcW w:w="551" w:type="pct"/>
          </w:tcPr>
          <w:p w14:paraId="2733F25D" w14:textId="77777777" w:rsidR="00040A7D" w:rsidRPr="005F62F4" w:rsidRDefault="00040A7D" w:rsidP="00FD56E3">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color w:val="000000"/>
                <w:lang w:val="en-AU"/>
              </w:rPr>
              <w:t>18</w:t>
            </w:r>
          </w:p>
        </w:tc>
        <w:tc>
          <w:tcPr>
            <w:tcW w:w="543" w:type="pct"/>
          </w:tcPr>
          <w:p w14:paraId="0EE5B0DB" w14:textId="77777777" w:rsidR="00040A7D" w:rsidRPr="005F62F4" w:rsidRDefault="00040A7D" w:rsidP="00FD56E3">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color w:val="000000"/>
                <w:lang w:val="en-AU"/>
              </w:rPr>
              <w:t>110</w:t>
            </w:r>
          </w:p>
        </w:tc>
        <w:tc>
          <w:tcPr>
            <w:cnfStyle w:val="000100000000" w:firstRow="0" w:lastRow="0" w:firstColumn="0" w:lastColumn="1" w:oddVBand="0" w:evenVBand="0" w:oddHBand="0" w:evenHBand="0" w:firstRowFirstColumn="0" w:firstRowLastColumn="0" w:lastRowFirstColumn="0" w:lastRowLastColumn="0"/>
            <w:tcW w:w="594" w:type="pct"/>
          </w:tcPr>
          <w:p w14:paraId="1CBE7796" w14:textId="77777777" w:rsidR="00040A7D" w:rsidRPr="005F62F4" w:rsidRDefault="00040A7D" w:rsidP="00FD56E3">
            <w:pPr>
              <w:pStyle w:val="TableTextRight"/>
              <w:rPr>
                <w:rFonts w:cstheme="minorHAnsi"/>
                <w:b w:val="0"/>
                <w:lang w:val="en-AU"/>
              </w:rPr>
            </w:pPr>
            <w:r w:rsidRPr="005F62F4">
              <w:rPr>
                <w:rFonts w:cstheme="minorHAnsi"/>
                <w:b w:val="0"/>
                <w:color w:val="000000"/>
                <w:lang w:val="en-AU"/>
              </w:rPr>
              <w:t>217</w:t>
            </w:r>
          </w:p>
        </w:tc>
      </w:tr>
      <w:tr w:rsidR="00040A7D" w:rsidRPr="005F62F4" w14:paraId="0BF24B61" w14:textId="77777777" w:rsidTr="008B3159">
        <w:trPr>
          <w:trHeight w:val="170"/>
        </w:trPr>
        <w:tc>
          <w:tcPr>
            <w:cnfStyle w:val="001000000000" w:firstRow="0" w:lastRow="0" w:firstColumn="1" w:lastColumn="0" w:oddVBand="0" w:evenVBand="0" w:oddHBand="0" w:evenHBand="0" w:firstRowFirstColumn="0" w:firstRowLastColumn="0" w:lastRowFirstColumn="0" w:lastRowLastColumn="0"/>
            <w:tcW w:w="3312" w:type="pct"/>
          </w:tcPr>
          <w:p w14:paraId="27D72639" w14:textId="77777777" w:rsidR="00040A7D" w:rsidRPr="005F62F4" w:rsidRDefault="00040A7D" w:rsidP="00FD56E3">
            <w:pPr>
              <w:pStyle w:val="TableText"/>
              <w:rPr>
                <w:rFonts w:cstheme="minorHAnsi"/>
                <w:b w:val="0"/>
              </w:rPr>
            </w:pPr>
            <w:r w:rsidRPr="005F62F4">
              <w:rPr>
                <w:rFonts w:cstheme="minorHAnsi"/>
                <w:b w:val="0"/>
              </w:rPr>
              <w:t>Other Ear, Nose, Mouth and Throat Procedures, Minor complexity</w:t>
            </w:r>
          </w:p>
        </w:tc>
        <w:tc>
          <w:tcPr>
            <w:tcW w:w="551" w:type="pct"/>
          </w:tcPr>
          <w:p w14:paraId="03E233AD" w14:textId="77777777" w:rsidR="00040A7D" w:rsidRPr="005F62F4" w:rsidRDefault="00040A7D" w:rsidP="00FD56E3">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color w:val="000000"/>
                <w:lang w:val="en-AU"/>
              </w:rPr>
              <w:t>16</w:t>
            </w:r>
          </w:p>
        </w:tc>
        <w:tc>
          <w:tcPr>
            <w:tcW w:w="543" w:type="pct"/>
          </w:tcPr>
          <w:p w14:paraId="17E51498" w14:textId="77777777" w:rsidR="00040A7D" w:rsidRPr="005F62F4" w:rsidRDefault="00040A7D" w:rsidP="00FD56E3">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color w:val="000000"/>
                <w:lang w:val="en-AU"/>
              </w:rPr>
              <w:t>73</w:t>
            </w:r>
          </w:p>
        </w:tc>
        <w:tc>
          <w:tcPr>
            <w:cnfStyle w:val="000100000000" w:firstRow="0" w:lastRow="0" w:firstColumn="0" w:lastColumn="1" w:oddVBand="0" w:evenVBand="0" w:oddHBand="0" w:evenHBand="0" w:firstRowFirstColumn="0" w:firstRowLastColumn="0" w:lastRowFirstColumn="0" w:lastRowLastColumn="0"/>
            <w:tcW w:w="594" w:type="pct"/>
          </w:tcPr>
          <w:p w14:paraId="4A53CD28" w14:textId="77777777" w:rsidR="00040A7D" w:rsidRPr="005F62F4" w:rsidRDefault="00040A7D" w:rsidP="00FD56E3">
            <w:pPr>
              <w:pStyle w:val="TableTextRight"/>
              <w:rPr>
                <w:rFonts w:cstheme="minorHAnsi"/>
                <w:b w:val="0"/>
                <w:lang w:val="en-AU"/>
              </w:rPr>
            </w:pPr>
            <w:r w:rsidRPr="005F62F4">
              <w:rPr>
                <w:rFonts w:cstheme="minorHAnsi"/>
                <w:b w:val="0"/>
                <w:color w:val="000000"/>
                <w:lang w:val="en-AU"/>
              </w:rPr>
              <w:t>94</w:t>
            </w:r>
          </w:p>
        </w:tc>
      </w:tr>
      <w:tr w:rsidR="002F187D" w:rsidRPr="005F62F4" w14:paraId="2E102571" w14:textId="77777777" w:rsidTr="008B3159">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3312" w:type="pct"/>
          </w:tcPr>
          <w:p w14:paraId="69428587" w14:textId="77777777" w:rsidR="00040A7D" w:rsidRPr="005F62F4" w:rsidRDefault="00040A7D" w:rsidP="00FD56E3">
            <w:pPr>
              <w:pStyle w:val="TableText"/>
              <w:rPr>
                <w:rFonts w:cstheme="minorHAnsi"/>
                <w:b w:val="0"/>
              </w:rPr>
            </w:pPr>
            <w:r w:rsidRPr="005F62F4">
              <w:rPr>
                <w:rFonts w:cstheme="minorHAnsi"/>
                <w:b w:val="0"/>
              </w:rPr>
              <w:t>Hip Replacement, Minor Complexity</w:t>
            </w:r>
          </w:p>
        </w:tc>
        <w:tc>
          <w:tcPr>
            <w:tcW w:w="551" w:type="pct"/>
          </w:tcPr>
          <w:p w14:paraId="38097C36" w14:textId="77777777" w:rsidR="00040A7D" w:rsidRPr="005F62F4" w:rsidRDefault="00040A7D" w:rsidP="00FD56E3">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p>
        </w:tc>
        <w:tc>
          <w:tcPr>
            <w:tcW w:w="543" w:type="pct"/>
          </w:tcPr>
          <w:p w14:paraId="5EEEFA3C" w14:textId="77777777" w:rsidR="00040A7D" w:rsidRPr="005F62F4" w:rsidRDefault="00040A7D" w:rsidP="00FD56E3">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color w:val="000000"/>
                <w:lang w:val="en-AU"/>
              </w:rPr>
              <w:t>21</w:t>
            </w:r>
          </w:p>
        </w:tc>
        <w:tc>
          <w:tcPr>
            <w:cnfStyle w:val="000100000000" w:firstRow="0" w:lastRow="0" w:firstColumn="0" w:lastColumn="1" w:oddVBand="0" w:evenVBand="0" w:oddHBand="0" w:evenHBand="0" w:firstRowFirstColumn="0" w:firstRowLastColumn="0" w:lastRowFirstColumn="0" w:lastRowLastColumn="0"/>
            <w:tcW w:w="594" w:type="pct"/>
          </w:tcPr>
          <w:p w14:paraId="1102A8BD" w14:textId="77777777" w:rsidR="00040A7D" w:rsidRPr="005F62F4" w:rsidRDefault="00040A7D" w:rsidP="00FD56E3">
            <w:pPr>
              <w:pStyle w:val="TableTextRight"/>
              <w:rPr>
                <w:rFonts w:cstheme="minorHAnsi"/>
                <w:b w:val="0"/>
                <w:lang w:val="en-AU"/>
              </w:rPr>
            </w:pPr>
            <w:r w:rsidRPr="005F62F4">
              <w:rPr>
                <w:rFonts w:cstheme="minorHAnsi"/>
                <w:b w:val="0"/>
                <w:color w:val="000000"/>
                <w:lang w:val="en-AU"/>
              </w:rPr>
              <w:t>72</w:t>
            </w:r>
          </w:p>
        </w:tc>
      </w:tr>
      <w:tr w:rsidR="00040A7D" w:rsidRPr="005F62F4" w14:paraId="3FA0074F" w14:textId="77777777" w:rsidTr="008B3159">
        <w:trPr>
          <w:trHeight w:val="170"/>
        </w:trPr>
        <w:tc>
          <w:tcPr>
            <w:cnfStyle w:val="001000000000" w:firstRow="0" w:lastRow="0" w:firstColumn="1" w:lastColumn="0" w:oddVBand="0" w:evenVBand="0" w:oddHBand="0" w:evenHBand="0" w:firstRowFirstColumn="0" w:firstRowLastColumn="0" w:lastRowFirstColumn="0" w:lastRowLastColumn="0"/>
            <w:tcW w:w="3312" w:type="pct"/>
          </w:tcPr>
          <w:p w14:paraId="3C791E2B" w14:textId="77777777" w:rsidR="00040A7D" w:rsidRPr="005F62F4" w:rsidRDefault="00040A7D" w:rsidP="00FD56E3">
            <w:pPr>
              <w:pStyle w:val="TableText"/>
              <w:rPr>
                <w:rFonts w:cstheme="minorHAnsi"/>
                <w:b w:val="0"/>
              </w:rPr>
            </w:pPr>
            <w:r w:rsidRPr="005F62F4">
              <w:rPr>
                <w:rFonts w:cstheme="minorHAnsi"/>
                <w:b w:val="0"/>
              </w:rPr>
              <w:t>Humerus, Tibia, Fibula and Ankle Procedures, Minor Complexity</w:t>
            </w:r>
          </w:p>
        </w:tc>
        <w:tc>
          <w:tcPr>
            <w:tcW w:w="551" w:type="pct"/>
          </w:tcPr>
          <w:p w14:paraId="0D87215B" w14:textId="77777777" w:rsidR="00040A7D" w:rsidRPr="005F62F4" w:rsidRDefault="00040A7D" w:rsidP="00FD56E3">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p>
        </w:tc>
        <w:tc>
          <w:tcPr>
            <w:tcW w:w="543" w:type="pct"/>
          </w:tcPr>
          <w:p w14:paraId="14174959" w14:textId="77777777" w:rsidR="00040A7D" w:rsidRPr="005F62F4" w:rsidRDefault="00040A7D" w:rsidP="00FD56E3">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p>
        </w:tc>
        <w:tc>
          <w:tcPr>
            <w:cnfStyle w:val="000100000000" w:firstRow="0" w:lastRow="0" w:firstColumn="0" w:lastColumn="1" w:oddVBand="0" w:evenVBand="0" w:oddHBand="0" w:evenHBand="0" w:firstRowFirstColumn="0" w:firstRowLastColumn="0" w:lastRowFirstColumn="0" w:lastRowLastColumn="0"/>
            <w:tcW w:w="594" w:type="pct"/>
          </w:tcPr>
          <w:p w14:paraId="5C659207" w14:textId="77777777" w:rsidR="00040A7D" w:rsidRPr="005F62F4" w:rsidRDefault="00040A7D" w:rsidP="00FD56E3">
            <w:pPr>
              <w:pStyle w:val="TableTextRight"/>
              <w:rPr>
                <w:rFonts w:cstheme="minorHAnsi"/>
                <w:b w:val="0"/>
                <w:lang w:val="en-AU"/>
              </w:rPr>
            </w:pPr>
            <w:r w:rsidRPr="005F62F4">
              <w:rPr>
                <w:rFonts w:cstheme="minorHAnsi"/>
                <w:b w:val="0"/>
                <w:color w:val="000000"/>
                <w:lang w:val="en-AU"/>
              </w:rPr>
              <w:t>72</w:t>
            </w:r>
          </w:p>
        </w:tc>
      </w:tr>
      <w:tr w:rsidR="002F187D" w:rsidRPr="005F62F4" w14:paraId="7616BADC" w14:textId="77777777" w:rsidTr="008B3159">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3312" w:type="pct"/>
          </w:tcPr>
          <w:p w14:paraId="794549B2" w14:textId="77777777" w:rsidR="00040A7D" w:rsidRPr="005F62F4" w:rsidRDefault="00040A7D" w:rsidP="00FD56E3">
            <w:pPr>
              <w:pStyle w:val="TableText"/>
              <w:rPr>
                <w:rFonts w:cstheme="minorHAnsi"/>
                <w:b w:val="0"/>
              </w:rPr>
            </w:pPr>
            <w:r w:rsidRPr="005F62F4">
              <w:rPr>
                <w:rFonts w:cstheme="minorHAnsi"/>
                <w:b w:val="0"/>
              </w:rPr>
              <w:t>Mouth and Salivary Gland Procedures, Major Complexity</w:t>
            </w:r>
          </w:p>
        </w:tc>
        <w:tc>
          <w:tcPr>
            <w:tcW w:w="551" w:type="pct"/>
          </w:tcPr>
          <w:p w14:paraId="7229365C" w14:textId="77777777" w:rsidR="00040A7D" w:rsidRPr="005F62F4" w:rsidRDefault="00040A7D" w:rsidP="00FD56E3">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p>
        </w:tc>
        <w:tc>
          <w:tcPr>
            <w:tcW w:w="543" w:type="pct"/>
          </w:tcPr>
          <w:p w14:paraId="32175BA3" w14:textId="77777777" w:rsidR="00040A7D" w:rsidRPr="005F62F4" w:rsidRDefault="00040A7D" w:rsidP="00FD56E3">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color w:val="000000"/>
                <w:lang w:val="en-AU"/>
              </w:rPr>
              <w:t>27</w:t>
            </w:r>
          </w:p>
        </w:tc>
        <w:tc>
          <w:tcPr>
            <w:cnfStyle w:val="000100000000" w:firstRow="0" w:lastRow="0" w:firstColumn="0" w:lastColumn="1" w:oddVBand="0" w:evenVBand="0" w:oddHBand="0" w:evenHBand="0" w:firstRowFirstColumn="0" w:firstRowLastColumn="0" w:lastRowFirstColumn="0" w:lastRowLastColumn="0"/>
            <w:tcW w:w="594" w:type="pct"/>
          </w:tcPr>
          <w:p w14:paraId="45234B90" w14:textId="77777777" w:rsidR="00040A7D" w:rsidRPr="005F62F4" w:rsidRDefault="00040A7D" w:rsidP="00FD56E3">
            <w:pPr>
              <w:pStyle w:val="TableTextRight"/>
              <w:rPr>
                <w:rFonts w:cstheme="minorHAnsi"/>
                <w:b w:val="0"/>
                <w:lang w:val="en-AU"/>
              </w:rPr>
            </w:pPr>
            <w:r w:rsidRPr="005F62F4">
              <w:rPr>
                <w:rFonts w:cstheme="minorHAnsi"/>
                <w:b w:val="0"/>
                <w:color w:val="000000"/>
                <w:lang w:val="en-AU"/>
              </w:rPr>
              <w:t>69</w:t>
            </w:r>
          </w:p>
        </w:tc>
      </w:tr>
      <w:tr w:rsidR="00040A7D" w:rsidRPr="005F62F4" w14:paraId="336B0A31" w14:textId="77777777" w:rsidTr="008B3159">
        <w:trPr>
          <w:trHeight w:val="170"/>
        </w:trPr>
        <w:tc>
          <w:tcPr>
            <w:cnfStyle w:val="001000000000" w:firstRow="0" w:lastRow="0" w:firstColumn="1" w:lastColumn="0" w:oddVBand="0" w:evenVBand="0" w:oddHBand="0" w:evenHBand="0" w:firstRowFirstColumn="0" w:firstRowLastColumn="0" w:lastRowFirstColumn="0" w:lastRowLastColumn="0"/>
            <w:tcW w:w="3312" w:type="pct"/>
          </w:tcPr>
          <w:p w14:paraId="610B8B2C" w14:textId="77777777" w:rsidR="00040A7D" w:rsidRPr="005F62F4" w:rsidRDefault="00040A7D" w:rsidP="00FD56E3">
            <w:pPr>
              <w:pStyle w:val="TableText"/>
              <w:rPr>
                <w:rFonts w:cstheme="minorHAnsi"/>
                <w:b w:val="0"/>
              </w:rPr>
            </w:pPr>
            <w:r w:rsidRPr="005F62F4">
              <w:rPr>
                <w:rFonts w:cstheme="minorHAnsi"/>
                <w:b w:val="0"/>
              </w:rPr>
              <w:t>Head and Neck Procedures, Minor Complexity</w:t>
            </w:r>
          </w:p>
        </w:tc>
        <w:tc>
          <w:tcPr>
            <w:tcW w:w="551" w:type="pct"/>
          </w:tcPr>
          <w:p w14:paraId="12E6FD90" w14:textId="77777777" w:rsidR="00040A7D" w:rsidRPr="005F62F4" w:rsidRDefault="00040A7D" w:rsidP="00FD56E3">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p>
        </w:tc>
        <w:tc>
          <w:tcPr>
            <w:tcW w:w="543" w:type="pct"/>
          </w:tcPr>
          <w:p w14:paraId="429A4A57" w14:textId="77777777" w:rsidR="00040A7D" w:rsidRPr="005F62F4" w:rsidRDefault="00040A7D" w:rsidP="00FD56E3">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color w:val="000000"/>
                <w:lang w:val="en-AU"/>
              </w:rPr>
              <w:t>28</w:t>
            </w:r>
          </w:p>
        </w:tc>
        <w:tc>
          <w:tcPr>
            <w:cnfStyle w:val="000100000000" w:firstRow="0" w:lastRow="0" w:firstColumn="0" w:lastColumn="1" w:oddVBand="0" w:evenVBand="0" w:oddHBand="0" w:evenHBand="0" w:firstRowFirstColumn="0" w:firstRowLastColumn="0" w:lastRowFirstColumn="0" w:lastRowLastColumn="0"/>
            <w:tcW w:w="594" w:type="pct"/>
          </w:tcPr>
          <w:p w14:paraId="3422BAF5" w14:textId="77777777" w:rsidR="00040A7D" w:rsidRPr="005F62F4" w:rsidRDefault="00040A7D" w:rsidP="00FD56E3">
            <w:pPr>
              <w:pStyle w:val="TableTextRight"/>
              <w:rPr>
                <w:rFonts w:cstheme="minorHAnsi"/>
                <w:b w:val="0"/>
                <w:lang w:val="en-AU"/>
              </w:rPr>
            </w:pPr>
            <w:r w:rsidRPr="005F62F4">
              <w:rPr>
                <w:rFonts w:cstheme="minorHAnsi"/>
                <w:b w:val="0"/>
                <w:color w:val="000000"/>
                <w:lang w:val="en-AU"/>
              </w:rPr>
              <w:t>45</w:t>
            </w:r>
          </w:p>
        </w:tc>
      </w:tr>
      <w:tr w:rsidR="002F187D" w:rsidRPr="005F62F4" w14:paraId="2085DAC2" w14:textId="77777777" w:rsidTr="008B3159">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3312" w:type="pct"/>
          </w:tcPr>
          <w:p w14:paraId="2C72D4B1" w14:textId="77777777" w:rsidR="00040A7D" w:rsidRPr="005F62F4" w:rsidRDefault="00040A7D" w:rsidP="00FD56E3">
            <w:pPr>
              <w:pStyle w:val="TableText"/>
              <w:rPr>
                <w:rFonts w:cstheme="minorHAnsi"/>
                <w:b w:val="0"/>
              </w:rPr>
            </w:pPr>
            <w:r w:rsidRPr="005F62F4">
              <w:rPr>
                <w:rFonts w:cstheme="minorHAnsi"/>
                <w:b w:val="0"/>
              </w:rPr>
              <w:t>Other Hip and Femur Procedures, Minor Complexity</w:t>
            </w:r>
          </w:p>
        </w:tc>
        <w:tc>
          <w:tcPr>
            <w:tcW w:w="551" w:type="pct"/>
          </w:tcPr>
          <w:p w14:paraId="4C564A70" w14:textId="77777777" w:rsidR="00040A7D" w:rsidRPr="005F62F4" w:rsidRDefault="00040A7D" w:rsidP="00FD56E3">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p>
        </w:tc>
        <w:tc>
          <w:tcPr>
            <w:tcW w:w="543" w:type="pct"/>
          </w:tcPr>
          <w:p w14:paraId="2572971C" w14:textId="77777777" w:rsidR="00040A7D" w:rsidRPr="005F62F4" w:rsidRDefault="00040A7D" w:rsidP="00FD56E3">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p>
        </w:tc>
        <w:tc>
          <w:tcPr>
            <w:cnfStyle w:val="000100000000" w:firstRow="0" w:lastRow="0" w:firstColumn="0" w:lastColumn="1" w:oddVBand="0" w:evenVBand="0" w:oddHBand="0" w:evenHBand="0" w:firstRowFirstColumn="0" w:firstRowLastColumn="0" w:lastRowFirstColumn="0" w:lastRowLastColumn="0"/>
            <w:tcW w:w="594" w:type="pct"/>
          </w:tcPr>
          <w:p w14:paraId="381BE0A5" w14:textId="77777777" w:rsidR="00040A7D" w:rsidRPr="005F62F4" w:rsidRDefault="00040A7D" w:rsidP="00FD56E3">
            <w:pPr>
              <w:pStyle w:val="TableTextRight"/>
              <w:rPr>
                <w:rFonts w:cstheme="minorHAnsi"/>
                <w:b w:val="0"/>
                <w:lang w:val="en-AU"/>
              </w:rPr>
            </w:pPr>
            <w:r w:rsidRPr="005F62F4">
              <w:rPr>
                <w:rFonts w:cstheme="minorHAnsi"/>
                <w:b w:val="0"/>
                <w:color w:val="000000"/>
                <w:lang w:val="en-AU"/>
              </w:rPr>
              <w:t>42</w:t>
            </w:r>
          </w:p>
        </w:tc>
      </w:tr>
      <w:tr w:rsidR="00040A7D" w:rsidRPr="005F62F4" w14:paraId="5CEA3A69" w14:textId="77777777" w:rsidTr="008B3159">
        <w:trPr>
          <w:trHeight w:val="170"/>
        </w:trPr>
        <w:tc>
          <w:tcPr>
            <w:cnfStyle w:val="001000000000" w:firstRow="0" w:lastRow="0" w:firstColumn="1" w:lastColumn="0" w:oddVBand="0" w:evenVBand="0" w:oddHBand="0" w:evenHBand="0" w:firstRowFirstColumn="0" w:firstRowLastColumn="0" w:lastRowFirstColumn="0" w:lastRowLastColumn="0"/>
            <w:tcW w:w="3312" w:type="pct"/>
          </w:tcPr>
          <w:p w14:paraId="4A25FC86" w14:textId="77777777" w:rsidR="00040A7D" w:rsidRPr="005F62F4" w:rsidRDefault="00040A7D" w:rsidP="00FD56E3">
            <w:pPr>
              <w:pStyle w:val="TableText"/>
              <w:rPr>
                <w:rFonts w:cstheme="minorHAnsi"/>
                <w:b w:val="0"/>
              </w:rPr>
            </w:pPr>
            <w:r w:rsidRPr="005F62F4">
              <w:rPr>
                <w:rFonts w:cstheme="minorHAnsi"/>
                <w:b w:val="0"/>
              </w:rPr>
              <w:t>Tracheostomy and/or Ventilation &gt;=96 hours</w:t>
            </w:r>
          </w:p>
        </w:tc>
        <w:tc>
          <w:tcPr>
            <w:tcW w:w="551" w:type="pct"/>
          </w:tcPr>
          <w:p w14:paraId="2E55756D" w14:textId="77777777" w:rsidR="00040A7D" w:rsidRPr="005F62F4" w:rsidRDefault="00040A7D" w:rsidP="00FD56E3">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p>
        </w:tc>
        <w:tc>
          <w:tcPr>
            <w:tcW w:w="543" w:type="pct"/>
          </w:tcPr>
          <w:p w14:paraId="1F869AC9" w14:textId="77777777" w:rsidR="00040A7D" w:rsidRPr="005F62F4" w:rsidRDefault="00040A7D" w:rsidP="00FD56E3">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color w:val="000000"/>
                <w:lang w:val="en-AU"/>
              </w:rPr>
              <w:t>13</w:t>
            </w:r>
          </w:p>
        </w:tc>
        <w:tc>
          <w:tcPr>
            <w:cnfStyle w:val="000100000000" w:firstRow="0" w:lastRow="0" w:firstColumn="0" w:lastColumn="1" w:oddVBand="0" w:evenVBand="0" w:oddHBand="0" w:evenHBand="0" w:firstRowFirstColumn="0" w:firstRowLastColumn="0" w:lastRowFirstColumn="0" w:lastRowLastColumn="0"/>
            <w:tcW w:w="594" w:type="pct"/>
          </w:tcPr>
          <w:p w14:paraId="09ECCFBD" w14:textId="7C58AF8D" w:rsidR="00040A7D" w:rsidRPr="005F62F4" w:rsidRDefault="00040A7D" w:rsidP="002A656F">
            <w:pPr>
              <w:pStyle w:val="TableTextRight"/>
              <w:keepNext/>
              <w:rPr>
                <w:rFonts w:cstheme="minorHAnsi"/>
                <w:b w:val="0"/>
                <w:lang w:val="en-AU"/>
              </w:rPr>
            </w:pPr>
            <w:r w:rsidRPr="005F62F4">
              <w:rPr>
                <w:rFonts w:cstheme="minorHAnsi"/>
                <w:b w:val="0"/>
                <w:color w:val="000000"/>
                <w:lang w:val="en-AU"/>
              </w:rPr>
              <w:t>42</w:t>
            </w:r>
          </w:p>
        </w:tc>
      </w:tr>
    </w:tbl>
    <w:p w14:paraId="20CFA331" w14:textId="2AD90480" w:rsidR="00040A7D" w:rsidRPr="005F62F4" w:rsidRDefault="00040A7D" w:rsidP="0043244F">
      <w:pPr>
        <w:pStyle w:val="TableText"/>
        <w:rPr>
          <w:szCs w:val="18"/>
        </w:rPr>
      </w:pPr>
      <w:r w:rsidRPr="005F62F4">
        <w:t>Note:</w:t>
      </w:r>
      <w:r w:rsidRPr="005F62F4">
        <w:rPr>
          <w:szCs w:val="18"/>
        </w:rPr>
        <w:t xml:space="preserve"> </w:t>
      </w:r>
      <w:r w:rsidR="006B5AA3" w:rsidRPr="005F62F4">
        <w:rPr>
          <w:szCs w:val="18"/>
        </w:rPr>
        <w:t>D</w:t>
      </w:r>
      <w:r w:rsidRPr="005F62F4">
        <w:rPr>
          <w:szCs w:val="18"/>
        </w:rPr>
        <w:t xml:space="preserve">ata subset used from 2018 due to minimal comparable reporting prior to the </w:t>
      </w:r>
      <w:r w:rsidR="007067D1" w:rsidRPr="005F62F4">
        <w:rPr>
          <w:szCs w:val="18"/>
        </w:rPr>
        <w:t>2017–</w:t>
      </w:r>
      <w:r w:rsidRPr="005F62F4">
        <w:rPr>
          <w:szCs w:val="18"/>
        </w:rPr>
        <w:t>18 financial year.</w:t>
      </w:r>
    </w:p>
    <w:p w14:paraId="7CBDEA06" w14:textId="0E8F07A0" w:rsidR="003C44A3" w:rsidRPr="005F62F4" w:rsidRDefault="000B2721" w:rsidP="003C44A3">
      <w:pPr>
        <w:pStyle w:val="Para"/>
      </w:pPr>
      <w:r w:rsidRPr="005F62F4">
        <w:t xml:space="preserve">The pattern of results for </w:t>
      </w:r>
      <w:proofErr w:type="spellStart"/>
      <w:r w:rsidRPr="005F62F4">
        <w:t>biomodels</w:t>
      </w:r>
      <w:proofErr w:type="spellEnd"/>
      <w:r w:rsidRPr="005F62F4">
        <w:t xml:space="preserve"> was echoed f</w:t>
      </w:r>
      <w:r w:rsidR="00FF6531" w:rsidRPr="005F62F4">
        <w:t>or s</w:t>
      </w:r>
      <w:r w:rsidR="003C44A3" w:rsidRPr="005F62F4">
        <w:t>urgical guide</w:t>
      </w:r>
      <w:r w:rsidR="00FF6531" w:rsidRPr="005F62F4">
        <w:t>s,</w:t>
      </w:r>
      <w:r w:rsidR="003C44A3" w:rsidRPr="005F62F4">
        <w:t xml:space="preserve"> </w:t>
      </w:r>
      <w:r w:rsidRPr="005F62F4">
        <w:t xml:space="preserve">with </w:t>
      </w:r>
      <w:r w:rsidR="003C44A3" w:rsidRPr="005F62F4">
        <w:t xml:space="preserve">major complexity </w:t>
      </w:r>
      <w:r w:rsidRPr="005F62F4">
        <w:t xml:space="preserve">maxillofacial </w:t>
      </w:r>
      <w:r w:rsidR="003C44A3" w:rsidRPr="005F62F4">
        <w:t>surger</w:t>
      </w:r>
      <w:r w:rsidR="00585829" w:rsidRPr="005F62F4">
        <w:t>y</w:t>
      </w:r>
      <w:r w:rsidR="00AE1BE4" w:rsidRPr="005F62F4">
        <w:t xml:space="preserve"> </w:t>
      </w:r>
      <w:r w:rsidR="00E759FC" w:rsidRPr="005F62F4">
        <w:t xml:space="preserve">accounting for </w:t>
      </w:r>
      <w:r w:rsidR="00D45C8C" w:rsidRPr="005F62F4">
        <w:t>64</w:t>
      </w:r>
      <w:r w:rsidR="00E759FC" w:rsidRPr="005F62F4">
        <w:t xml:space="preserve">% of total utilisation </w:t>
      </w:r>
      <w:r w:rsidR="003C44A3" w:rsidRPr="005F62F4">
        <w:t xml:space="preserve">in </w:t>
      </w:r>
      <w:r w:rsidR="00592314" w:rsidRPr="005F62F4">
        <w:t>2020–</w:t>
      </w:r>
      <w:r w:rsidR="00FF6531" w:rsidRPr="005F62F4">
        <w:t>21</w:t>
      </w:r>
      <w:r w:rsidRPr="005F62F4">
        <w:t>(</w:t>
      </w:r>
      <w:r w:rsidR="00DE20E6" w:rsidRPr="005F62F4">
        <w:fldChar w:fldCharType="begin"/>
      </w:r>
      <w:r w:rsidR="00DE20E6" w:rsidRPr="005F62F4">
        <w:instrText xml:space="preserve"> REF _Ref119871417 \h </w:instrText>
      </w:r>
      <w:r w:rsidR="005F62F4">
        <w:instrText xml:space="preserve"> \* MERGEFORMAT </w:instrText>
      </w:r>
      <w:r w:rsidR="00DE20E6" w:rsidRPr="005F62F4">
        <w:fldChar w:fldCharType="separate"/>
      </w:r>
      <w:r w:rsidR="005606BF" w:rsidRPr="005F62F4">
        <w:t>Table </w:t>
      </w:r>
      <w:r w:rsidR="005606BF">
        <w:t>14</w:t>
      </w:r>
      <w:r w:rsidR="00DE20E6" w:rsidRPr="005F62F4">
        <w:fldChar w:fldCharType="end"/>
      </w:r>
      <w:r w:rsidRPr="005F62F4">
        <w:t>)</w:t>
      </w:r>
      <w:r w:rsidR="003C44A3" w:rsidRPr="005F62F4">
        <w:t xml:space="preserve">. </w:t>
      </w:r>
      <w:r w:rsidR="001252D1" w:rsidRPr="005F62F4">
        <w:t>Each of the last 2 years has seen ut</w:t>
      </w:r>
      <w:r w:rsidR="00CE6AF8" w:rsidRPr="005F62F4">
        <w:t xml:space="preserve">ilisation </w:t>
      </w:r>
      <w:r w:rsidR="00E77107" w:rsidRPr="005F62F4">
        <w:t>of</w:t>
      </w:r>
      <w:r w:rsidR="00CE6AF8" w:rsidRPr="005F62F4">
        <w:t xml:space="preserve"> surgical guides </w:t>
      </w:r>
      <w:r w:rsidR="001252D1" w:rsidRPr="005F62F4">
        <w:t xml:space="preserve">expand into new DRG categories, </w:t>
      </w:r>
      <w:r w:rsidR="00B26766" w:rsidRPr="005F62F4">
        <w:t xml:space="preserve">including </w:t>
      </w:r>
      <w:r w:rsidR="00CE6AF8" w:rsidRPr="005F62F4">
        <w:t xml:space="preserve">mouth and salivary gland </w:t>
      </w:r>
      <w:r w:rsidR="00636E65" w:rsidRPr="005F62F4">
        <w:t xml:space="preserve">procedures </w:t>
      </w:r>
      <w:r w:rsidR="00E11A06" w:rsidRPr="005F62F4">
        <w:t>(</w:t>
      </w:r>
      <w:r w:rsidR="004F74A7" w:rsidRPr="005F62F4">
        <w:t>major and minor</w:t>
      </w:r>
      <w:r w:rsidR="00CE6AF8" w:rsidRPr="005F62F4">
        <w:t xml:space="preserve"> </w:t>
      </w:r>
      <w:r w:rsidR="00E11A06" w:rsidRPr="005F62F4">
        <w:t>complexity),</w:t>
      </w:r>
      <w:r w:rsidR="00CE6AF8" w:rsidRPr="005F62F4">
        <w:t xml:space="preserve"> </w:t>
      </w:r>
      <w:r w:rsidR="001767CE" w:rsidRPr="005F62F4">
        <w:t xml:space="preserve">which </w:t>
      </w:r>
      <w:r w:rsidR="00EF6363" w:rsidRPr="005F62F4">
        <w:t xml:space="preserve">together </w:t>
      </w:r>
      <w:r w:rsidR="001767CE" w:rsidRPr="005F62F4">
        <w:t xml:space="preserve">accounted for </w:t>
      </w:r>
      <w:r w:rsidR="004F74A7" w:rsidRPr="005F62F4">
        <w:t>9</w:t>
      </w:r>
      <w:r w:rsidR="001767CE" w:rsidRPr="005F62F4">
        <w:t>% of utilisation in 2020–21</w:t>
      </w:r>
      <w:r w:rsidR="00977DA7" w:rsidRPr="005F62F4">
        <w:t>.</w:t>
      </w:r>
    </w:p>
    <w:p w14:paraId="3E18370F" w14:textId="0A3CBEFC" w:rsidR="00847DAD" w:rsidRPr="005F62F4" w:rsidRDefault="00E56C05" w:rsidP="00847DAD">
      <w:pPr>
        <w:pStyle w:val="Caption"/>
      </w:pPr>
      <w:bookmarkStart w:id="195" w:name="_Ref119871417"/>
      <w:bookmarkStart w:id="196" w:name="_Toc129954651"/>
      <w:r w:rsidRPr="005F62F4">
        <w:t>Table </w:t>
      </w:r>
      <w:r w:rsidRPr="005F62F4">
        <w:fldChar w:fldCharType="begin"/>
      </w:r>
      <w:r w:rsidRPr="005F62F4">
        <w:instrText>SEQ Table \* ARABIC</w:instrText>
      </w:r>
      <w:r w:rsidRPr="005F62F4">
        <w:fldChar w:fldCharType="separate"/>
      </w:r>
      <w:r w:rsidR="005606BF">
        <w:rPr>
          <w:noProof/>
        </w:rPr>
        <w:t>14</w:t>
      </w:r>
      <w:r w:rsidRPr="005F62F4">
        <w:fldChar w:fldCharType="end"/>
      </w:r>
      <w:bookmarkEnd w:id="195"/>
      <w:r w:rsidR="00847DAD" w:rsidRPr="005F62F4">
        <w:t>: Surgical guides by diagnosis related groupings, by financial year</w:t>
      </w:r>
      <w:bookmarkEnd w:id="196"/>
    </w:p>
    <w:tbl>
      <w:tblPr>
        <w:tblStyle w:val="SGB"/>
        <w:tblW w:w="5000" w:type="pct"/>
        <w:tblLook w:val="0020" w:firstRow="1" w:lastRow="0" w:firstColumn="0" w:lastColumn="0" w:noHBand="0" w:noVBand="0"/>
      </w:tblPr>
      <w:tblGrid>
        <w:gridCol w:w="6206"/>
        <w:gridCol w:w="1043"/>
        <w:gridCol w:w="1043"/>
        <w:gridCol w:w="1040"/>
      </w:tblGrid>
      <w:tr w:rsidR="003E121D" w:rsidRPr="005F62F4" w14:paraId="697396A1" w14:textId="77777777" w:rsidTr="11C7E222">
        <w:trPr>
          <w:cnfStyle w:val="100000000000" w:firstRow="1" w:lastRow="0" w:firstColumn="0" w:lastColumn="0" w:oddVBand="0" w:evenVBand="0" w:oddHBand="0" w:evenHBand="0" w:firstRowFirstColumn="0" w:firstRowLastColumn="0" w:lastRowFirstColumn="0" w:lastRowLastColumn="0"/>
          <w:trHeight w:val="411"/>
        </w:trPr>
        <w:tc>
          <w:tcPr>
            <w:tcW w:w="3325" w:type="pct"/>
          </w:tcPr>
          <w:p w14:paraId="68F87F70" w14:textId="50968560" w:rsidR="00040A7D" w:rsidRPr="005F62F4" w:rsidRDefault="000A02CF" w:rsidP="00FD56E3">
            <w:pPr>
              <w:pStyle w:val="TableText"/>
            </w:pPr>
            <w:bookmarkStart w:id="197" w:name="Title_16" w:colFirst="0" w:colLast="0"/>
            <w:r w:rsidRPr="005F62F4">
              <w:t>DRG</w:t>
            </w:r>
          </w:p>
        </w:tc>
        <w:tc>
          <w:tcPr>
            <w:tcW w:w="559" w:type="pct"/>
          </w:tcPr>
          <w:p w14:paraId="203DE5D3" w14:textId="764FA200" w:rsidR="00040A7D" w:rsidRPr="005F62F4" w:rsidRDefault="007067D1" w:rsidP="00FD56E3">
            <w:pPr>
              <w:pStyle w:val="TableTextRight"/>
              <w:rPr>
                <w:lang w:val="en-AU"/>
              </w:rPr>
            </w:pPr>
            <w:r w:rsidRPr="005F62F4">
              <w:rPr>
                <w:lang w:val="en-AU"/>
              </w:rPr>
              <w:t>2018–</w:t>
            </w:r>
            <w:r w:rsidR="00040A7D" w:rsidRPr="005F62F4">
              <w:rPr>
                <w:lang w:val="en-AU"/>
              </w:rPr>
              <w:t>19</w:t>
            </w:r>
          </w:p>
        </w:tc>
        <w:tc>
          <w:tcPr>
            <w:tcW w:w="559" w:type="pct"/>
          </w:tcPr>
          <w:p w14:paraId="01A685FB" w14:textId="4091EF70" w:rsidR="00040A7D" w:rsidRPr="005F62F4" w:rsidRDefault="007067D1" w:rsidP="00FD56E3">
            <w:pPr>
              <w:pStyle w:val="TableTextRight"/>
              <w:rPr>
                <w:lang w:val="en-AU"/>
              </w:rPr>
            </w:pPr>
            <w:r w:rsidRPr="005F62F4">
              <w:rPr>
                <w:lang w:val="en-AU"/>
              </w:rPr>
              <w:t>2019–</w:t>
            </w:r>
            <w:r w:rsidR="00040A7D" w:rsidRPr="005F62F4">
              <w:rPr>
                <w:lang w:val="en-AU"/>
              </w:rPr>
              <w:t>20</w:t>
            </w:r>
          </w:p>
        </w:tc>
        <w:tc>
          <w:tcPr>
            <w:tcW w:w="558" w:type="pct"/>
          </w:tcPr>
          <w:p w14:paraId="6C6E95BE" w14:textId="772328EE" w:rsidR="00040A7D" w:rsidRPr="005F62F4" w:rsidRDefault="007067D1" w:rsidP="00FD56E3">
            <w:pPr>
              <w:pStyle w:val="TableTextRight"/>
              <w:rPr>
                <w:lang w:val="en-AU"/>
              </w:rPr>
            </w:pPr>
            <w:r w:rsidRPr="005F62F4">
              <w:rPr>
                <w:lang w:val="en-AU"/>
              </w:rPr>
              <w:t>2020–</w:t>
            </w:r>
            <w:r w:rsidR="00040A7D" w:rsidRPr="005F62F4">
              <w:rPr>
                <w:lang w:val="en-AU"/>
              </w:rPr>
              <w:t>21</w:t>
            </w:r>
          </w:p>
        </w:tc>
      </w:tr>
      <w:bookmarkEnd w:id="197"/>
      <w:tr w:rsidR="00040A7D" w:rsidRPr="005F62F4" w14:paraId="60464663" w14:textId="77777777" w:rsidTr="11C7E222">
        <w:trPr>
          <w:trHeight w:val="82"/>
        </w:trPr>
        <w:tc>
          <w:tcPr>
            <w:tcW w:w="3325" w:type="pct"/>
          </w:tcPr>
          <w:p w14:paraId="12668691" w14:textId="77777777" w:rsidR="00040A7D" w:rsidRPr="005F62F4" w:rsidRDefault="00040A7D" w:rsidP="00FD56E3">
            <w:pPr>
              <w:pStyle w:val="TableText"/>
            </w:pPr>
            <w:r w:rsidRPr="005F62F4">
              <w:t>Maxillofacial Surgery, Major Complexity</w:t>
            </w:r>
          </w:p>
        </w:tc>
        <w:tc>
          <w:tcPr>
            <w:tcW w:w="559" w:type="pct"/>
          </w:tcPr>
          <w:p w14:paraId="0245279F" w14:textId="77777777" w:rsidR="00040A7D" w:rsidRPr="005F62F4" w:rsidRDefault="00040A7D" w:rsidP="00FD56E3">
            <w:pPr>
              <w:pStyle w:val="TableTextRight"/>
              <w:rPr>
                <w:lang w:val="en-AU"/>
              </w:rPr>
            </w:pPr>
            <w:r w:rsidRPr="005F62F4">
              <w:rPr>
                <w:lang w:val="en-AU"/>
              </w:rPr>
              <w:t>1775</w:t>
            </w:r>
          </w:p>
        </w:tc>
        <w:tc>
          <w:tcPr>
            <w:tcW w:w="559" w:type="pct"/>
          </w:tcPr>
          <w:p w14:paraId="320DA20E" w14:textId="77777777" w:rsidR="00040A7D" w:rsidRPr="005F62F4" w:rsidRDefault="00040A7D" w:rsidP="00FD56E3">
            <w:pPr>
              <w:pStyle w:val="TableTextRight"/>
              <w:rPr>
                <w:lang w:val="en-AU"/>
              </w:rPr>
            </w:pPr>
            <w:r w:rsidRPr="005F62F4">
              <w:rPr>
                <w:lang w:val="en-AU"/>
              </w:rPr>
              <w:t>1876</w:t>
            </w:r>
          </w:p>
        </w:tc>
        <w:tc>
          <w:tcPr>
            <w:tcW w:w="558" w:type="pct"/>
          </w:tcPr>
          <w:p w14:paraId="500EBBC5" w14:textId="11AD8D96" w:rsidR="00040A7D" w:rsidRPr="005F62F4" w:rsidRDefault="00107C3E" w:rsidP="00FD56E3">
            <w:pPr>
              <w:pStyle w:val="TableTextRight"/>
              <w:rPr>
                <w:lang w:val="en-AU"/>
              </w:rPr>
            </w:pPr>
            <w:r w:rsidRPr="005F62F4">
              <w:rPr>
                <w:lang w:val="en-AU"/>
              </w:rPr>
              <w:t>2866</w:t>
            </w:r>
          </w:p>
        </w:tc>
      </w:tr>
      <w:tr w:rsidR="00040A7D" w:rsidRPr="005F62F4" w14:paraId="136B6C99" w14:textId="77777777" w:rsidTr="11C7E222">
        <w:trPr>
          <w:cnfStyle w:val="000000010000" w:firstRow="0" w:lastRow="0" w:firstColumn="0" w:lastColumn="0" w:oddVBand="0" w:evenVBand="0" w:oddHBand="0" w:evenHBand="1" w:firstRowFirstColumn="0" w:firstRowLastColumn="0" w:lastRowFirstColumn="0" w:lastRowLastColumn="0"/>
          <w:trHeight w:val="68"/>
        </w:trPr>
        <w:tc>
          <w:tcPr>
            <w:tcW w:w="3325" w:type="pct"/>
          </w:tcPr>
          <w:p w14:paraId="03072B4C" w14:textId="77777777" w:rsidR="00040A7D" w:rsidRPr="005F62F4" w:rsidRDefault="00040A7D" w:rsidP="00FD56E3">
            <w:pPr>
              <w:pStyle w:val="TableText"/>
            </w:pPr>
            <w:r w:rsidRPr="005F62F4">
              <w:t>Maxillofacial Surgery, Minor Complexity</w:t>
            </w:r>
          </w:p>
        </w:tc>
        <w:tc>
          <w:tcPr>
            <w:tcW w:w="559" w:type="pct"/>
          </w:tcPr>
          <w:p w14:paraId="4514A23B" w14:textId="77777777" w:rsidR="00040A7D" w:rsidRPr="005F62F4" w:rsidRDefault="00040A7D" w:rsidP="00FD56E3">
            <w:pPr>
              <w:pStyle w:val="TableTextRight"/>
              <w:rPr>
                <w:lang w:val="en-AU"/>
              </w:rPr>
            </w:pPr>
            <w:r w:rsidRPr="005F62F4">
              <w:rPr>
                <w:lang w:val="en-AU"/>
              </w:rPr>
              <w:t>58</w:t>
            </w:r>
          </w:p>
        </w:tc>
        <w:tc>
          <w:tcPr>
            <w:tcW w:w="559" w:type="pct"/>
          </w:tcPr>
          <w:p w14:paraId="43A07DF0" w14:textId="77777777" w:rsidR="00040A7D" w:rsidRPr="005F62F4" w:rsidRDefault="00040A7D" w:rsidP="00FD56E3">
            <w:pPr>
              <w:pStyle w:val="TableTextRight"/>
              <w:rPr>
                <w:lang w:val="en-AU"/>
              </w:rPr>
            </w:pPr>
            <w:r w:rsidRPr="005F62F4">
              <w:rPr>
                <w:lang w:val="en-AU"/>
              </w:rPr>
              <w:t>200</w:t>
            </w:r>
          </w:p>
        </w:tc>
        <w:tc>
          <w:tcPr>
            <w:tcW w:w="558" w:type="pct"/>
          </w:tcPr>
          <w:p w14:paraId="7F0C3C1F" w14:textId="77777777" w:rsidR="00040A7D" w:rsidRPr="005F62F4" w:rsidRDefault="00040A7D" w:rsidP="00FD56E3">
            <w:pPr>
              <w:pStyle w:val="TableTextRight"/>
              <w:rPr>
                <w:lang w:val="en-AU"/>
              </w:rPr>
            </w:pPr>
            <w:r w:rsidRPr="005F62F4">
              <w:rPr>
                <w:lang w:val="en-AU"/>
              </w:rPr>
              <w:t>708</w:t>
            </w:r>
          </w:p>
        </w:tc>
      </w:tr>
      <w:tr w:rsidR="00040A7D" w:rsidRPr="005F62F4" w14:paraId="405415FE" w14:textId="77777777" w:rsidTr="11C7E222">
        <w:trPr>
          <w:trHeight w:val="170"/>
        </w:trPr>
        <w:tc>
          <w:tcPr>
            <w:tcW w:w="3325" w:type="pct"/>
          </w:tcPr>
          <w:p w14:paraId="1B31DC76" w14:textId="77777777" w:rsidR="00040A7D" w:rsidRPr="005F62F4" w:rsidRDefault="00040A7D" w:rsidP="00FD56E3">
            <w:pPr>
              <w:pStyle w:val="TableText"/>
            </w:pPr>
            <w:r w:rsidRPr="005F62F4">
              <w:t>Mouth and Salivary Gland Procedures, Major Complexity</w:t>
            </w:r>
          </w:p>
        </w:tc>
        <w:tc>
          <w:tcPr>
            <w:tcW w:w="559" w:type="pct"/>
          </w:tcPr>
          <w:p w14:paraId="62E35B27" w14:textId="77777777" w:rsidR="00040A7D" w:rsidRPr="005F62F4" w:rsidRDefault="00040A7D" w:rsidP="00FD56E3">
            <w:pPr>
              <w:pStyle w:val="TableTextRight"/>
              <w:rPr>
                <w:lang w:val="en-AU"/>
              </w:rPr>
            </w:pPr>
          </w:p>
        </w:tc>
        <w:tc>
          <w:tcPr>
            <w:tcW w:w="559" w:type="pct"/>
          </w:tcPr>
          <w:p w14:paraId="472CE187" w14:textId="77777777" w:rsidR="00040A7D" w:rsidRPr="005F62F4" w:rsidRDefault="00040A7D" w:rsidP="00FD56E3">
            <w:pPr>
              <w:pStyle w:val="TableTextRight"/>
              <w:rPr>
                <w:color w:val="000000"/>
                <w:lang w:val="en-AU"/>
              </w:rPr>
            </w:pPr>
            <w:r w:rsidRPr="005F62F4">
              <w:rPr>
                <w:color w:val="000000"/>
                <w:lang w:val="en-AU"/>
              </w:rPr>
              <w:t>52</w:t>
            </w:r>
          </w:p>
        </w:tc>
        <w:tc>
          <w:tcPr>
            <w:tcW w:w="558" w:type="pct"/>
          </w:tcPr>
          <w:p w14:paraId="1FD4C346" w14:textId="77777777" w:rsidR="00040A7D" w:rsidRPr="005F62F4" w:rsidRDefault="00040A7D" w:rsidP="00FD56E3">
            <w:pPr>
              <w:pStyle w:val="TableTextRight"/>
              <w:rPr>
                <w:color w:val="000000"/>
                <w:lang w:val="en-AU"/>
              </w:rPr>
            </w:pPr>
            <w:r w:rsidRPr="005F62F4">
              <w:rPr>
                <w:color w:val="000000"/>
                <w:lang w:val="en-AU"/>
              </w:rPr>
              <w:t>319</w:t>
            </w:r>
          </w:p>
        </w:tc>
      </w:tr>
      <w:tr w:rsidR="00040A7D" w:rsidRPr="005F62F4" w14:paraId="02053317" w14:textId="77777777" w:rsidTr="11C7E222">
        <w:trPr>
          <w:cnfStyle w:val="000000010000" w:firstRow="0" w:lastRow="0" w:firstColumn="0" w:lastColumn="0" w:oddVBand="0" w:evenVBand="0" w:oddHBand="0" w:evenHBand="1" w:firstRowFirstColumn="0" w:firstRowLastColumn="0" w:lastRowFirstColumn="0" w:lastRowLastColumn="0"/>
          <w:trHeight w:val="170"/>
        </w:trPr>
        <w:tc>
          <w:tcPr>
            <w:tcW w:w="3325" w:type="pct"/>
          </w:tcPr>
          <w:p w14:paraId="74DC88A3" w14:textId="77777777" w:rsidR="00040A7D" w:rsidRPr="005F62F4" w:rsidRDefault="00040A7D" w:rsidP="00FD56E3">
            <w:pPr>
              <w:pStyle w:val="TableText"/>
            </w:pPr>
            <w:r w:rsidRPr="005F62F4">
              <w:t>Head and Neck Procedures, Minor Complexity</w:t>
            </w:r>
          </w:p>
        </w:tc>
        <w:tc>
          <w:tcPr>
            <w:tcW w:w="559" w:type="pct"/>
          </w:tcPr>
          <w:p w14:paraId="4B72CD79" w14:textId="77777777" w:rsidR="00040A7D" w:rsidRPr="005F62F4" w:rsidRDefault="00040A7D" w:rsidP="00FD56E3">
            <w:pPr>
              <w:pStyle w:val="TableTextRight"/>
              <w:rPr>
                <w:lang w:val="en-AU"/>
              </w:rPr>
            </w:pPr>
            <w:r w:rsidRPr="005F62F4">
              <w:rPr>
                <w:lang w:val="en-AU"/>
              </w:rPr>
              <w:t>32</w:t>
            </w:r>
          </w:p>
        </w:tc>
        <w:tc>
          <w:tcPr>
            <w:tcW w:w="559" w:type="pct"/>
          </w:tcPr>
          <w:p w14:paraId="0E418954" w14:textId="77777777" w:rsidR="00040A7D" w:rsidRPr="005F62F4" w:rsidRDefault="00040A7D" w:rsidP="00FD56E3">
            <w:pPr>
              <w:pStyle w:val="TableTextRight"/>
              <w:rPr>
                <w:color w:val="000000"/>
                <w:lang w:val="en-AU"/>
              </w:rPr>
            </w:pPr>
            <w:r w:rsidRPr="005F62F4">
              <w:rPr>
                <w:color w:val="000000"/>
                <w:lang w:val="en-AU"/>
              </w:rPr>
              <w:t>79</w:t>
            </w:r>
          </w:p>
        </w:tc>
        <w:tc>
          <w:tcPr>
            <w:tcW w:w="558" w:type="pct"/>
          </w:tcPr>
          <w:p w14:paraId="033E245A" w14:textId="77777777" w:rsidR="00040A7D" w:rsidRPr="005F62F4" w:rsidRDefault="00040A7D" w:rsidP="00FD56E3">
            <w:pPr>
              <w:pStyle w:val="TableTextRight"/>
              <w:rPr>
                <w:color w:val="000000"/>
                <w:lang w:val="en-AU"/>
              </w:rPr>
            </w:pPr>
            <w:r w:rsidRPr="005F62F4">
              <w:rPr>
                <w:color w:val="000000"/>
                <w:lang w:val="en-AU"/>
              </w:rPr>
              <w:t>114</w:t>
            </w:r>
          </w:p>
        </w:tc>
      </w:tr>
      <w:tr w:rsidR="00040A7D" w:rsidRPr="005F62F4" w14:paraId="18C30075" w14:textId="77777777" w:rsidTr="11C7E222">
        <w:trPr>
          <w:trHeight w:val="170"/>
        </w:trPr>
        <w:tc>
          <w:tcPr>
            <w:tcW w:w="3325" w:type="pct"/>
          </w:tcPr>
          <w:p w14:paraId="1C85BB26" w14:textId="77777777" w:rsidR="00040A7D" w:rsidRPr="005F62F4" w:rsidRDefault="00040A7D" w:rsidP="00FD56E3">
            <w:pPr>
              <w:pStyle w:val="TableText"/>
            </w:pPr>
            <w:r w:rsidRPr="005F62F4">
              <w:t>Mouth and Salivary Gland Procedures, Minor Complexity</w:t>
            </w:r>
          </w:p>
        </w:tc>
        <w:tc>
          <w:tcPr>
            <w:tcW w:w="559" w:type="pct"/>
          </w:tcPr>
          <w:p w14:paraId="51695759" w14:textId="77777777" w:rsidR="00040A7D" w:rsidRPr="005F62F4" w:rsidRDefault="00040A7D" w:rsidP="00FD56E3">
            <w:pPr>
              <w:pStyle w:val="TableTextRight"/>
              <w:rPr>
                <w:color w:val="000000"/>
                <w:lang w:val="en-AU"/>
              </w:rPr>
            </w:pPr>
          </w:p>
        </w:tc>
        <w:tc>
          <w:tcPr>
            <w:tcW w:w="559" w:type="pct"/>
          </w:tcPr>
          <w:p w14:paraId="5148CC85" w14:textId="77777777" w:rsidR="00040A7D" w:rsidRPr="005F62F4" w:rsidRDefault="00040A7D" w:rsidP="00FD56E3">
            <w:pPr>
              <w:pStyle w:val="TableTextRight"/>
              <w:rPr>
                <w:color w:val="000000"/>
                <w:lang w:val="en-AU"/>
              </w:rPr>
            </w:pPr>
          </w:p>
        </w:tc>
        <w:tc>
          <w:tcPr>
            <w:tcW w:w="558" w:type="pct"/>
          </w:tcPr>
          <w:p w14:paraId="70DAE653" w14:textId="77777777" w:rsidR="00040A7D" w:rsidRPr="005F62F4" w:rsidRDefault="00040A7D" w:rsidP="00FD56E3">
            <w:pPr>
              <w:pStyle w:val="TableTextRight"/>
              <w:rPr>
                <w:color w:val="000000"/>
                <w:lang w:val="en-AU"/>
              </w:rPr>
            </w:pPr>
            <w:r w:rsidRPr="005F62F4">
              <w:rPr>
                <w:color w:val="000000"/>
                <w:lang w:val="en-AU"/>
              </w:rPr>
              <w:t>112</w:t>
            </w:r>
          </w:p>
        </w:tc>
      </w:tr>
      <w:tr w:rsidR="00040A7D" w:rsidRPr="005F62F4" w14:paraId="6B566BFF" w14:textId="77777777" w:rsidTr="11C7E222">
        <w:trPr>
          <w:cnfStyle w:val="000000010000" w:firstRow="0" w:lastRow="0" w:firstColumn="0" w:lastColumn="0" w:oddVBand="0" w:evenVBand="0" w:oddHBand="0" w:evenHBand="1" w:firstRowFirstColumn="0" w:firstRowLastColumn="0" w:lastRowFirstColumn="0" w:lastRowLastColumn="0"/>
          <w:trHeight w:val="170"/>
        </w:trPr>
        <w:tc>
          <w:tcPr>
            <w:tcW w:w="3325" w:type="pct"/>
          </w:tcPr>
          <w:p w14:paraId="0BF53730" w14:textId="77777777" w:rsidR="00040A7D" w:rsidRPr="005F62F4" w:rsidRDefault="00040A7D" w:rsidP="00FD56E3">
            <w:pPr>
              <w:pStyle w:val="TableText"/>
            </w:pPr>
            <w:r w:rsidRPr="005F62F4">
              <w:t>Humerus, Tibia, Fibula and Ankle Procedures, Minor Complexity</w:t>
            </w:r>
          </w:p>
        </w:tc>
        <w:tc>
          <w:tcPr>
            <w:tcW w:w="559" w:type="pct"/>
          </w:tcPr>
          <w:p w14:paraId="5952E622" w14:textId="77777777" w:rsidR="00040A7D" w:rsidRPr="005F62F4" w:rsidRDefault="00040A7D" w:rsidP="00FD56E3">
            <w:pPr>
              <w:pStyle w:val="TableTextRight"/>
              <w:rPr>
                <w:color w:val="000000"/>
                <w:lang w:val="en-AU"/>
              </w:rPr>
            </w:pPr>
          </w:p>
        </w:tc>
        <w:tc>
          <w:tcPr>
            <w:tcW w:w="559" w:type="pct"/>
          </w:tcPr>
          <w:p w14:paraId="5C537AF2" w14:textId="77777777" w:rsidR="00040A7D" w:rsidRPr="005F62F4" w:rsidRDefault="00040A7D" w:rsidP="00FD56E3">
            <w:pPr>
              <w:pStyle w:val="TableTextRight"/>
              <w:rPr>
                <w:color w:val="000000"/>
                <w:lang w:val="en-AU"/>
              </w:rPr>
            </w:pPr>
            <w:r w:rsidRPr="005F62F4">
              <w:rPr>
                <w:color w:val="000000"/>
                <w:lang w:val="en-AU"/>
              </w:rPr>
              <w:t>14</w:t>
            </w:r>
          </w:p>
        </w:tc>
        <w:tc>
          <w:tcPr>
            <w:tcW w:w="558" w:type="pct"/>
          </w:tcPr>
          <w:p w14:paraId="09A07287" w14:textId="77777777" w:rsidR="00040A7D" w:rsidRPr="005F62F4" w:rsidRDefault="00040A7D" w:rsidP="00FD56E3">
            <w:pPr>
              <w:pStyle w:val="TableTextRight"/>
              <w:rPr>
                <w:color w:val="000000"/>
                <w:lang w:val="en-AU"/>
              </w:rPr>
            </w:pPr>
            <w:r w:rsidRPr="005F62F4">
              <w:rPr>
                <w:color w:val="000000"/>
                <w:lang w:val="en-AU"/>
              </w:rPr>
              <w:t>108</w:t>
            </w:r>
          </w:p>
        </w:tc>
      </w:tr>
      <w:tr w:rsidR="00040A7D" w:rsidRPr="005F62F4" w14:paraId="1171720E" w14:textId="77777777" w:rsidTr="11C7E222">
        <w:trPr>
          <w:trHeight w:val="170"/>
        </w:trPr>
        <w:tc>
          <w:tcPr>
            <w:tcW w:w="3325" w:type="pct"/>
          </w:tcPr>
          <w:p w14:paraId="6D7A165C" w14:textId="77777777" w:rsidR="00040A7D" w:rsidRPr="005F62F4" w:rsidRDefault="00040A7D" w:rsidP="00FD56E3">
            <w:pPr>
              <w:pStyle w:val="TableText"/>
            </w:pPr>
            <w:r w:rsidRPr="005F62F4">
              <w:t>Other Ear, Nose, Mouth and Throat Procedures, Minor complexity</w:t>
            </w:r>
          </w:p>
        </w:tc>
        <w:tc>
          <w:tcPr>
            <w:tcW w:w="559" w:type="pct"/>
          </w:tcPr>
          <w:p w14:paraId="7FB8CA05" w14:textId="77777777" w:rsidR="00040A7D" w:rsidRPr="005F62F4" w:rsidRDefault="00040A7D" w:rsidP="00FD56E3">
            <w:pPr>
              <w:pStyle w:val="TableTextRight"/>
              <w:rPr>
                <w:lang w:val="en-AU"/>
              </w:rPr>
            </w:pPr>
            <w:r w:rsidRPr="005F62F4">
              <w:rPr>
                <w:lang w:val="en-AU"/>
              </w:rPr>
              <w:t>92</w:t>
            </w:r>
          </w:p>
        </w:tc>
        <w:tc>
          <w:tcPr>
            <w:tcW w:w="559" w:type="pct"/>
          </w:tcPr>
          <w:p w14:paraId="6F2B12BB" w14:textId="77777777" w:rsidR="00040A7D" w:rsidRPr="005F62F4" w:rsidRDefault="00040A7D" w:rsidP="00FD56E3">
            <w:pPr>
              <w:pStyle w:val="TableTextRight"/>
              <w:rPr>
                <w:lang w:val="en-AU"/>
              </w:rPr>
            </w:pPr>
            <w:r w:rsidRPr="005F62F4">
              <w:rPr>
                <w:lang w:val="en-AU"/>
              </w:rPr>
              <w:t>104</w:t>
            </w:r>
          </w:p>
        </w:tc>
        <w:tc>
          <w:tcPr>
            <w:tcW w:w="558" w:type="pct"/>
          </w:tcPr>
          <w:p w14:paraId="627A85F2" w14:textId="77777777" w:rsidR="00040A7D" w:rsidRPr="005F62F4" w:rsidRDefault="00040A7D" w:rsidP="00FD56E3">
            <w:pPr>
              <w:pStyle w:val="TableTextRight"/>
              <w:rPr>
                <w:lang w:val="en-AU"/>
              </w:rPr>
            </w:pPr>
            <w:r w:rsidRPr="005F62F4">
              <w:rPr>
                <w:lang w:val="en-AU"/>
              </w:rPr>
              <w:t>107</w:t>
            </w:r>
          </w:p>
        </w:tc>
      </w:tr>
      <w:tr w:rsidR="00040A7D" w:rsidRPr="005F62F4" w14:paraId="0A76B991" w14:textId="77777777" w:rsidTr="11C7E222">
        <w:trPr>
          <w:cnfStyle w:val="000000010000" w:firstRow="0" w:lastRow="0" w:firstColumn="0" w:lastColumn="0" w:oddVBand="0" w:evenVBand="0" w:oddHBand="0" w:evenHBand="1" w:firstRowFirstColumn="0" w:firstRowLastColumn="0" w:lastRowFirstColumn="0" w:lastRowLastColumn="0"/>
          <w:trHeight w:val="170"/>
        </w:trPr>
        <w:tc>
          <w:tcPr>
            <w:tcW w:w="3325" w:type="pct"/>
          </w:tcPr>
          <w:p w14:paraId="48312E18" w14:textId="3B3ADF6E" w:rsidR="00040A7D" w:rsidRPr="005F62F4" w:rsidRDefault="00040A7D" w:rsidP="00FD56E3">
            <w:pPr>
              <w:pStyle w:val="TableText"/>
            </w:pPr>
            <w:r w:rsidRPr="005F62F4">
              <w:t>Hip Replacement, Minor Complexity</w:t>
            </w:r>
          </w:p>
        </w:tc>
        <w:tc>
          <w:tcPr>
            <w:tcW w:w="559" w:type="pct"/>
          </w:tcPr>
          <w:p w14:paraId="21C2329A" w14:textId="77777777" w:rsidR="00040A7D" w:rsidRPr="005F62F4" w:rsidRDefault="00040A7D" w:rsidP="00FD56E3">
            <w:pPr>
              <w:pStyle w:val="TableTextRight"/>
              <w:rPr>
                <w:lang w:val="en-AU"/>
              </w:rPr>
            </w:pPr>
          </w:p>
        </w:tc>
        <w:tc>
          <w:tcPr>
            <w:tcW w:w="559" w:type="pct"/>
          </w:tcPr>
          <w:p w14:paraId="321BF64B" w14:textId="77777777" w:rsidR="00040A7D" w:rsidRPr="005F62F4" w:rsidRDefault="00040A7D" w:rsidP="00FD56E3">
            <w:pPr>
              <w:pStyle w:val="TableTextRight"/>
              <w:rPr>
                <w:lang w:val="en-AU"/>
              </w:rPr>
            </w:pPr>
            <w:r w:rsidRPr="005F62F4">
              <w:rPr>
                <w:lang w:val="en-AU"/>
              </w:rPr>
              <w:t>21</w:t>
            </w:r>
          </w:p>
        </w:tc>
        <w:tc>
          <w:tcPr>
            <w:tcW w:w="558" w:type="pct"/>
          </w:tcPr>
          <w:p w14:paraId="75C4657F" w14:textId="77777777" w:rsidR="00040A7D" w:rsidRPr="005F62F4" w:rsidRDefault="00040A7D" w:rsidP="00FD56E3">
            <w:pPr>
              <w:pStyle w:val="TableTextRight"/>
              <w:rPr>
                <w:lang w:val="en-AU"/>
              </w:rPr>
            </w:pPr>
            <w:r w:rsidRPr="005F62F4">
              <w:rPr>
                <w:lang w:val="en-AU"/>
              </w:rPr>
              <w:t>78</w:t>
            </w:r>
          </w:p>
        </w:tc>
      </w:tr>
      <w:tr w:rsidR="00040A7D" w:rsidRPr="005F62F4" w14:paraId="33FAC5E0" w14:textId="77777777" w:rsidTr="11C7E222">
        <w:trPr>
          <w:trHeight w:val="170"/>
        </w:trPr>
        <w:tc>
          <w:tcPr>
            <w:tcW w:w="3325" w:type="pct"/>
          </w:tcPr>
          <w:p w14:paraId="07B9B00B" w14:textId="77777777" w:rsidR="00040A7D" w:rsidRPr="005F62F4" w:rsidRDefault="00040A7D" w:rsidP="00FD56E3">
            <w:pPr>
              <w:pStyle w:val="TableText"/>
            </w:pPr>
            <w:r w:rsidRPr="005F62F4">
              <w:t>Other Hip and Femur Procedures, Minor Complexity</w:t>
            </w:r>
          </w:p>
        </w:tc>
        <w:tc>
          <w:tcPr>
            <w:tcW w:w="559" w:type="pct"/>
          </w:tcPr>
          <w:p w14:paraId="79A34A98" w14:textId="77777777" w:rsidR="00040A7D" w:rsidRPr="005F62F4" w:rsidRDefault="00040A7D" w:rsidP="00FD56E3">
            <w:pPr>
              <w:pStyle w:val="TableTextRight"/>
              <w:rPr>
                <w:lang w:val="en-AU"/>
              </w:rPr>
            </w:pPr>
          </w:p>
        </w:tc>
        <w:tc>
          <w:tcPr>
            <w:tcW w:w="559" w:type="pct"/>
          </w:tcPr>
          <w:p w14:paraId="087196B1" w14:textId="77777777" w:rsidR="00040A7D" w:rsidRPr="005F62F4" w:rsidRDefault="00040A7D" w:rsidP="00FD56E3">
            <w:pPr>
              <w:pStyle w:val="TableTextRight"/>
              <w:rPr>
                <w:lang w:val="en-AU"/>
              </w:rPr>
            </w:pPr>
          </w:p>
        </w:tc>
        <w:tc>
          <w:tcPr>
            <w:tcW w:w="558" w:type="pct"/>
          </w:tcPr>
          <w:p w14:paraId="08AEC651" w14:textId="77777777" w:rsidR="00040A7D" w:rsidRPr="005F62F4" w:rsidRDefault="00040A7D" w:rsidP="002A656F">
            <w:pPr>
              <w:pStyle w:val="TableTextRight"/>
              <w:keepNext/>
              <w:rPr>
                <w:lang w:val="en-AU"/>
              </w:rPr>
            </w:pPr>
            <w:r w:rsidRPr="005F62F4">
              <w:rPr>
                <w:lang w:val="en-AU"/>
              </w:rPr>
              <w:t>47</w:t>
            </w:r>
          </w:p>
        </w:tc>
      </w:tr>
    </w:tbl>
    <w:p w14:paraId="30A4D1F6" w14:textId="4A791EB2" w:rsidR="005C5789" w:rsidRPr="005F62F4" w:rsidRDefault="00040A7D" w:rsidP="005C5789">
      <w:pPr>
        <w:pStyle w:val="TableText"/>
      </w:pPr>
      <w:r w:rsidRPr="005F62F4">
        <w:t>Note:</w:t>
      </w:r>
      <w:r w:rsidRPr="005F62F4">
        <w:rPr>
          <w:szCs w:val="18"/>
        </w:rPr>
        <w:t xml:space="preserve"> data subset used from 2018 due to minimal comparable reporting prior to the </w:t>
      </w:r>
      <w:r w:rsidR="007067D1" w:rsidRPr="005F62F4">
        <w:rPr>
          <w:szCs w:val="18"/>
        </w:rPr>
        <w:t>2017–</w:t>
      </w:r>
      <w:r w:rsidRPr="005F62F4">
        <w:rPr>
          <w:szCs w:val="18"/>
        </w:rPr>
        <w:t>18 financial year.</w:t>
      </w:r>
    </w:p>
    <w:p w14:paraId="1493484D" w14:textId="7D921310" w:rsidR="00F7646B" w:rsidRPr="005F62F4" w:rsidRDefault="00F7646B" w:rsidP="004F2931">
      <w:pPr>
        <w:pStyle w:val="Heading2"/>
      </w:pPr>
      <w:bookmarkStart w:id="198" w:name="_Toc120178324"/>
      <w:bookmarkStart w:id="199" w:name="_Toc129954611"/>
      <w:r w:rsidRPr="005F62F4">
        <w:lastRenderedPageBreak/>
        <w:t>Expenditure</w:t>
      </w:r>
      <w:bookmarkEnd w:id="198"/>
      <w:bookmarkEnd w:id="199"/>
    </w:p>
    <w:p w14:paraId="5FD7DA8F" w14:textId="7FD7FEC9" w:rsidR="002A4FE2" w:rsidRPr="005F62F4" w:rsidRDefault="00F7646B" w:rsidP="0046236C">
      <w:pPr>
        <w:pStyle w:val="Para"/>
      </w:pPr>
      <w:r w:rsidRPr="005F62F4">
        <w:t>Since 2013, $40.77</w:t>
      </w:r>
      <w:r w:rsidR="00F30523" w:rsidRPr="005F62F4">
        <w:t> </w:t>
      </w:r>
      <w:r w:rsidRPr="005F62F4">
        <w:t>million in benefits have been paid for surgical guides ($30.26</w:t>
      </w:r>
      <w:r w:rsidR="00F30523" w:rsidRPr="005F62F4">
        <w:t> </w:t>
      </w:r>
      <w:r w:rsidRPr="005F62F4">
        <w:t xml:space="preserve">million; 74%) and </w:t>
      </w:r>
      <w:proofErr w:type="spellStart"/>
      <w:r w:rsidRPr="005F62F4">
        <w:t>biomodels</w:t>
      </w:r>
      <w:proofErr w:type="spellEnd"/>
      <w:r w:rsidRPr="005F62F4">
        <w:t xml:space="preserve"> ($10.51</w:t>
      </w:r>
      <w:r w:rsidR="00F30523" w:rsidRPr="005F62F4">
        <w:t> </w:t>
      </w:r>
      <w:r w:rsidRPr="005F62F4">
        <w:t>million; 26%) (</w:t>
      </w:r>
      <w:r w:rsidR="008F1AB4" w:rsidRPr="005F62F4">
        <w:fldChar w:fldCharType="begin"/>
      </w:r>
      <w:r w:rsidR="008F1AB4" w:rsidRPr="005F62F4">
        <w:instrText xml:space="preserve"> REF _Ref119871442 \h </w:instrText>
      </w:r>
      <w:r w:rsidR="002A4FE2" w:rsidRPr="005F62F4">
        <w:instrText xml:space="preserve"> \* MERGEFORMAT </w:instrText>
      </w:r>
      <w:r w:rsidR="008F1AB4" w:rsidRPr="005F62F4">
        <w:fldChar w:fldCharType="separate"/>
      </w:r>
      <w:r w:rsidR="005606BF" w:rsidRPr="005F62F4">
        <w:t>Table </w:t>
      </w:r>
      <w:r w:rsidR="005606BF">
        <w:t>15</w:t>
      </w:r>
      <w:r w:rsidR="008F1AB4" w:rsidRPr="005F62F4">
        <w:fldChar w:fldCharType="end"/>
      </w:r>
      <w:r w:rsidRPr="005F62F4">
        <w:t xml:space="preserve">). </w:t>
      </w:r>
      <w:r w:rsidR="0018116F" w:rsidRPr="005F62F4">
        <w:t xml:space="preserve">Expenditure has increased by 116% per year on average, with the greatest increase </w:t>
      </w:r>
      <w:r w:rsidR="004E3789">
        <w:t>[this information has been redacted]</w:t>
      </w:r>
      <w:r w:rsidR="0018116F" w:rsidRPr="005F62F4">
        <w:t xml:space="preserve"> seen in 2016–17 and the smallest (27%) in 2019–20. Importantly, </w:t>
      </w:r>
      <w:r w:rsidR="004A2B88" w:rsidRPr="005F62F4">
        <w:t xml:space="preserve">the growth in expenditure does not reflect a rise in the benefits paid per claim (this figure </w:t>
      </w:r>
      <w:r w:rsidR="00F30523" w:rsidRPr="005F62F4">
        <w:t>having remained</w:t>
      </w:r>
      <w:r w:rsidR="004A2B88" w:rsidRPr="005F62F4">
        <w:t xml:space="preserve"> unchanged since 2013). Rather, it can be attributed</w:t>
      </w:r>
      <w:r w:rsidR="00143D66" w:rsidRPr="005F62F4">
        <w:t xml:space="preserve"> solely to the increase in number of products used.</w:t>
      </w:r>
      <w:r w:rsidR="00094C79" w:rsidRPr="005F62F4">
        <w:t xml:space="preserve"> </w:t>
      </w:r>
      <w:r w:rsidR="0046236C" w:rsidRPr="005F62F4">
        <w:t>Note</w:t>
      </w:r>
      <w:r w:rsidR="002F4821" w:rsidRPr="005F62F4">
        <w:t xml:space="preserve"> al</w:t>
      </w:r>
      <w:r w:rsidR="0046236C" w:rsidRPr="005F62F4">
        <w:t>l expenditure amounts</w:t>
      </w:r>
      <w:r w:rsidR="002F4821" w:rsidRPr="005F62F4">
        <w:t xml:space="preserve"> are rounded to the nearest thousand dollars.</w:t>
      </w:r>
    </w:p>
    <w:p w14:paraId="13E4E94B" w14:textId="42385811" w:rsidR="00847DAD" w:rsidRPr="005F62F4" w:rsidRDefault="00E56C05" w:rsidP="00074B6C">
      <w:pPr>
        <w:pStyle w:val="Para"/>
      </w:pPr>
      <w:bookmarkStart w:id="200" w:name="_Ref119871442"/>
      <w:bookmarkStart w:id="201" w:name="_Toc129954652"/>
      <w:r w:rsidRPr="005F62F4">
        <w:t>Table </w:t>
      </w:r>
      <w:r w:rsidRPr="005F62F4">
        <w:fldChar w:fldCharType="begin"/>
      </w:r>
      <w:r w:rsidRPr="005F62F4">
        <w:instrText>SEQ Table \* ARABIC</w:instrText>
      </w:r>
      <w:r w:rsidRPr="005F62F4">
        <w:fldChar w:fldCharType="separate"/>
      </w:r>
      <w:r w:rsidR="005606BF">
        <w:rPr>
          <w:noProof/>
        </w:rPr>
        <w:t>15</w:t>
      </w:r>
      <w:r w:rsidRPr="005F62F4">
        <w:fldChar w:fldCharType="end"/>
      </w:r>
      <w:bookmarkEnd w:id="200"/>
      <w:r w:rsidR="00847DAD" w:rsidRPr="005F62F4">
        <w:t xml:space="preserve">: </w:t>
      </w:r>
      <w:proofErr w:type="spellStart"/>
      <w:r w:rsidR="00847DAD" w:rsidRPr="005F62F4">
        <w:t>Biomodel</w:t>
      </w:r>
      <w:proofErr w:type="spellEnd"/>
      <w:r w:rsidR="00847DAD" w:rsidRPr="005F62F4">
        <w:t xml:space="preserve"> and surgical guide expenditure, by financial year</w:t>
      </w:r>
      <w:bookmarkEnd w:id="201"/>
    </w:p>
    <w:tbl>
      <w:tblPr>
        <w:tblStyle w:val="SGB"/>
        <w:tblW w:w="5000" w:type="pct"/>
        <w:tblLayout w:type="fixed"/>
        <w:tblLook w:val="01E0" w:firstRow="1" w:lastRow="1" w:firstColumn="1" w:lastColumn="1" w:noHBand="0" w:noVBand="0"/>
      </w:tblPr>
      <w:tblGrid>
        <w:gridCol w:w="1126"/>
        <w:gridCol w:w="1367"/>
        <w:gridCol w:w="1369"/>
        <w:gridCol w:w="1368"/>
        <w:gridCol w:w="1366"/>
        <w:gridCol w:w="1368"/>
        <w:gridCol w:w="1368"/>
      </w:tblGrid>
      <w:tr w:rsidR="00652795" w:rsidRPr="005F62F4" w14:paraId="3DF04462" w14:textId="77777777" w:rsidTr="00D70E60">
        <w:trPr>
          <w:cnfStyle w:val="100000000000" w:firstRow="1" w:lastRow="0" w:firstColumn="0" w:lastColumn="0" w:oddVBand="0" w:evenVBand="0" w:oddHBand="0" w:evenHBand="0" w:firstRowFirstColumn="0" w:firstRowLastColumn="0" w:lastRowFirstColumn="0" w:lastRowLastColumn="0"/>
          <w:trHeight w:val="411"/>
        </w:trPr>
        <w:tc>
          <w:tcPr>
            <w:cnfStyle w:val="001000000000" w:firstRow="0" w:lastRow="0" w:firstColumn="1" w:lastColumn="0" w:oddVBand="0" w:evenVBand="0" w:oddHBand="0" w:evenHBand="0" w:firstRowFirstColumn="0" w:firstRowLastColumn="0" w:lastRowFirstColumn="0" w:lastRowLastColumn="0"/>
            <w:tcW w:w="603" w:type="pct"/>
          </w:tcPr>
          <w:p w14:paraId="24AD5708" w14:textId="77777777" w:rsidR="00F7646B" w:rsidRPr="005F62F4" w:rsidRDefault="00F7646B" w:rsidP="00652795">
            <w:pPr>
              <w:pStyle w:val="TableText"/>
            </w:pPr>
            <w:bookmarkStart w:id="202" w:name="Title_17" w:colFirst="0" w:colLast="0"/>
            <w:r w:rsidRPr="005F62F4">
              <w:t>Year</w:t>
            </w:r>
          </w:p>
        </w:tc>
        <w:tc>
          <w:tcPr>
            <w:tcW w:w="732" w:type="pct"/>
          </w:tcPr>
          <w:p w14:paraId="28F097A3" w14:textId="77777777" w:rsidR="00F7646B" w:rsidRPr="005F62F4" w:rsidRDefault="00F7646B" w:rsidP="00652795">
            <w:pPr>
              <w:pStyle w:val="TableTextRight"/>
              <w:cnfStyle w:val="100000000000" w:firstRow="1" w:lastRow="0" w:firstColumn="0" w:lastColumn="0" w:oddVBand="0" w:evenVBand="0" w:oddHBand="0" w:evenHBand="0" w:firstRowFirstColumn="0" w:firstRowLastColumn="0" w:lastRowFirstColumn="0" w:lastRowLastColumn="0"/>
              <w:rPr>
                <w:lang w:val="en-AU"/>
              </w:rPr>
            </w:pPr>
            <w:r w:rsidRPr="005F62F4">
              <w:rPr>
                <w:lang w:val="en-AU"/>
              </w:rPr>
              <w:t>Number of sponsors with listings</w:t>
            </w:r>
          </w:p>
        </w:tc>
        <w:tc>
          <w:tcPr>
            <w:tcW w:w="733" w:type="pct"/>
          </w:tcPr>
          <w:p w14:paraId="30F617DD" w14:textId="77777777" w:rsidR="00F7646B" w:rsidRPr="005F62F4" w:rsidRDefault="00F7646B" w:rsidP="00652795">
            <w:pPr>
              <w:pStyle w:val="TableTextRight"/>
              <w:cnfStyle w:val="100000000000" w:firstRow="1" w:lastRow="0" w:firstColumn="0" w:lastColumn="0" w:oddVBand="0" w:evenVBand="0" w:oddHBand="0" w:evenHBand="0" w:firstRowFirstColumn="0" w:firstRowLastColumn="0" w:lastRowFirstColumn="0" w:lastRowLastColumn="0"/>
              <w:rPr>
                <w:b w:val="0"/>
                <w:lang w:val="en-AU"/>
              </w:rPr>
            </w:pPr>
            <w:proofErr w:type="spellStart"/>
            <w:r w:rsidRPr="005F62F4">
              <w:rPr>
                <w:lang w:val="en-AU"/>
              </w:rPr>
              <w:t>Biomodels</w:t>
            </w:r>
            <w:proofErr w:type="spellEnd"/>
          </w:p>
        </w:tc>
        <w:tc>
          <w:tcPr>
            <w:tcW w:w="733" w:type="pct"/>
          </w:tcPr>
          <w:p w14:paraId="6BFE5658" w14:textId="79C40C2C" w:rsidR="00F7646B" w:rsidRPr="005F62F4" w:rsidRDefault="00F7646B" w:rsidP="00652795">
            <w:pPr>
              <w:pStyle w:val="TableTextRight"/>
              <w:cnfStyle w:val="100000000000" w:firstRow="1" w:lastRow="0" w:firstColumn="0" w:lastColumn="0" w:oddVBand="0" w:evenVBand="0" w:oddHBand="0" w:evenHBand="0" w:firstRowFirstColumn="0" w:firstRowLastColumn="0" w:lastRowFirstColumn="0" w:lastRowLastColumn="0"/>
              <w:rPr>
                <w:lang w:val="en-AU"/>
              </w:rPr>
            </w:pPr>
            <w:r w:rsidRPr="005F62F4">
              <w:rPr>
                <w:lang w:val="en-AU"/>
              </w:rPr>
              <w:t xml:space="preserve">Surgical </w:t>
            </w:r>
            <w:r w:rsidR="00652795" w:rsidRPr="005F62F4">
              <w:rPr>
                <w:lang w:val="en-AU"/>
              </w:rPr>
              <w:t>g</w:t>
            </w:r>
            <w:r w:rsidRPr="005F62F4">
              <w:rPr>
                <w:lang w:val="en-AU"/>
              </w:rPr>
              <w:t>uides</w:t>
            </w:r>
          </w:p>
        </w:tc>
        <w:tc>
          <w:tcPr>
            <w:tcW w:w="732" w:type="pct"/>
          </w:tcPr>
          <w:p w14:paraId="17435EBD" w14:textId="77777777" w:rsidR="00F7646B" w:rsidRPr="005F62F4" w:rsidRDefault="00F7646B" w:rsidP="00652795">
            <w:pPr>
              <w:pStyle w:val="TableTextRight"/>
              <w:cnfStyle w:val="100000000000" w:firstRow="1" w:lastRow="0" w:firstColumn="0" w:lastColumn="0" w:oddVBand="0" w:evenVBand="0" w:oddHBand="0" w:evenHBand="0" w:firstRowFirstColumn="0" w:firstRowLastColumn="0" w:lastRowFirstColumn="0" w:lastRowLastColumn="0"/>
              <w:rPr>
                <w:lang w:val="en-AU"/>
              </w:rPr>
            </w:pPr>
            <w:r w:rsidRPr="005F62F4">
              <w:rPr>
                <w:lang w:val="en-AU"/>
              </w:rPr>
              <w:t xml:space="preserve">Total </w:t>
            </w:r>
          </w:p>
        </w:tc>
        <w:tc>
          <w:tcPr>
            <w:tcW w:w="733" w:type="pct"/>
          </w:tcPr>
          <w:p w14:paraId="0E963A60" w14:textId="77777777" w:rsidR="00F7646B" w:rsidRPr="005F62F4" w:rsidRDefault="00F7646B" w:rsidP="00652795">
            <w:pPr>
              <w:pStyle w:val="TableTextRight"/>
              <w:cnfStyle w:val="100000000000" w:firstRow="1" w:lastRow="0" w:firstColumn="0" w:lastColumn="0" w:oddVBand="0" w:evenVBand="0" w:oddHBand="0" w:evenHBand="0" w:firstRowFirstColumn="0" w:firstRowLastColumn="0" w:lastRowFirstColumn="0" w:lastRowLastColumn="0"/>
              <w:rPr>
                <w:b w:val="0"/>
                <w:lang w:val="en-AU"/>
              </w:rPr>
            </w:pPr>
            <w:proofErr w:type="spellStart"/>
            <w:r w:rsidRPr="005F62F4">
              <w:rPr>
                <w:lang w:val="en-AU"/>
              </w:rPr>
              <w:t>Biomodels</w:t>
            </w:r>
            <w:proofErr w:type="spellEnd"/>
          </w:p>
          <w:p w14:paraId="344A33D1" w14:textId="77777777" w:rsidR="00F7646B" w:rsidRPr="005F62F4" w:rsidRDefault="00F7646B" w:rsidP="00652795">
            <w:pPr>
              <w:pStyle w:val="TableTextRight"/>
              <w:cnfStyle w:val="100000000000" w:firstRow="1" w:lastRow="0" w:firstColumn="0" w:lastColumn="0" w:oddVBand="0" w:evenVBand="0" w:oddHBand="0" w:evenHBand="0" w:firstRowFirstColumn="0" w:firstRowLastColumn="0" w:lastRowFirstColumn="0" w:lastRowLastColumn="0"/>
              <w:rPr>
                <w:lang w:val="en-AU"/>
              </w:rPr>
            </w:pPr>
            <w:r w:rsidRPr="005F62F4">
              <w:rPr>
                <w:lang w:val="en-AU"/>
              </w:rPr>
              <w:t>%</w:t>
            </w:r>
          </w:p>
        </w:tc>
        <w:tc>
          <w:tcPr>
            <w:cnfStyle w:val="000100000000" w:firstRow="0" w:lastRow="0" w:firstColumn="0" w:lastColumn="1" w:oddVBand="0" w:evenVBand="0" w:oddHBand="0" w:evenHBand="0" w:firstRowFirstColumn="0" w:firstRowLastColumn="0" w:lastRowFirstColumn="0" w:lastRowLastColumn="0"/>
            <w:tcW w:w="733" w:type="pct"/>
          </w:tcPr>
          <w:p w14:paraId="1DB2A295" w14:textId="3521C5E5" w:rsidR="00F7646B" w:rsidRPr="005F62F4" w:rsidRDefault="00F7646B" w:rsidP="00652795">
            <w:pPr>
              <w:pStyle w:val="TableTextRight"/>
              <w:rPr>
                <w:b w:val="0"/>
                <w:lang w:val="en-AU"/>
              </w:rPr>
            </w:pPr>
            <w:r w:rsidRPr="005F62F4">
              <w:rPr>
                <w:lang w:val="en-AU"/>
              </w:rPr>
              <w:t>Surgical guides</w:t>
            </w:r>
          </w:p>
          <w:p w14:paraId="6913F6CF" w14:textId="493532BE" w:rsidR="00F7646B" w:rsidRPr="005F62F4" w:rsidRDefault="00F7646B" w:rsidP="00652795">
            <w:pPr>
              <w:pStyle w:val="TableTextRight"/>
              <w:rPr>
                <w:lang w:val="en-AU"/>
              </w:rPr>
            </w:pPr>
            <w:r w:rsidRPr="005F62F4">
              <w:rPr>
                <w:lang w:val="en-AU"/>
              </w:rPr>
              <w:t>%</w:t>
            </w:r>
          </w:p>
        </w:tc>
      </w:tr>
      <w:bookmarkEnd w:id="202"/>
      <w:tr w:rsidR="00652795" w:rsidRPr="005F62F4" w14:paraId="57AB8FE6" w14:textId="77777777" w:rsidTr="00D70E60">
        <w:trPr>
          <w:trHeight w:val="170"/>
        </w:trPr>
        <w:tc>
          <w:tcPr>
            <w:cnfStyle w:val="001000000000" w:firstRow="0" w:lastRow="0" w:firstColumn="1" w:lastColumn="0" w:oddVBand="0" w:evenVBand="0" w:oddHBand="0" w:evenHBand="0" w:firstRowFirstColumn="0" w:firstRowLastColumn="0" w:lastRowFirstColumn="0" w:lastRowLastColumn="0"/>
            <w:tcW w:w="603" w:type="pct"/>
          </w:tcPr>
          <w:p w14:paraId="457C2DA1" w14:textId="1B88A4CA" w:rsidR="00F7646B" w:rsidRPr="005F62F4" w:rsidRDefault="007067D1" w:rsidP="00652795">
            <w:pPr>
              <w:pStyle w:val="TableText"/>
              <w:rPr>
                <w:rFonts w:cstheme="minorHAnsi"/>
                <w:b w:val="0"/>
              </w:rPr>
            </w:pPr>
            <w:r w:rsidRPr="005F62F4">
              <w:rPr>
                <w:rFonts w:cstheme="minorHAnsi"/>
                <w:b w:val="0"/>
              </w:rPr>
              <w:t>2013–</w:t>
            </w:r>
            <w:r w:rsidR="00F7646B" w:rsidRPr="005F62F4">
              <w:rPr>
                <w:rFonts w:cstheme="minorHAnsi"/>
                <w:b w:val="0"/>
              </w:rPr>
              <w:t>14</w:t>
            </w:r>
          </w:p>
        </w:tc>
        <w:tc>
          <w:tcPr>
            <w:tcW w:w="732" w:type="pct"/>
          </w:tcPr>
          <w:p w14:paraId="47EF6503" w14:textId="77777777" w:rsidR="00F7646B" w:rsidRPr="005F62F4" w:rsidRDefault="00F7646B" w:rsidP="00652795">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lang w:val="en-AU"/>
              </w:rPr>
              <w:t>1</w:t>
            </w:r>
          </w:p>
        </w:tc>
        <w:tc>
          <w:tcPr>
            <w:tcW w:w="733" w:type="pct"/>
          </w:tcPr>
          <w:p w14:paraId="4602F0AB" w14:textId="7959386A" w:rsidR="00F7646B" w:rsidRPr="005F62F4" w:rsidRDefault="003003F8" w:rsidP="00652795">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1E5E40">
              <w:rPr>
                <w:sz w:val="17"/>
                <w:szCs w:val="17"/>
              </w:rPr>
              <w:t>[redacted]</w:t>
            </w:r>
          </w:p>
        </w:tc>
        <w:tc>
          <w:tcPr>
            <w:tcW w:w="733" w:type="pct"/>
          </w:tcPr>
          <w:p w14:paraId="79D79C05" w14:textId="34F6C843" w:rsidR="00F7646B" w:rsidRPr="005F62F4" w:rsidRDefault="003003F8" w:rsidP="00652795">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1E5E40">
              <w:rPr>
                <w:sz w:val="17"/>
                <w:szCs w:val="17"/>
              </w:rPr>
              <w:t>[redacted]</w:t>
            </w:r>
          </w:p>
        </w:tc>
        <w:tc>
          <w:tcPr>
            <w:tcW w:w="732" w:type="pct"/>
          </w:tcPr>
          <w:p w14:paraId="5F896C18" w14:textId="606DB966" w:rsidR="00F7646B" w:rsidRPr="005F62F4" w:rsidRDefault="003003F8" w:rsidP="00652795">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1E5E40">
              <w:rPr>
                <w:sz w:val="17"/>
                <w:szCs w:val="17"/>
              </w:rPr>
              <w:t>[redacted]</w:t>
            </w:r>
          </w:p>
        </w:tc>
        <w:tc>
          <w:tcPr>
            <w:tcW w:w="733" w:type="pct"/>
          </w:tcPr>
          <w:p w14:paraId="3604AD5C" w14:textId="498E737D" w:rsidR="00F7646B" w:rsidRPr="005F62F4" w:rsidRDefault="00F7646B" w:rsidP="00652795">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lang w:val="en-AU"/>
              </w:rPr>
              <w:t>16</w:t>
            </w:r>
            <w:r w:rsidR="00DC05FD" w:rsidRPr="005F62F4">
              <w:rPr>
                <w:rFonts w:cstheme="minorHAnsi"/>
                <w:lang w:val="en-AU"/>
              </w:rPr>
              <w:t>%</w:t>
            </w:r>
          </w:p>
        </w:tc>
        <w:tc>
          <w:tcPr>
            <w:cnfStyle w:val="000100000000" w:firstRow="0" w:lastRow="0" w:firstColumn="0" w:lastColumn="1" w:oddVBand="0" w:evenVBand="0" w:oddHBand="0" w:evenHBand="0" w:firstRowFirstColumn="0" w:firstRowLastColumn="0" w:lastRowFirstColumn="0" w:lastRowLastColumn="0"/>
            <w:tcW w:w="733" w:type="pct"/>
          </w:tcPr>
          <w:p w14:paraId="6C7B77B0" w14:textId="457B7F06" w:rsidR="00F7646B" w:rsidRPr="005F62F4" w:rsidRDefault="00F7646B" w:rsidP="00652795">
            <w:pPr>
              <w:pStyle w:val="TableTextRight"/>
              <w:rPr>
                <w:rFonts w:cstheme="minorHAnsi"/>
                <w:b w:val="0"/>
                <w:lang w:val="en-AU"/>
              </w:rPr>
            </w:pPr>
            <w:r w:rsidRPr="005F62F4">
              <w:rPr>
                <w:rFonts w:cstheme="minorHAnsi"/>
                <w:b w:val="0"/>
                <w:lang w:val="en-AU"/>
              </w:rPr>
              <w:t>84</w:t>
            </w:r>
            <w:r w:rsidR="00DC05FD" w:rsidRPr="005F62F4">
              <w:rPr>
                <w:rFonts w:cstheme="minorHAnsi"/>
                <w:lang w:val="en-AU"/>
              </w:rPr>
              <w:t>%</w:t>
            </w:r>
          </w:p>
        </w:tc>
      </w:tr>
      <w:tr w:rsidR="003003F8" w:rsidRPr="005F62F4" w14:paraId="2C02BD51" w14:textId="77777777" w:rsidTr="00D70E60">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603" w:type="pct"/>
          </w:tcPr>
          <w:p w14:paraId="6BBC5939" w14:textId="7A2289DC" w:rsidR="003003F8" w:rsidRPr="005F62F4" w:rsidRDefault="003003F8" w:rsidP="003003F8">
            <w:pPr>
              <w:pStyle w:val="TableText"/>
              <w:rPr>
                <w:rFonts w:cstheme="minorHAnsi"/>
                <w:b w:val="0"/>
              </w:rPr>
            </w:pPr>
            <w:r w:rsidRPr="005F62F4">
              <w:rPr>
                <w:rFonts w:cstheme="minorHAnsi"/>
                <w:b w:val="0"/>
              </w:rPr>
              <w:t>2014–15</w:t>
            </w:r>
          </w:p>
        </w:tc>
        <w:tc>
          <w:tcPr>
            <w:tcW w:w="732" w:type="pct"/>
          </w:tcPr>
          <w:p w14:paraId="33B7C469" w14:textId="77777777"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lang w:val="en-AU"/>
              </w:rPr>
              <w:t>1</w:t>
            </w:r>
          </w:p>
        </w:tc>
        <w:tc>
          <w:tcPr>
            <w:tcW w:w="733" w:type="pct"/>
          </w:tcPr>
          <w:p w14:paraId="2BF6CEC8" w14:textId="2D4B6C13"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1E5E40">
              <w:rPr>
                <w:sz w:val="17"/>
                <w:szCs w:val="17"/>
              </w:rPr>
              <w:t>[redacted]</w:t>
            </w:r>
          </w:p>
        </w:tc>
        <w:tc>
          <w:tcPr>
            <w:tcW w:w="733" w:type="pct"/>
          </w:tcPr>
          <w:p w14:paraId="366791F1" w14:textId="16064EAA"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1E5E40">
              <w:rPr>
                <w:sz w:val="17"/>
                <w:szCs w:val="17"/>
              </w:rPr>
              <w:t>[redacted]</w:t>
            </w:r>
          </w:p>
        </w:tc>
        <w:tc>
          <w:tcPr>
            <w:tcW w:w="732" w:type="pct"/>
          </w:tcPr>
          <w:p w14:paraId="3E56A8BC" w14:textId="4A8F7F69"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1E5E40">
              <w:rPr>
                <w:sz w:val="17"/>
                <w:szCs w:val="17"/>
              </w:rPr>
              <w:t>[redacted]</w:t>
            </w:r>
          </w:p>
        </w:tc>
        <w:tc>
          <w:tcPr>
            <w:tcW w:w="733" w:type="pct"/>
          </w:tcPr>
          <w:p w14:paraId="1D941A80" w14:textId="170FA19C"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lang w:val="en-AU"/>
              </w:rPr>
              <w:t>27%</w:t>
            </w:r>
          </w:p>
        </w:tc>
        <w:tc>
          <w:tcPr>
            <w:cnfStyle w:val="000100000000" w:firstRow="0" w:lastRow="0" w:firstColumn="0" w:lastColumn="1" w:oddVBand="0" w:evenVBand="0" w:oddHBand="0" w:evenHBand="0" w:firstRowFirstColumn="0" w:firstRowLastColumn="0" w:lastRowFirstColumn="0" w:lastRowLastColumn="0"/>
            <w:tcW w:w="733" w:type="pct"/>
          </w:tcPr>
          <w:p w14:paraId="55C9710C" w14:textId="42A422E0" w:rsidR="003003F8" w:rsidRPr="005F62F4" w:rsidRDefault="003003F8" w:rsidP="003003F8">
            <w:pPr>
              <w:pStyle w:val="TableTextRight"/>
              <w:rPr>
                <w:rFonts w:cstheme="minorHAnsi"/>
                <w:b w:val="0"/>
                <w:lang w:val="en-AU"/>
              </w:rPr>
            </w:pPr>
            <w:r w:rsidRPr="005F62F4">
              <w:rPr>
                <w:rFonts w:cstheme="minorHAnsi"/>
                <w:b w:val="0"/>
                <w:lang w:val="en-AU"/>
              </w:rPr>
              <w:t>73</w:t>
            </w:r>
            <w:r w:rsidRPr="005F62F4">
              <w:rPr>
                <w:rFonts w:cstheme="minorHAnsi"/>
                <w:lang w:val="en-AU"/>
              </w:rPr>
              <w:t>%</w:t>
            </w:r>
          </w:p>
        </w:tc>
      </w:tr>
      <w:tr w:rsidR="003003F8" w:rsidRPr="005F62F4" w14:paraId="1C909EF2" w14:textId="77777777" w:rsidTr="00D70E60">
        <w:trPr>
          <w:trHeight w:val="170"/>
        </w:trPr>
        <w:tc>
          <w:tcPr>
            <w:cnfStyle w:val="001000000000" w:firstRow="0" w:lastRow="0" w:firstColumn="1" w:lastColumn="0" w:oddVBand="0" w:evenVBand="0" w:oddHBand="0" w:evenHBand="0" w:firstRowFirstColumn="0" w:firstRowLastColumn="0" w:lastRowFirstColumn="0" w:lastRowLastColumn="0"/>
            <w:tcW w:w="603" w:type="pct"/>
          </w:tcPr>
          <w:p w14:paraId="00258BBF" w14:textId="222F3AD3" w:rsidR="003003F8" w:rsidRPr="005F62F4" w:rsidRDefault="003003F8" w:rsidP="003003F8">
            <w:pPr>
              <w:pStyle w:val="TableText"/>
              <w:rPr>
                <w:rFonts w:cstheme="minorHAnsi"/>
                <w:b w:val="0"/>
              </w:rPr>
            </w:pPr>
            <w:r w:rsidRPr="005F62F4">
              <w:rPr>
                <w:rFonts w:cstheme="minorHAnsi"/>
                <w:b w:val="0"/>
              </w:rPr>
              <w:t>2015–16</w:t>
            </w:r>
          </w:p>
        </w:tc>
        <w:tc>
          <w:tcPr>
            <w:tcW w:w="732" w:type="pct"/>
          </w:tcPr>
          <w:p w14:paraId="3B6EBE28" w14:textId="0E401DFC" w:rsidR="003003F8" w:rsidRPr="005F62F4" w:rsidRDefault="003003F8" w:rsidP="003003F8">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rPr>
              <w:t>2</w:t>
            </w:r>
          </w:p>
        </w:tc>
        <w:tc>
          <w:tcPr>
            <w:tcW w:w="733" w:type="pct"/>
          </w:tcPr>
          <w:p w14:paraId="2281DEF9" w14:textId="7A3B9985" w:rsidR="003003F8" w:rsidRPr="005F62F4" w:rsidRDefault="003003F8" w:rsidP="003003F8">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1E5E40">
              <w:rPr>
                <w:sz w:val="17"/>
                <w:szCs w:val="17"/>
              </w:rPr>
              <w:t>[redacted]</w:t>
            </w:r>
          </w:p>
        </w:tc>
        <w:tc>
          <w:tcPr>
            <w:tcW w:w="733" w:type="pct"/>
          </w:tcPr>
          <w:p w14:paraId="6B53C188" w14:textId="78BB3C07" w:rsidR="003003F8" w:rsidRPr="005F62F4" w:rsidRDefault="003003F8" w:rsidP="003003F8">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1E5E40">
              <w:rPr>
                <w:sz w:val="17"/>
                <w:szCs w:val="17"/>
              </w:rPr>
              <w:t>[redacted]</w:t>
            </w:r>
          </w:p>
        </w:tc>
        <w:tc>
          <w:tcPr>
            <w:tcW w:w="732" w:type="pct"/>
          </w:tcPr>
          <w:p w14:paraId="07347EC3" w14:textId="505F7D70" w:rsidR="003003F8" w:rsidRPr="005F62F4" w:rsidRDefault="003003F8" w:rsidP="003003F8">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1E5E40">
              <w:rPr>
                <w:sz w:val="17"/>
                <w:szCs w:val="17"/>
              </w:rPr>
              <w:t>[redacted]</w:t>
            </w:r>
          </w:p>
        </w:tc>
        <w:tc>
          <w:tcPr>
            <w:tcW w:w="733" w:type="pct"/>
          </w:tcPr>
          <w:p w14:paraId="03EFB82A" w14:textId="713B7D92" w:rsidR="003003F8" w:rsidRPr="005F62F4" w:rsidRDefault="003003F8" w:rsidP="003003F8">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rPr>
              <w:t>12</w:t>
            </w:r>
            <w:r w:rsidRPr="005F62F4">
              <w:rPr>
                <w:rFonts w:cstheme="minorHAnsi"/>
                <w:lang w:val="en-AU"/>
              </w:rPr>
              <w:t>%</w:t>
            </w:r>
          </w:p>
        </w:tc>
        <w:tc>
          <w:tcPr>
            <w:cnfStyle w:val="000100000000" w:firstRow="0" w:lastRow="0" w:firstColumn="0" w:lastColumn="1" w:oddVBand="0" w:evenVBand="0" w:oddHBand="0" w:evenHBand="0" w:firstRowFirstColumn="0" w:firstRowLastColumn="0" w:lastRowFirstColumn="0" w:lastRowLastColumn="0"/>
            <w:tcW w:w="733" w:type="pct"/>
          </w:tcPr>
          <w:p w14:paraId="1E78D503" w14:textId="033545B6" w:rsidR="003003F8" w:rsidRPr="005F62F4" w:rsidRDefault="003003F8" w:rsidP="003003F8">
            <w:pPr>
              <w:pStyle w:val="TableTextRight"/>
              <w:rPr>
                <w:rFonts w:cstheme="minorHAnsi"/>
                <w:b w:val="0"/>
                <w:lang w:val="en-AU"/>
              </w:rPr>
            </w:pPr>
            <w:r w:rsidRPr="005F62F4">
              <w:rPr>
                <w:rFonts w:cstheme="minorHAnsi"/>
                <w:b w:val="0"/>
              </w:rPr>
              <w:t>88</w:t>
            </w:r>
            <w:r w:rsidRPr="005F62F4">
              <w:rPr>
                <w:rFonts w:cstheme="minorHAnsi"/>
                <w:lang w:val="en-AU"/>
              </w:rPr>
              <w:t>%</w:t>
            </w:r>
          </w:p>
        </w:tc>
      </w:tr>
      <w:tr w:rsidR="003003F8" w:rsidRPr="005F62F4" w14:paraId="6FA01C55" w14:textId="77777777" w:rsidTr="00D70E60">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603" w:type="pct"/>
          </w:tcPr>
          <w:p w14:paraId="732E6EFF" w14:textId="4EE1555D" w:rsidR="003003F8" w:rsidRPr="005F62F4" w:rsidRDefault="003003F8" w:rsidP="003003F8">
            <w:pPr>
              <w:pStyle w:val="TableText"/>
              <w:rPr>
                <w:rFonts w:cstheme="minorHAnsi"/>
                <w:b w:val="0"/>
              </w:rPr>
            </w:pPr>
            <w:r w:rsidRPr="005F62F4">
              <w:rPr>
                <w:rFonts w:cstheme="minorHAnsi"/>
                <w:b w:val="0"/>
              </w:rPr>
              <w:t>2016–17</w:t>
            </w:r>
          </w:p>
        </w:tc>
        <w:tc>
          <w:tcPr>
            <w:tcW w:w="732" w:type="pct"/>
          </w:tcPr>
          <w:p w14:paraId="5765189B" w14:textId="77777777"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lang w:val="en-AU"/>
              </w:rPr>
              <w:t>4</w:t>
            </w:r>
          </w:p>
        </w:tc>
        <w:tc>
          <w:tcPr>
            <w:tcW w:w="733" w:type="pct"/>
          </w:tcPr>
          <w:p w14:paraId="5C6DE8C5" w14:textId="54A50FDD"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1E5E40">
              <w:rPr>
                <w:sz w:val="17"/>
                <w:szCs w:val="17"/>
              </w:rPr>
              <w:t>[redacted]</w:t>
            </w:r>
          </w:p>
        </w:tc>
        <w:tc>
          <w:tcPr>
            <w:tcW w:w="733" w:type="pct"/>
          </w:tcPr>
          <w:p w14:paraId="7F87AE12" w14:textId="52236692"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1E5E40">
              <w:rPr>
                <w:sz w:val="17"/>
                <w:szCs w:val="17"/>
              </w:rPr>
              <w:t>[redacted]</w:t>
            </w:r>
          </w:p>
        </w:tc>
        <w:tc>
          <w:tcPr>
            <w:tcW w:w="732" w:type="pct"/>
          </w:tcPr>
          <w:p w14:paraId="132DE6F2" w14:textId="582AF54A"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1E5E40">
              <w:rPr>
                <w:sz w:val="17"/>
                <w:szCs w:val="17"/>
              </w:rPr>
              <w:t>[redacted]</w:t>
            </w:r>
          </w:p>
        </w:tc>
        <w:tc>
          <w:tcPr>
            <w:tcW w:w="733" w:type="pct"/>
          </w:tcPr>
          <w:p w14:paraId="630195DF" w14:textId="10471A2A"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lang w:val="en-AU"/>
              </w:rPr>
              <w:t>18%</w:t>
            </w:r>
          </w:p>
        </w:tc>
        <w:tc>
          <w:tcPr>
            <w:cnfStyle w:val="000100000000" w:firstRow="0" w:lastRow="0" w:firstColumn="0" w:lastColumn="1" w:oddVBand="0" w:evenVBand="0" w:oddHBand="0" w:evenHBand="0" w:firstRowFirstColumn="0" w:firstRowLastColumn="0" w:lastRowFirstColumn="0" w:lastRowLastColumn="0"/>
            <w:tcW w:w="733" w:type="pct"/>
          </w:tcPr>
          <w:p w14:paraId="4EDF828C" w14:textId="38B78685" w:rsidR="003003F8" w:rsidRPr="005F62F4" w:rsidRDefault="003003F8" w:rsidP="003003F8">
            <w:pPr>
              <w:pStyle w:val="TableTextRight"/>
              <w:rPr>
                <w:rFonts w:cstheme="minorHAnsi"/>
                <w:b w:val="0"/>
                <w:lang w:val="en-AU"/>
              </w:rPr>
            </w:pPr>
            <w:r w:rsidRPr="005F62F4">
              <w:rPr>
                <w:rFonts w:cstheme="minorHAnsi"/>
                <w:b w:val="0"/>
                <w:lang w:val="en-AU"/>
              </w:rPr>
              <w:t>82</w:t>
            </w:r>
            <w:r w:rsidRPr="005F62F4">
              <w:rPr>
                <w:rFonts w:cstheme="minorHAnsi"/>
                <w:lang w:val="en-AU"/>
              </w:rPr>
              <w:t>%</w:t>
            </w:r>
          </w:p>
        </w:tc>
      </w:tr>
      <w:tr w:rsidR="003003F8" w:rsidRPr="005F62F4" w14:paraId="064BDB83" w14:textId="77777777" w:rsidTr="00D70E60">
        <w:trPr>
          <w:trHeight w:val="170"/>
        </w:trPr>
        <w:tc>
          <w:tcPr>
            <w:cnfStyle w:val="001000000000" w:firstRow="0" w:lastRow="0" w:firstColumn="1" w:lastColumn="0" w:oddVBand="0" w:evenVBand="0" w:oddHBand="0" w:evenHBand="0" w:firstRowFirstColumn="0" w:firstRowLastColumn="0" w:lastRowFirstColumn="0" w:lastRowLastColumn="0"/>
            <w:tcW w:w="603" w:type="pct"/>
          </w:tcPr>
          <w:p w14:paraId="6C6BE329" w14:textId="2CA5F407" w:rsidR="003003F8" w:rsidRPr="005F62F4" w:rsidRDefault="003003F8" w:rsidP="003003F8">
            <w:pPr>
              <w:pStyle w:val="TableText"/>
              <w:rPr>
                <w:rFonts w:cstheme="minorHAnsi"/>
                <w:b w:val="0"/>
              </w:rPr>
            </w:pPr>
            <w:r w:rsidRPr="005F62F4">
              <w:rPr>
                <w:rFonts w:cstheme="minorHAnsi"/>
                <w:b w:val="0"/>
              </w:rPr>
              <w:t>2017–18</w:t>
            </w:r>
          </w:p>
        </w:tc>
        <w:tc>
          <w:tcPr>
            <w:tcW w:w="732" w:type="pct"/>
          </w:tcPr>
          <w:p w14:paraId="01F68686" w14:textId="77777777" w:rsidR="003003F8" w:rsidRPr="005F62F4" w:rsidRDefault="003003F8" w:rsidP="003003F8">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lang w:val="en-AU"/>
              </w:rPr>
              <w:t>6</w:t>
            </w:r>
          </w:p>
        </w:tc>
        <w:tc>
          <w:tcPr>
            <w:tcW w:w="733" w:type="pct"/>
          </w:tcPr>
          <w:p w14:paraId="69936213" w14:textId="77777777" w:rsidR="003003F8" w:rsidRPr="005F62F4" w:rsidRDefault="003003F8" w:rsidP="003003F8">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lang w:val="en-AU"/>
              </w:rPr>
              <w:t>$979,000</w:t>
            </w:r>
          </w:p>
        </w:tc>
        <w:tc>
          <w:tcPr>
            <w:tcW w:w="733" w:type="pct"/>
          </w:tcPr>
          <w:p w14:paraId="562650DD" w14:textId="77777777" w:rsidR="003003F8" w:rsidRPr="005F62F4" w:rsidRDefault="003003F8" w:rsidP="003003F8">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lang w:val="en-AU"/>
              </w:rPr>
              <w:t>$3,157,000</w:t>
            </w:r>
          </w:p>
        </w:tc>
        <w:tc>
          <w:tcPr>
            <w:tcW w:w="732" w:type="pct"/>
          </w:tcPr>
          <w:p w14:paraId="16F91697" w14:textId="77777777" w:rsidR="003003F8" w:rsidRPr="005F62F4" w:rsidRDefault="003003F8" w:rsidP="003003F8">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lang w:val="en-AU"/>
              </w:rPr>
              <w:t>$4,136,000</w:t>
            </w:r>
          </w:p>
        </w:tc>
        <w:tc>
          <w:tcPr>
            <w:tcW w:w="733" w:type="pct"/>
          </w:tcPr>
          <w:p w14:paraId="6CE44C56" w14:textId="24A586A8" w:rsidR="003003F8" w:rsidRPr="005F62F4" w:rsidRDefault="003003F8" w:rsidP="003003F8">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lang w:val="en-AU"/>
              </w:rPr>
              <w:t>24%</w:t>
            </w:r>
          </w:p>
        </w:tc>
        <w:tc>
          <w:tcPr>
            <w:cnfStyle w:val="000100000000" w:firstRow="0" w:lastRow="0" w:firstColumn="0" w:lastColumn="1" w:oddVBand="0" w:evenVBand="0" w:oddHBand="0" w:evenHBand="0" w:firstRowFirstColumn="0" w:firstRowLastColumn="0" w:lastRowFirstColumn="0" w:lastRowLastColumn="0"/>
            <w:tcW w:w="733" w:type="pct"/>
          </w:tcPr>
          <w:p w14:paraId="0D5162E6" w14:textId="0F8566F1" w:rsidR="003003F8" w:rsidRPr="005F62F4" w:rsidRDefault="003003F8" w:rsidP="003003F8">
            <w:pPr>
              <w:pStyle w:val="TableTextRight"/>
              <w:rPr>
                <w:rFonts w:cstheme="minorHAnsi"/>
                <w:b w:val="0"/>
                <w:lang w:val="en-AU"/>
              </w:rPr>
            </w:pPr>
            <w:r w:rsidRPr="005F62F4">
              <w:rPr>
                <w:rFonts w:cstheme="minorHAnsi"/>
                <w:b w:val="0"/>
                <w:lang w:val="en-AU"/>
              </w:rPr>
              <w:t>76</w:t>
            </w:r>
            <w:r w:rsidRPr="005F62F4">
              <w:rPr>
                <w:rFonts w:cstheme="minorHAnsi"/>
                <w:lang w:val="en-AU"/>
              </w:rPr>
              <w:t>%</w:t>
            </w:r>
          </w:p>
        </w:tc>
      </w:tr>
      <w:tr w:rsidR="003003F8" w:rsidRPr="005F62F4" w14:paraId="5695B9CE" w14:textId="77777777" w:rsidTr="00D70E60">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603" w:type="pct"/>
          </w:tcPr>
          <w:p w14:paraId="2730EEC8" w14:textId="1F05D4F5" w:rsidR="003003F8" w:rsidRPr="005F62F4" w:rsidRDefault="003003F8" w:rsidP="003003F8">
            <w:pPr>
              <w:pStyle w:val="TableText"/>
              <w:rPr>
                <w:rFonts w:cstheme="minorHAnsi"/>
                <w:b w:val="0"/>
              </w:rPr>
            </w:pPr>
            <w:r w:rsidRPr="005F62F4">
              <w:rPr>
                <w:rFonts w:cstheme="minorHAnsi"/>
                <w:b w:val="0"/>
              </w:rPr>
              <w:t>2018–19</w:t>
            </w:r>
          </w:p>
        </w:tc>
        <w:tc>
          <w:tcPr>
            <w:tcW w:w="732" w:type="pct"/>
          </w:tcPr>
          <w:p w14:paraId="1B453F5B" w14:textId="77777777"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lang w:val="en-AU"/>
              </w:rPr>
              <w:t>6</w:t>
            </w:r>
          </w:p>
        </w:tc>
        <w:tc>
          <w:tcPr>
            <w:tcW w:w="733" w:type="pct"/>
          </w:tcPr>
          <w:p w14:paraId="4A9C5196" w14:textId="77777777"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lang w:val="en-AU"/>
              </w:rPr>
              <w:t>$1,839,000</w:t>
            </w:r>
          </w:p>
        </w:tc>
        <w:tc>
          <w:tcPr>
            <w:tcW w:w="733" w:type="pct"/>
          </w:tcPr>
          <w:p w14:paraId="69F2C4ED" w14:textId="77777777"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lang w:val="en-AU"/>
              </w:rPr>
              <w:t>$5,402,000</w:t>
            </w:r>
          </w:p>
        </w:tc>
        <w:tc>
          <w:tcPr>
            <w:tcW w:w="732" w:type="pct"/>
          </w:tcPr>
          <w:p w14:paraId="2179A558" w14:textId="77777777"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lang w:val="en-AU"/>
              </w:rPr>
              <w:t>$7,241,000</w:t>
            </w:r>
          </w:p>
        </w:tc>
        <w:tc>
          <w:tcPr>
            <w:tcW w:w="733" w:type="pct"/>
          </w:tcPr>
          <w:p w14:paraId="52C8F45D" w14:textId="6E3620C9"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lang w:val="en-AU"/>
              </w:rPr>
              <w:t>25%</w:t>
            </w:r>
          </w:p>
        </w:tc>
        <w:tc>
          <w:tcPr>
            <w:cnfStyle w:val="000100000000" w:firstRow="0" w:lastRow="0" w:firstColumn="0" w:lastColumn="1" w:oddVBand="0" w:evenVBand="0" w:oddHBand="0" w:evenHBand="0" w:firstRowFirstColumn="0" w:firstRowLastColumn="0" w:lastRowFirstColumn="0" w:lastRowLastColumn="0"/>
            <w:tcW w:w="733" w:type="pct"/>
          </w:tcPr>
          <w:p w14:paraId="025373FF" w14:textId="63C90EFC" w:rsidR="003003F8" w:rsidRPr="005F62F4" w:rsidRDefault="003003F8" w:rsidP="003003F8">
            <w:pPr>
              <w:pStyle w:val="TableTextRight"/>
              <w:rPr>
                <w:rFonts w:cstheme="minorHAnsi"/>
                <w:b w:val="0"/>
                <w:lang w:val="en-AU"/>
              </w:rPr>
            </w:pPr>
            <w:r w:rsidRPr="005F62F4">
              <w:rPr>
                <w:rFonts w:cstheme="minorHAnsi"/>
                <w:b w:val="0"/>
                <w:lang w:val="en-AU"/>
              </w:rPr>
              <w:t>75</w:t>
            </w:r>
            <w:r w:rsidRPr="005F62F4">
              <w:rPr>
                <w:rFonts w:cstheme="minorHAnsi"/>
                <w:lang w:val="en-AU"/>
              </w:rPr>
              <w:t>%</w:t>
            </w:r>
          </w:p>
        </w:tc>
      </w:tr>
      <w:tr w:rsidR="003003F8" w:rsidRPr="005F62F4" w14:paraId="5E363DBF" w14:textId="77777777" w:rsidTr="00D70E60">
        <w:trPr>
          <w:trHeight w:val="170"/>
        </w:trPr>
        <w:tc>
          <w:tcPr>
            <w:cnfStyle w:val="001000000000" w:firstRow="0" w:lastRow="0" w:firstColumn="1" w:lastColumn="0" w:oddVBand="0" w:evenVBand="0" w:oddHBand="0" w:evenHBand="0" w:firstRowFirstColumn="0" w:firstRowLastColumn="0" w:lastRowFirstColumn="0" w:lastRowLastColumn="0"/>
            <w:tcW w:w="603" w:type="pct"/>
          </w:tcPr>
          <w:p w14:paraId="4905E835" w14:textId="2D361AB9" w:rsidR="003003F8" w:rsidRPr="005F62F4" w:rsidRDefault="003003F8" w:rsidP="003003F8">
            <w:pPr>
              <w:pStyle w:val="TableText"/>
              <w:rPr>
                <w:rFonts w:cstheme="minorHAnsi"/>
                <w:b w:val="0"/>
              </w:rPr>
            </w:pPr>
            <w:r w:rsidRPr="005F62F4">
              <w:rPr>
                <w:rFonts w:cstheme="minorHAnsi"/>
                <w:b w:val="0"/>
              </w:rPr>
              <w:t>2019–20</w:t>
            </w:r>
          </w:p>
        </w:tc>
        <w:tc>
          <w:tcPr>
            <w:tcW w:w="732" w:type="pct"/>
          </w:tcPr>
          <w:p w14:paraId="02AA17F8" w14:textId="77777777" w:rsidR="003003F8" w:rsidRPr="005F62F4" w:rsidRDefault="003003F8" w:rsidP="003003F8">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lang w:val="en-AU"/>
              </w:rPr>
              <w:t>8</w:t>
            </w:r>
          </w:p>
        </w:tc>
        <w:tc>
          <w:tcPr>
            <w:tcW w:w="733" w:type="pct"/>
          </w:tcPr>
          <w:p w14:paraId="526628FC" w14:textId="77777777" w:rsidR="003003F8" w:rsidRPr="005F62F4" w:rsidRDefault="003003F8" w:rsidP="003003F8">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lang w:val="en-AU"/>
              </w:rPr>
              <w:t>$2,514,000</w:t>
            </w:r>
          </w:p>
        </w:tc>
        <w:tc>
          <w:tcPr>
            <w:tcW w:w="733" w:type="pct"/>
          </w:tcPr>
          <w:p w14:paraId="343F259D" w14:textId="77777777" w:rsidR="003003F8" w:rsidRPr="005F62F4" w:rsidRDefault="003003F8" w:rsidP="003003F8">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lang w:val="en-AU"/>
              </w:rPr>
              <w:t>$6,656,000</w:t>
            </w:r>
          </w:p>
        </w:tc>
        <w:tc>
          <w:tcPr>
            <w:tcW w:w="732" w:type="pct"/>
          </w:tcPr>
          <w:p w14:paraId="7592CF40" w14:textId="77777777" w:rsidR="003003F8" w:rsidRPr="005F62F4" w:rsidRDefault="003003F8" w:rsidP="003003F8">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lang w:val="en-AU"/>
              </w:rPr>
              <w:t>$9,170,000</w:t>
            </w:r>
          </w:p>
        </w:tc>
        <w:tc>
          <w:tcPr>
            <w:tcW w:w="733" w:type="pct"/>
          </w:tcPr>
          <w:p w14:paraId="1C25B493" w14:textId="0712A31A" w:rsidR="003003F8" w:rsidRPr="005F62F4" w:rsidRDefault="003003F8" w:rsidP="003003F8">
            <w:pPr>
              <w:pStyle w:val="TableTextRight"/>
              <w:cnfStyle w:val="000000000000" w:firstRow="0" w:lastRow="0" w:firstColumn="0" w:lastColumn="0" w:oddVBand="0" w:evenVBand="0" w:oddHBand="0" w:evenHBand="0" w:firstRowFirstColumn="0" w:firstRowLastColumn="0" w:lastRowFirstColumn="0" w:lastRowLastColumn="0"/>
              <w:rPr>
                <w:rFonts w:cstheme="minorHAnsi"/>
                <w:lang w:val="en-AU"/>
              </w:rPr>
            </w:pPr>
            <w:r w:rsidRPr="005F62F4">
              <w:rPr>
                <w:rFonts w:cstheme="minorHAnsi"/>
                <w:lang w:val="en-AU"/>
              </w:rPr>
              <w:t>27%</w:t>
            </w:r>
          </w:p>
        </w:tc>
        <w:tc>
          <w:tcPr>
            <w:cnfStyle w:val="000100000000" w:firstRow="0" w:lastRow="0" w:firstColumn="0" w:lastColumn="1" w:oddVBand="0" w:evenVBand="0" w:oddHBand="0" w:evenHBand="0" w:firstRowFirstColumn="0" w:firstRowLastColumn="0" w:lastRowFirstColumn="0" w:lastRowLastColumn="0"/>
            <w:tcW w:w="733" w:type="pct"/>
          </w:tcPr>
          <w:p w14:paraId="6D8D3BA6" w14:textId="7841933D" w:rsidR="003003F8" w:rsidRPr="005F62F4" w:rsidRDefault="003003F8" w:rsidP="003003F8">
            <w:pPr>
              <w:pStyle w:val="TableTextRight"/>
              <w:rPr>
                <w:rFonts w:cstheme="minorHAnsi"/>
                <w:b w:val="0"/>
                <w:lang w:val="en-AU"/>
              </w:rPr>
            </w:pPr>
            <w:r w:rsidRPr="005F62F4">
              <w:rPr>
                <w:rFonts w:cstheme="minorHAnsi"/>
                <w:b w:val="0"/>
                <w:lang w:val="en-AU"/>
              </w:rPr>
              <w:t>73</w:t>
            </w:r>
            <w:r w:rsidRPr="005F62F4">
              <w:rPr>
                <w:rFonts w:cstheme="minorHAnsi"/>
                <w:lang w:val="en-AU"/>
              </w:rPr>
              <w:t>%</w:t>
            </w:r>
          </w:p>
        </w:tc>
      </w:tr>
      <w:tr w:rsidR="003003F8" w:rsidRPr="005F62F4" w14:paraId="6B9910F1" w14:textId="77777777" w:rsidTr="00D70E60">
        <w:trPr>
          <w:cnfStyle w:val="000000010000" w:firstRow="0" w:lastRow="0" w:firstColumn="0" w:lastColumn="0" w:oddVBand="0" w:evenVBand="0" w:oddHBand="0" w:evenHBand="1"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603" w:type="pct"/>
          </w:tcPr>
          <w:p w14:paraId="61EBBEB2" w14:textId="199F4A18" w:rsidR="003003F8" w:rsidRPr="005F62F4" w:rsidRDefault="003003F8" w:rsidP="003003F8">
            <w:pPr>
              <w:pStyle w:val="TableText"/>
              <w:rPr>
                <w:rFonts w:cstheme="minorHAnsi"/>
                <w:b w:val="0"/>
              </w:rPr>
            </w:pPr>
            <w:r w:rsidRPr="005F62F4">
              <w:rPr>
                <w:rFonts w:cstheme="minorHAnsi"/>
                <w:b w:val="0"/>
              </w:rPr>
              <w:t>2020–21</w:t>
            </w:r>
          </w:p>
        </w:tc>
        <w:tc>
          <w:tcPr>
            <w:tcW w:w="732" w:type="pct"/>
          </w:tcPr>
          <w:p w14:paraId="2BFFAB9A" w14:textId="77777777"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lang w:val="en-AU"/>
              </w:rPr>
              <w:t>9</w:t>
            </w:r>
          </w:p>
        </w:tc>
        <w:tc>
          <w:tcPr>
            <w:tcW w:w="733" w:type="pct"/>
          </w:tcPr>
          <w:p w14:paraId="0A66ECDE" w14:textId="77777777"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lang w:val="en-AU"/>
              </w:rPr>
              <w:t>$4,726,000</w:t>
            </w:r>
          </w:p>
        </w:tc>
        <w:tc>
          <w:tcPr>
            <w:tcW w:w="733" w:type="pct"/>
          </w:tcPr>
          <w:p w14:paraId="2999C3C9" w14:textId="77777777"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lang w:val="en-AU"/>
              </w:rPr>
              <w:t>$12,954,000</w:t>
            </w:r>
          </w:p>
        </w:tc>
        <w:tc>
          <w:tcPr>
            <w:tcW w:w="732" w:type="pct"/>
          </w:tcPr>
          <w:p w14:paraId="0AF8C645" w14:textId="77777777"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lang w:val="en-AU"/>
              </w:rPr>
              <w:t>$17,680,000</w:t>
            </w:r>
          </w:p>
        </w:tc>
        <w:tc>
          <w:tcPr>
            <w:tcW w:w="733" w:type="pct"/>
          </w:tcPr>
          <w:p w14:paraId="04DB0D27" w14:textId="1352AC5E" w:rsidR="003003F8" w:rsidRPr="005F62F4" w:rsidRDefault="003003F8" w:rsidP="003003F8">
            <w:pPr>
              <w:pStyle w:val="TableTextRight"/>
              <w:cnfStyle w:val="000000010000" w:firstRow="0" w:lastRow="0" w:firstColumn="0" w:lastColumn="0" w:oddVBand="0" w:evenVBand="0" w:oddHBand="0" w:evenHBand="1" w:firstRowFirstColumn="0" w:firstRowLastColumn="0" w:lastRowFirstColumn="0" w:lastRowLastColumn="0"/>
              <w:rPr>
                <w:rFonts w:cstheme="minorHAnsi"/>
                <w:lang w:val="en-AU"/>
              </w:rPr>
            </w:pPr>
            <w:r w:rsidRPr="005F62F4">
              <w:rPr>
                <w:rFonts w:cstheme="minorHAnsi"/>
                <w:lang w:val="en-AU"/>
              </w:rPr>
              <w:t>27%</w:t>
            </w:r>
          </w:p>
        </w:tc>
        <w:tc>
          <w:tcPr>
            <w:cnfStyle w:val="000100000000" w:firstRow="0" w:lastRow="0" w:firstColumn="0" w:lastColumn="1" w:oddVBand="0" w:evenVBand="0" w:oddHBand="0" w:evenHBand="0" w:firstRowFirstColumn="0" w:firstRowLastColumn="0" w:lastRowFirstColumn="0" w:lastRowLastColumn="0"/>
            <w:tcW w:w="733" w:type="pct"/>
          </w:tcPr>
          <w:p w14:paraId="62943A9A" w14:textId="5C37C643" w:rsidR="003003F8" w:rsidRPr="005F62F4" w:rsidRDefault="003003F8" w:rsidP="003003F8">
            <w:pPr>
              <w:pStyle w:val="TableTextRight"/>
              <w:rPr>
                <w:rFonts w:cstheme="minorHAnsi"/>
                <w:b w:val="0"/>
                <w:lang w:val="en-AU"/>
              </w:rPr>
            </w:pPr>
            <w:r w:rsidRPr="005F62F4">
              <w:rPr>
                <w:rFonts w:cstheme="minorHAnsi"/>
                <w:b w:val="0"/>
                <w:lang w:val="en-AU"/>
              </w:rPr>
              <w:t>73</w:t>
            </w:r>
            <w:r w:rsidRPr="005F62F4">
              <w:rPr>
                <w:rFonts w:cstheme="minorHAnsi"/>
                <w:lang w:val="en-AU"/>
              </w:rPr>
              <w:t>%</w:t>
            </w:r>
          </w:p>
        </w:tc>
      </w:tr>
      <w:tr w:rsidR="003003F8" w:rsidRPr="005F62F4" w14:paraId="3B249814" w14:textId="77777777" w:rsidTr="00D70E60">
        <w:trPr>
          <w:cnfStyle w:val="010000000000" w:firstRow="0" w:lastRow="1" w:firstColumn="0" w:lastColumn="0" w:oddVBand="0" w:evenVBand="0" w:oddHBand="0"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603" w:type="pct"/>
          </w:tcPr>
          <w:p w14:paraId="6A2BD613" w14:textId="77777777" w:rsidR="003003F8" w:rsidRPr="005F62F4" w:rsidRDefault="003003F8" w:rsidP="003003F8">
            <w:pPr>
              <w:pStyle w:val="TableText"/>
              <w:rPr>
                <w:rFonts w:cstheme="minorHAnsi"/>
                <w:bCs/>
              </w:rPr>
            </w:pPr>
            <w:r w:rsidRPr="005F62F4">
              <w:rPr>
                <w:rFonts w:cstheme="minorHAnsi"/>
                <w:bCs/>
              </w:rPr>
              <w:t>Total</w:t>
            </w:r>
          </w:p>
        </w:tc>
        <w:tc>
          <w:tcPr>
            <w:tcW w:w="732" w:type="pct"/>
          </w:tcPr>
          <w:p w14:paraId="2EC07FBA" w14:textId="77777777" w:rsidR="003003F8" w:rsidRPr="005F62F4" w:rsidRDefault="003003F8" w:rsidP="003003F8">
            <w:pPr>
              <w:pStyle w:val="TableTextRight"/>
              <w:cnfStyle w:val="010000000000" w:firstRow="0" w:lastRow="1" w:firstColumn="0" w:lastColumn="0" w:oddVBand="0" w:evenVBand="0" w:oddHBand="0" w:evenHBand="0" w:firstRowFirstColumn="0" w:firstRowLastColumn="0" w:lastRowFirstColumn="0" w:lastRowLastColumn="0"/>
              <w:rPr>
                <w:rFonts w:cstheme="minorHAnsi"/>
                <w:bCs/>
                <w:lang w:val="en-AU"/>
              </w:rPr>
            </w:pPr>
          </w:p>
        </w:tc>
        <w:tc>
          <w:tcPr>
            <w:tcW w:w="733" w:type="pct"/>
          </w:tcPr>
          <w:p w14:paraId="29F0E0D5" w14:textId="77777777" w:rsidR="003003F8" w:rsidRPr="005F62F4" w:rsidRDefault="003003F8" w:rsidP="003003F8">
            <w:pPr>
              <w:pStyle w:val="TableTextRight"/>
              <w:cnfStyle w:val="010000000000" w:firstRow="0" w:lastRow="1" w:firstColumn="0" w:lastColumn="0" w:oddVBand="0" w:evenVBand="0" w:oddHBand="0" w:evenHBand="0" w:firstRowFirstColumn="0" w:firstRowLastColumn="0" w:lastRowFirstColumn="0" w:lastRowLastColumn="0"/>
              <w:rPr>
                <w:rFonts w:cstheme="minorHAnsi"/>
                <w:bCs/>
                <w:lang w:val="en-AU"/>
              </w:rPr>
            </w:pPr>
            <w:r w:rsidRPr="005F62F4">
              <w:rPr>
                <w:rFonts w:cstheme="minorHAnsi"/>
                <w:bCs/>
                <w:lang w:val="en-AU"/>
              </w:rPr>
              <w:t>$10,510,000</w:t>
            </w:r>
          </w:p>
        </w:tc>
        <w:tc>
          <w:tcPr>
            <w:tcW w:w="733" w:type="pct"/>
          </w:tcPr>
          <w:p w14:paraId="18EE1230" w14:textId="77777777" w:rsidR="003003F8" w:rsidRPr="005F62F4" w:rsidRDefault="003003F8" w:rsidP="003003F8">
            <w:pPr>
              <w:pStyle w:val="TableTextRight"/>
              <w:cnfStyle w:val="010000000000" w:firstRow="0" w:lastRow="1" w:firstColumn="0" w:lastColumn="0" w:oddVBand="0" w:evenVBand="0" w:oddHBand="0" w:evenHBand="0" w:firstRowFirstColumn="0" w:firstRowLastColumn="0" w:lastRowFirstColumn="0" w:lastRowLastColumn="0"/>
              <w:rPr>
                <w:rFonts w:cstheme="minorHAnsi"/>
                <w:bCs/>
                <w:lang w:val="en-AU"/>
              </w:rPr>
            </w:pPr>
            <w:r w:rsidRPr="005F62F4">
              <w:rPr>
                <w:rFonts w:cstheme="minorHAnsi"/>
                <w:bCs/>
                <w:lang w:val="en-AU"/>
              </w:rPr>
              <w:t>$30,260,000</w:t>
            </w:r>
          </w:p>
        </w:tc>
        <w:tc>
          <w:tcPr>
            <w:tcW w:w="732" w:type="pct"/>
          </w:tcPr>
          <w:p w14:paraId="003C87DE" w14:textId="77777777" w:rsidR="003003F8" w:rsidRPr="005F62F4" w:rsidRDefault="003003F8" w:rsidP="003003F8">
            <w:pPr>
              <w:pStyle w:val="TableTextRight"/>
              <w:cnfStyle w:val="010000000000" w:firstRow="0" w:lastRow="1" w:firstColumn="0" w:lastColumn="0" w:oddVBand="0" w:evenVBand="0" w:oddHBand="0" w:evenHBand="0" w:firstRowFirstColumn="0" w:firstRowLastColumn="0" w:lastRowFirstColumn="0" w:lastRowLastColumn="0"/>
              <w:rPr>
                <w:rFonts w:cstheme="minorHAnsi"/>
                <w:bCs/>
                <w:lang w:val="en-AU"/>
              </w:rPr>
            </w:pPr>
            <w:r w:rsidRPr="005F62F4">
              <w:rPr>
                <w:rFonts w:cstheme="minorHAnsi"/>
                <w:bCs/>
                <w:lang w:val="en-AU"/>
              </w:rPr>
              <w:t>$40,770,000</w:t>
            </w:r>
          </w:p>
        </w:tc>
        <w:tc>
          <w:tcPr>
            <w:tcW w:w="733" w:type="pct"/>
          </w:tcPr>
          <w:p w14:paraId="2D350D9E" w14:textId="37A81F28" w:rsidR="003003F8" w:rsidRPr="005F62F4" w:rsidRDefault="003003F8" w:rsidP="003003F8">
            <w:pPr>
              <w:pStyle w:val="TableTextRight"/>
              <w:cnfStyle w:val="010000000000" w:firstRow="0" w:lastRow="1" w:firstColumn="0" w:lastColumn="0" w:oddVBand="0" w:evenVBand="0" w:oddHBand="0" w:evenHBand="0" w:firstRowFirstColumn="0" w:firstRowLastColumn="0" w:lastRowFirstColumn="0" w:lastRowLastColumn="0"/>
              <w:rPr>
                <w:rFonts w:cstheme="minorHAnsi"/>
                <w:bCs/>
                <w:lang w:val="en-AU"/>
              </w:rPr>
            </w:pPr>
            <w:r w:rsidRPr="005F62F4">
              <w:rPr>
                <w:rFonts w:cstheme="minorHAnsi"/>
                <w:bCs/>
                <w:lang w:val="en-AU"/>
              </w:rPr>
              <w:t>26</w:t>
            </w:r>
            <w:r w:rsidRPr="005F62F4">
              <w:rPr>
                <w:rFonts w:cstheme="minorHAnsi"/>
                <w:lang w:val="en-AU"/>
              </w:rPr>
              <w:t>%</w:t>
            </w:r>
          </w:p>
        </w:tc>
        <w:tc>
          <w:tcPr>
            <w:cnfStyle w:val="000100000000" w:firstRow="0" w:lastRow="0" w:firstColumn="0" w:lastColumn="1" w:oddVBand="0" w:evenVBand="0" w:oddHBand="0" w:evenHBand="0" w:firstRowFirstColumn="0" w:firstRowLastColumn="0" w:lastRowFirstColumn="0" w:lastRowLastColumn="0"/>
            <w:tcW w:w="733" w:type="pct"/>
          </w:tcPr>
          <w:p w14:paraId="67582231" w14:textId="120FB9DB" w:rsidR="003003F8" w:rsidRPr="005F62F4" w:rsidRDefault="003003F8" w:rsidP="003003F8">
            <w:pPr>
              <w:pStyle w:val="TableTextRight"/>
              <w:keepNext/>
              <w:rPr>
                <w:rFonts w:cstheme="minorHAnsi"/>
                <w:bCs/>
                <w:lang w:val="en-AU"/>
              </w:rPr>
            </w:pPr>
            <w:r w:rsidRPr="005F62F4">
              <w:rPr>
                <w:rFonts w:cstheme="minorHAnsi"/>
                <w:bCs/>
              </w:rPr>
              <w:t>74</w:t>
            </w:r>
            <w:r w:rsidRPr="005F62F4">
              <w:rPr>
                <w:rFonts w:cstheme="minorHAnsi"/>
                <w:lang w:val="en-AU"/>
              </w:rPr>
              <w:t>%</w:t>
            </w:r>
          </w:p>
        </w:tc>
      </w:tr>
    </w:tbl>
    <w:p w14:paraId="25A2EE7E" w14:textId="71D269C9" w:rsidR="00F7646B" w:rsidRPr="005F62F4" w:rsidRDefault="00F7646B" w:rsidP="00860BF7">
      <w:pPr>
        <w:pStyle w:val="ParaKeep"/>
        <w:rPr>
          <w:lang w:eastAsia="en-AU"/>
        </w:rPr>
      </w:pPr>
      <w:r w:rsidRPr="005F62F4">
        <w:lastRenderedPageBreak/>
        <w:t xml:space="preserve">Expenditure on </w:t>
      </w:r>
      <w:proofErr w:type="spellStart"/>
      <w:r w:rsidRPr="005F62F4">
        <w:t>biomodels</w:t>
      </w:r>
      <w:proofErr w:type="spellEnd"/>
      <w:r w:rsidRPr="005F62F4">
        <w:t>, while lower than surgical guide expenditure, experienced a proportionally larger increase (170% annually on avera</w:t>
      </w:r>
      <w:r w:rsidR="00652795" w:rsidRPr="005F62F4">
        <w:t>g</w:t>
      </w:r>
      <w:r w:rsidRPr="005F62F4">
        <w:t xml:space="preserve">e, compared to 109%). </w:t>
      </w:r>
      <w:r w:rsidR="00FB090F" w:rsidRPr="005F62F4">
        <w:fldChar w:fldCharType="begin"/>
      </w:r>
      <w:r w:rsidR="00FB090F" w:rsidRPr="005F62F4">
        <w:instrText xml:space="preserve"> REF _Ref120545557 \h </w:instrText>
      </w:r>
      <w:r w:rsidR="005F62F4">
        <w:instrText xml:space="preserve"> \* MERGEFORMAT </w:instrText>
      </w:r>
      <w:r w:rsidR="00FB090F" w:rsidRPr="005F62F4">
        <w:fldChar w:fldCharType="separate"/>
      </w:r>
      <w:r w:rsidR="005606BF" w:rsidRPr="005F62F4">
        <w:t>Figure </w:t>
      </w:r>
      <w:r w:rsidR="005606BF">
        <w:t>3</w:t>
      </w:r>
      <w:r w:rsidR="00FB090F" w:rsidRPr="005F62F4">
        <w:fldChar w:fldCharType="end"/>
      </w:r>
      <w:r w:rsidRPr="005F62F4">
        <w:t xml:space="preserve"> shows growth in annual expenditure on both surgical guides and </w:t>
      </w:r>
      <w:proofErr w:type="spellStart"/>
      <w:r w:rsidRPr="005F62F4">
        <w:t>biomodels</w:t>
      </w:r>
      <w:proofErr w:type="spellEnd"/>
      <w:r w:rsidRPr="005F62F4">
        <w:t>.</w:t>
      </w:r>
    </w:p>
    <w:p w14:paraId="00091F5A" w14:textId="41F93134" w:rsidR="00C3433C" w:rsidRPr="005F62F4" w:rsidRDefault="003929A5" w:rsidP="008F4235">
      <w:pPr>
        <w:pStyle w:val="Image"/>
      </w:pPr>
      <w:r>
        <w:rPr>
          <w:noProof/>
        </w:rPr>
        <w:drawing>
          <wp:inline distT="0" distB="0" distL="0" distR="0" wp14:anchorId="05CE0A8B" wp14:editId="51C91055">
            <wp:extent cx="5925820" cy="3583305"/>
            <wp:effectExtent l="0" t="0" r="0" b="0"/>
            <wp:docPr id="7" name="Picture 7" descr="Figure 3: Benefits paid for surgical guides and biomodels, by financial y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Figure 3: Benefits paid for surgical guides and biomodels, by financial year"/>
                    <pic:cNvPicPr/>
                  </pic:nvPicPr>
                  <pic:blipFill>
                    <a:blip r:embed="rId24"/>
                    <a:stretch>
                      <a:fillRect/>
                    </a:stretch>
                  </pic:blipFill>
                  <pic:spPr>
                    <a:xfrm>
                      <a:off x="0" y="0"/>
                      <a:ext cx="5925820" cy="3583305"/>
                    </a:xfrm>
                    <a:prstGeom prst="rect">
                      <a:avLst/>
                    </a:prstGeom>
                  </pic:spPr>
                </pic:pic>
              </a:graphicData>
            </a:graphic>
          </wp:inline>
        </w:drawing>
      </w:r>
    </w:p>
    <w:p w14:paraId="51E67138" w14:textId="32343234" w:rsidR="006F2E5E" w:rsidRPr="005F62F4" w:rsidRDefault="00597B02" w:rsidP="00074B6C">
      <w:pPr>
        <w:pStyle w:val="Para"/>
        <w:jc w:val="center"/>
      </w:pPr>
      <w:bookmarkStart w:id="203" w:name="_Ref120545557"/>
      <w:bookmarkStart w:id="204" w:name="_Toc129954628"/>
      <w:r w:rsidRPr="005F62F4">
        <w:t>Figure </w:t>
      </w:r>
      <w:r w:rsidRPr="005F62F4">
        <w:fldChar w:fldCharType="begin"/>
      </w:r>
      <w:r w:rsidRPr="005F62F4">
        <w:instrText>SEQ Figure \* ARABIC</w:instrText>
      </w:r>
      <w:r w:rsidRPr="005F62F4">
        <w:fldChar w:fldCharType="separate"/>
      </w:r>
      <w:r w:rsidR="005606BF">
        <w:rPr>
          <w:noProof/>
        </w:rPr>
        <w:t>3</w:t>
      </w:r>
      <w:r w:rsidRPr="005F62F4">
        <w:fldChar w:fldCharType="end"/>
      </w:r>
      <w:bookmarkEnd w:id="203"/>
      <w:r w:rsidR="00E56C05" w:rsidRPr="005F62F4">
        <w:t xml:space="preserve">: </w:t>
      </w:r>
      <w:r w:rsidR="00C3433C" w:rsidRPr="005F62F4">
        <w:t xml:space="preserve">Benefits paid for surgical guides and </w:t>
      </w:r>
      <w:proofErr w:type="spellStart"/>
      <w:r w:rsidR="00C3433C" w:rsidRPr="005F62F4">
        <w:t>biomodels</w:t>
      </w:r>
      <w:proofErr w:type="spellEnd"/>
      <w:r w:rsidR="00C3433C" w:rsidRPr="005F62F4">
        <w:t>, by financial year</w:t>
      </w:r>
      <w:bookmarkEnd w:id="204"/>
    </w:p>
    <w:p w14:paraId="2F8564C6" w14:textId="20FE897C" w:rsidR="00F7646B" w:rsidRPr="005F62F4" w:rsidRDefault="00F7646B" w:rsidP="004A76A1">
      <w:pPr>
        <w:pStyle w:val="Para"/>
      </w:pPr>
      <w:r w:rsidRPr="005F62F4">
        <w:t xml:space="preserve">Interestingly, the growth in expenditure on surgical guides and </w:t>
      </w:r>
      <w:proofErr w:type="spellStart"/>
      <w:r w:rsidRPr="005F62F4">
        <w:t>biomodels</w:t>
      </w:r>
      <w:proofErr w:type="spellEnd"/>
      <w:r w:rsidRPr="005F62F4">
        <w:t xml:space="preserve"> has not been accompanied by an increase in plastic and reconstructive surgeries, the MBS clinical category for which these items were initially listed. For example</w:t>
      </w:r>
      <w:r w:rsidR="00865339" w:rsidRPr="005F62F4">
        <w:t>,</w:t>
      </w:r>
      <w:r w:rsidRPr="005F62F4">
        <w:t xml:space="preserve"> in the 5 years to 2020–21, annual average growth in expenditure on surgical guides and </w:t>
      </w:r>
      <w:proofErr w:type="spellStart"/>
      <w:r w:rsidRPr="005F62F4">
        <w:t>biomodels</w:t>
      </w:r>
      <w:proofErr w:type="spellEnd"/>
      <w:r w:rsidRPr="005F62F4">
        <w:t xml:space="preserve"> was 123%. APRA data show that over the same </w:t>
      </w:r>
      <w:proofErr w:type="gramStart"/>
      <w:r w:rsidRPr="005F62F4">
        <w:t>time period</w:t>
      </w:r>
      <w:proofErr w:type="gramEnd"/>
      <w:r w:rsidRPr="005F62F4">
        <w:t>, annual growth in plastic and reconstructive surgeries undertaken in private hospital facilities averaged 2.8%.</w:t>
      </w:r>
      <w:r w:rsidR="00B70C94" w:rsidRPr="005F62F4">
        <w:t xml:space="preserve"> </w:t>
      </w:r>
      <w:r w:rsidR="0084732E" w:rsidRPr="005F62F4">
        <w:t>T</w:t>
      </w:r>
      <w:r w:rsidR="00F24BCC" w:rsidRPr="005F62F4">
        <w:t>his side</w:t>
      </w:r>
      <w:r w:rsidR="00FC5AAC" w:rsidRPr="005F62F4">
        <w:t>-</w:t>
      </w:r>
      <w:r w:rsidR="00F24BCC" w:rsidRPr="005F62F4">
        <w:t>by</w:t>
      </w:r>
      <w:r w:rsidR="00D614D7" w:rsidRPr="005F62F4">
        <w:t>-</w:t>
      </w:r>
      <w:r w:rsidR="00F24BCC" w:rsidRPr="005F62F4">
        <w:t xml:space="preserve">side comparison </w:t>
      </w:r>
      <w:r w:rsidR="0084732E" w:rsidRPr="005F62F4">
        <w:t>indicates</w:t>
      </w:r>
      <w:r w:rsidR="00F24BCC" w:rsidRPr="005F62F4">
        <w:t xml:space="preserve"> that the growth in expenditure </w:t>
      </w:r>
      <w:r w:rsidR="0084732E" w:rsidRPr="005F62F4">
        <w:t>may</w:t>
      </w:r>
      <w:r w:rsidR="00F24BCC" w:rsidRPr="005F62F4">
        <w:t xml:space="preserve"> be attributed to growth in utilisation </w:t>
      </w:r>
      <w:r w:rsidR="0084732E" w:rsidRPr="005F62F4">
        <w:t>rather than</w:t>
      </w:r>
      <w:r w:rsidR="00F24BCC" w:rsidRPr="005F62F4">
        <w:t xml:space="preserve"> growth in surgical procedures.</w:t>
      </w:r>
    </w:p>
    <w:p w14:paraId="4AC29399" w14:textId="2A1D9C61" w:rsidR="00B60FA6" w:rsidRPr="005F62F4" w:rsidRDefault="00B60FA6" w:rsidP="004F2931">
      <w:pPr>
        <w:pStyle w:val="Heading4"/>
      </w:pPr>
      <w:r w:rsidRPr="005F62F4">
        <w:t>Expenditure by MBS item number</w:t>
      </w:r>
      <w:r w:rsidR="00647A34" w:rsidRPr="005F62F4">
        <w:t>s</w:t>
      </w:r>
    </w:p>
    <w:p w14:paraId="4039B567" w14:textId="5FED2652" w:rsidR="00AB3BEC" w:rsidRPr="005F62F4" w:rsidRDefault="00B60FA6" w:rsidP="00B60FA6">
      <w:pPr>
        <w:pStyle w:val="Para"/>
        <w:rPr>
          <w:lang w:eastAsia="en-AU"/>
        </w:rPr>
      </w:pPr>
      <w:r w:rsidRPr="005F62F4">
        <w:rPr>
          <w:lang w:eastAsia="en-AU"/>
        </w:rPr>
        <w:t xml:space="preserve">HCP1 data on the </w:t>
      </w:r>
      <w:r w:rsidR="000254CB" w:rsidRPr="005F62F4">
        <w:rPr>
          <w:lang w:eastAsia="en-AU"/>
        </w:rPr>
        <w:t>benefits paid for the</w:t>
      </w:r>
      <w:r w:rsidRPr="005F62F4">
        <w:rPr>
          <w:lang w:eastAsia="en-AU"/>
        </w:rPr>
        <w:t xml:space="preserve"> 10 </w:t>
      </w:r>
      <w:r w:rsidR="00647A34" w:rsidRPr="005F62F4">
        <w:rPr>
          <w:lang w:eastAsia="en-AU"/>
        </w:rPr>
        <w:t xml:space="preserve">most common </w:t>
      </w:r>
      <w:r w:rsidRPr="005F62F4">
        <w:rPr>
          <w:lang w:eastAsia="en-AU"/>
        </w:rPr>
        <w:t>MBS item numbers</w:t>
      </w:r>
      <w:r w:rsidR="00647A34" w:rsidRPr="005F62F4">
        <w:rPr>
          <w:lang w:eastAsia="en-AU"/>
        </w:rPr>
        <w:t xml:space="preserve"> </w:t>
      </w:r>
      <w:r w:rsidR="002C1C41" w:rsidRPr="005F62F4">
        <w:rPr>
          <w:lang w:eastAsia="en-AU"/>
        </w:rPr>
        <w:t xml:space="preserve">for surgical guides and </w:t>
      </w:r>
      <w:proofErr w:type="spellStart"/>
      <w:r w:rsidR="002C1C41" w:rsidRPr="005F62F4">
        <w:rPr>
          <w:lang w:eastAsia="en-AU"/>
        </w:rPr>
        <w:t>biomodels</w:t>
      </w:r>
      <w:proofErr w:type="spellEnd"/>
      <w:r w:rsidR="002C1C41" w:rsidRPr="005F62F4">
        <w:rPr>
          <w:lang w:eastAsia="en-AU"/>
        </w:rPr>
        <w:t xml:space="preserve"> </w:t>
      </w:r>
      <w:r w:rsidRPr="005F62F4">
        <w:rPr>
          <w:lang w:eastAsia="en-AU"/>
        </w:rPr>
        <w:t xml:space="preserve">suggests </w:t>
      </w:r>
      <w:r w:rsidR="00F06781" w:rsidRPr="005F62F4">
        <w:rPr>
          <w:lang w:eastAsia="en-AU"/>
        </w:rPr>
        <w:t xml:space="preserve">that </w:t>
      </w:r>
      <w:r w:rsidRPr="005F62F4">
        <w:rPr>
          <w:lang w:eastAsia="en-AU"/>
        </w:rPr>
        <w:t xml:space="preserve">there are </w:t>
      </w:r>
      <w:r w:rsidR="00061CF6" w:rsidRPr="005F62F4">
        <w:rPr>
          <w:lang w:eastAsia="en-AU"/>
        </w:rPr>
        <w:t>both similarities and</w:t>
      </w:r>
      <w:r w:rsidRPr="005F62F4">
        <w:rPr>
          <w:lang w:eastAsia="en-AU"/>
        </w:rPr>
        <w:t xml:space="preserve"> differences </w:t>
      </w:r>
      <w:r w:rsidR="00061CF6" w:rsidRPr="005F62F4">
        <w:rPr>
          <w:lang w:eastAsia="en-AU"/>
        </w:rPr>
        <w:t>in</w:t>
      </w:r>
      <w:r w:rsidRPr="005F62F4">
        <w:rPr>
          <w:lang w:eastAsia="en-AU"/>
        </w:rPr>
        <w:t xml:space="preserve"> utilisation patterns. </w:t>
      </w:r>
      <w:r w:rsidR="00AB0588" w:rsidRPr="005F62F4">
        <w:rPr>
          <w:lang w:eastAsia="en-AU"/>
        </w:rPr>
        <w:t xml:space="preserve">Item numbers 52375 and 45841 </w:t>
      </w:r>
      <w:r w:rsidR="001141CE" w:rsidRPr="005F62F4">
        <w:rPr>
          <w:lang w:eastAsia="en-AU"/>
        </w:rPr>
        <w:t xml:space="preserve">account for the largest expenditure </w:t>
      </w:r>
      <w:r w:rsidR="002C5BF3" w:rsidRPr="005F62F4">
        <w:rPr>
          <w:lang w:eastAsia="en-AU"/>
        </w:rPr>
        <w:t>for both types of products</w:t>
      </w:r>
      <w:r w:rsidR="002C1C41" w:rsidRPr="005F62F4">
        <w:rPr>
          <w:lang w:eastAsia="en-AU"/>
        </w:rPr>
        <w:t xml:space="preserve"> (albeit in </w:t>
      </w:r>
      <w:r w:rsidR="002C5BF3" w:rsidRPr="005F62F4">
        <w:rPr>
          <w:lang w:eastAsia="en-AU"/>
        </w:rPr>
        <w:t>mirror order)</w:t>
      </w:r>
      <w:r w:rsidR="001141CE" w:rsidRPr="005F62F4">
        <w:rPr>
          <w:lang w:eastAsia="en-AU"/>
        </w:rPr>
        <w:t xml:space="preserve">, </w:t>
      </w:r>
      <w:r w:rsidR="00E41D33" w:rsidRPr="005F62F4">
        <w:rPr>
          <w:lang w:eastAsia="en-AU"/>
        </w:rPr>
        <w:t xml:space="preserve">and </w:t>
      </w:r>
      <w:r w:rsidR="002C5BF3" w:rsidRPr="005F62F4">
        <w:rPr>
          <w:lang w:eastAsia="en-AU"/>
        </w:rPr>
        <w:t xml:space="preserve">item numbers </w:t>
      </w:r>
      <w:r w:rsidR="00E41D33" w:rsidRPr="005F62F4">
        <w:rPr>
          <w:lang w:eastAsia="en-AU"/>
        </w:rPr>
        <w:t>45732, 45729</w:t>
      </w:r>
      <w:r w:rsidR="00947923" w:rsidRPr="005F62F4">
        <w:rPr>
          <w:lang w:eastAsia="en-AU"/>
        </w:rPr>
        <w:t>, 45752, 45738</w:t>
      </w:r>
      <w:r w:rsidR="002C5BF3" w:rsidRPr="005F62F4">
        <w:rPr>
          <w:lang w:eastAsia="en-AU"/>
        </w:rPr>
        <w:t xml:space="preserve"> are also common in both</w:t>
      </w:r>
      <w:r w:rsidR="00061CF6" w:rsidRPr="005F62F4">
        <w:rPr>
          <w:lang w:eastAsia="en-AU"/>
        </w:rPr>
        <w:t>.</w:t>
      </w:r>
    </w:p>
    <w:p w14:paraId="7DF84346" w14:textId="1C634DA9" w:rsidR="00061CF6" w:rsidRPr="005F62F4" w:rsidRDefault="002C5BF3" w:rsidP="00B60FA6">
      <w:pPr>
        <w:pStyle w:val="Para"/>
        <w:rPr>
          <w:szCs w:val="22"/>
        </w:rPr>
      </w:pPr>
      <w:r w:rsidRPr="005F62F4">
        <w:rPr>
          <w:lang w:eastAsia="en-AU"/>
        </w:rPr>
        <w:t xml:space="preserve">In addition, </w:t>
      </w:r>
      <w:r w:rsidR="004A44A6" w:rsidRPr="005F62F4">
        <w:rPr>
          <w:lang w:eastAsia="en-AU"/>
        </w:rPr>
        <w:t>hospital separations w</w:t>
      </w:r>
      <w:r w:rsidR="00C7381E" w:rsidRPr="005F62F4">
        <w:rPr>
          <w:lang w:eastAsia="en-AU"/>
        </w:rPr>
        <w:t>here the MBS item number</w:t>
      </w:r>
      <w:r w:rsidR="002C4EB3" w:rsidRPr="005F62F4">
        <w:rPr>
          <w:lang w:eastAsia="en-AU"/>
        </w:rPr>
        <w:t xml:space="preserve"> was not supplied</w:t>
      </w:r>
      <w:r w:rsidR="004A44A6" w:rsidRPr="005F62F4">
        <w:rPr>
          <w:lang w:eastAsia="en-AU"/>
        </w:rPr>
        <w:t xml:space="preserve"> have</w:t>
      </w:r>
      <w:r w:rsidRPr="005F62F4">
        <w:rPr>
          <w:lang w:eastAsia="en-AU"/>
        </w:rPr>
        <w:t xml:space="preserve"> </w:t>
      </w:r>
      <w:r w:rsidR="004A44A6" w:rsidRPr="005F62F4">
        <w:rPr>
          <w:lang w:eastAsia="en-AU"/>
        </w:rPr>
        <w:t xml:space="preserve">become increasingly prevalent. In </w:t>
      </w:r>
      <w:r w:rsidR="00815186" w:rsidRPr="005F62F4">
        <w:rPr>
          <w:lang w:eastAsia="en-AU"/>
        </w:rPr>
        <w:t>202</w:t>
      </w:r>
      <w:r w:rsidR="008A7695" w:rsidRPr="005F62F4">
        <w:rPr>
          <w:lang w:eastAsia="en-AU"/>
        </w:rPr>
        <w:t>0</w:t>
      </w:r>
      <w:r w:rsidR="00815186" w:rsidRPr="005F62F4">
        <w:t>–2</w:t>
      </w:r>
      <w:r w:rsidR="008A7695" w:rsidRPr="005F62F4">
        <w:t>1</w:t>
      </w:r>
      <w:r w:rsidR="004A44A6" w:rsidRPr="005F62F4">
        <w:rPr>
          <w:lang w:eastAsia="en-AU"/>
        </w:rPr>
        <w:t>, $</w:t>
      </w:r>
      <w:r w:rsidR="00F16E3E" w:rsidRPr="005F62F4">
        <w:rPr>
          <w:lang w:eastAsia="en-AU"/>
        </w:rPr>
        <w:t xml:space="preserve">1,181,000 </w:t>
      </w:r>
      <w:r w:rsidR="006D5FC8" w:rsidRPr="005F62F4">
        <w:rPr>
          <w:lang w:eastAsia="en-AU"/>
        </w:rPr>
        <w:t xml:space="preserve">in </w:t>
      </w:r>
      <w:r w:rsidR="00841BC1" w:rsidRPr="005F62F4">
        <w:rPr>
          <w:lang w:eastAsia="en-AU"/>
        </w:rPr>
        <w:t xml:space="preserve">surgical guide </w:t>
      </w:r>
      <w:r w:rsidR="00F16E3E" w:rsidRPr="005F62F4">
        <w:rPr>
          <w:lang w:eastAsia="en-AU"/>
        </w:rPr>
        <w:t xml:space="preserve">and </w:t>
      </w:r>
      <w:proofErr w:type="spellStart"/>
      <w:r w:rsidR="00F16E3E" w:rsidRPr="005F62F4">
        <w:rPr>
          <w:lang w:eastAsia="en-AU"/>
        </w:rPr>
        <w:t>biomodel</w:t>
      </w:r>
      <w:proofErr w:type="spellEnd"/>
      <w:r w:rsidR="00F16E3E" w:rsidRPr="005F62F4">
        <w:rPr>
          <w:lang w:eastAsia="en-AU"/>
        </w:rPr>
        <w:t xml:space="preserve"> </w:t>
      </w:r>
      <w:r w:rsidR="00841BC1" w:rsidRPr="005F62F4">
        <w:rPr>
          <w:lang w:eastAsia="en-AU"/>
        </w:rPr>
        <w:t xml:space="preserve">benefits </w:t>
      </w:r>
      <w:r w:rsidR="004A44A6" w:rsidRPr="005F62F4">
        <w:rPr>
          <w:lang w:eastAsia="en-AU"/>
        </w:rPr>
        <w:t xml:space="preserve">could not be </w:t>
      </w:r>
      <w:r w:rsidR="00841BC1" w:rsidRPr="005F62F4">
        <w:rPr>
          <w:lang w:eastAsia="en-AU"/>
        </w:rPr>
        <w:t xml:space="preserve">attributed to specific </w:t>
      </w:r>
      <w:r w:rsidR="00326D49" w:rsidRPr="005F62F4">
        <w:rPr>
          <w:lang w:eastAsia="en-AU"/>
        </w:rPr>
        <w:t>MBS items</w:t>
      </w:r>
      <w:r w:rsidRPr="005F62F4">
        <w:rPr>
          <w:lang w:eastAsia="en-AU"/>
        </w:rPr>
        <w:t>.</w:t>
      </w:r>
    </w:p>
    <w:p w14:paraId="27037EDA" w14:textId="77777777" w:rsidR="009B7862" w:rsidRPr="005F62F4" w:rsidRDefault="009B7862">
      <w:pPr>
        <w:spacing w:after="200" w:line="276" w:lineRule="auto"/>
        <w:rPr>
          <w:rFonts w:eastAsia="MS Mincho" w:cs="Tahoma"/>
          <w:szCs w:val="20"/>
          <w:lang w:eastAsia="en-GB"/>
        </w:rPr>
      </w:pPr>
      <w:r w:rsidRPr="005F62F4">
        <w:br w:type="page"/>
      </w:r>
    </w:p>
    <w:p w14:paraId="59EABD00" w14:textId="4206732F" w:rsidR="00B60FA6" w:rsidRPr="005F62F4" w:rsidRDefault="00B60FA6" w:rsidP="009B7862">
      <w:pPr>
        <w:pStyle w:val="ParaKeep"/>
      </w:pPr>
      <w:r w:rsidRPr="005F62F4">
        <w:lastRenderedPageBreak/>
        <w:t xml:space="preserve">As shown </w:t>
      </w:r>
      <w:r w:rsidR="004372B9" w:rsidRPr="005F62F4">
        <w:t xml:space="preserve">in </w:t>
      </w:r>
      <w:r w:rsidR="008F1AB4" w:rsidRPr="005F62F4">
        <w:fldChar w:fldCharType="begin"/>
      </w:r>
      <w:r w:rsidR="008F1AB4" w:rsidRPr="005F62F4">
        <w:instrText xml:space="preserve"> REF _Ref119871490 \h </w:instrText>
      </w:r>
      <w:r w:rsidR="005F62F4">
        <w:instrText xml:space="preserve"> \* MERGEFORMAT </w:instrText>
      </w:r>
      <w:r w:rsidR="008F1AB4" w:rsidRPr="005F62F4">
        <w:fldChar w:fldCharType="separate"/>
      </w:r>
      <w:r w:rsidR="005606BF" w:rsidRPr="005F62F4">
        <w:t>Table </w:t>
      </w:r>
      <w:r w:rsidR="005606BF">
        <w:t>16</w:t>
      </w:r>
      <w:r w:rsidR="008F1AB4" w:rsidRPr="005F62F4">
        <w:fldChar w:fldCharType="end"/>
      </w:r>
      <w:r w:rsidR="00214E5E" w:rsidRPr="005F62F4">
        <w:t>,</w:t>
      </w:r>
      <w:r w:rsidR="004626FA" w:rsidRPr="005F62F4">
        <w:t xml:space="preserve"> t</w:t>
      </w:r>
      <w:r w:rsidRPr="005F62F4">
        <w:t xml:space="preserve">here has been </w:t>
      </w:r>
      <w:r w:rsidR="004626FA" w:rsidRPr="005F62F4">
        <w:t>sustained</w:t>
      </w:r>
      <w:r w:rsidRPr="005F62F4">
        <w:t xml:space="preserve"> growth in</w:t>
      </w:r>
      <w:r w:rsidR="004626FA" w:rsidRPr="005F62F4">
        <w:t xml:space="preserve"> </w:t>
      </w:r>
      <w:proofErr w:type="spellStart"/>
      <w:r w:rsidR="004626FA" w:rsidRPr="005F62F4">
        <w:t>biomodel</w:t>
      </w:r>
      <w:proofErr w:type="spellEnd"/>
      <w:r w:rsidR="004626FA" w:rsidRPr="005F62F4">
        <w:t xml:space="preserve"> expenditure </w:t>
      </w:r>
      <w:r w:rsidRPr="005F62F4">
        <w:t>over the past 5</w:t>
      </w:r>
      <w:r w:rsidR="00214E5E" w:rsidRPr="005F62F4">
        <w:t> </w:t>
      </w:r>
      <w:r w:rsidRPr="005F62F4">
        <w:t xml:space="preserve">years </w:t>
      </w:r>
      <w:r w:rsidR="004626FA" w:rsidRPr="005F62F4">
        <w:t xml:space="preserve">for item numbers </w:t>
      </w:r>
      <w:r w:rsidRPr="005F62F4">
        <w:t xml:space="preserve">which relate to CMF procedures (52375, 45732, 45729, 45752, 52357, 52363 and 45738). </w:t>
      </w:r>
      <w:r w:rsidR="00D7709B" w:rsidRPr="005F62F4">
        <w:t>Two MBS item numbers significantly increased in the 2020-21 dataset</w:t>
      </w:r>
      <w:r w:rsidR="005D6D40" w:rsidRPr="005F62F4">
        <w:t>:</w:t>
      </w:r>
      <w:r w:rsidR="00D7709B" w:rsidRPr="005F62F4">
        <w:t xml:space="preserve"> 45857</w:t>
      </w:r>
      <w:r w:rsidR="00880321" w:rsidRPr="005F62F4">
        <w:t> </w:t>
      </w:r>
      <w:r w:rsidR="00D7709B" w:rsidRPr="005F62F4">
        <w:t xml:space="preserve">which is for a joint arthroscopy </w:t>
      </w:r>
      <w:r w:rsidR="00E85E10" w:rsidRPr="005F62F4">
        <w:t xml:space="preserve">and </w:t>
      </w:r>
      <w:r w:rsidR="00D7709B" w:rsidRPr="005F62F4">
        <w:t xml:space="preserve">is not associated with a </w:t>
      </w:r>
      <w:r w:rsidR="008F226D" w:rsidRPr="005F62F4">
        <w:t>prosthesis</w:t>
      </w:r>
      <w:r w:rsidR="00D7709B" w:rsidRPr="005F62F4">
        <w:t>, and 45841 which is for an alveolar ridge augmentation.</w:t>
      </w:r>
    </w:p>
    <w:p w14:paraId="2AD3B118" w14:textId="3082582A" w:rsidR="00CE0B50" w:rsidRPr="005F62F4" w:rsidRDefault="00E56C05" w:rsidP="0027198C">
      <w:pPr>
        <w:pStyle w:val="Para"/>
      </w:pPr>
      <w:bookmarkStart w:id="205" w:name="_Ref119871490"/>
      <w:bookmarkStart w:id="206" w:name="_Toc129954653"/>
      <w:r w:rsidRPr="005F62F4">
        <w:t>Table </w:t>
      </w:r>
      <w:r w:rsidRPr="005F62F4">
        <w:fldChar w:fldCharType="begin"/>
      </w:r>
      <w:r w:rsidRPr="005F62F4">
        <w:instrText>SEQ Table \* ARABIC</w:instrText>
      </w:r>
      <w:r w:rsidRPr="005F62F4">
        <w:fldChar w:fldCharType="separate"/>
      </w:r>
      <w:r w:rsidR="005606BF">
        <w:rPr>
          <w:noProof/>
        </w:rPr>
        <w:t>16</w:t>
      </w:r>
      <w:r w:rsidRPr="005F62F4">
        <w:fldChar w:fldCharType="end"/>
      </w:r>
      <w:bookmarkEnd w:id="205"/>
      <w:r w:rsidR="00CE0B50" w:rsidRPr="005F62F4">
        <w:t xml:space="preserve">: </w:t>
      </w:r>
      <w:proofErr w:type="spellStart"/>
      <w:r w:rsidR="00CE0B50" w:rsidRPr="005F62F4">
        <w:t>Biomodels</w:t>
      </w:r>
      <w:proofErr w:type="spellEnd"/>
      <w:r w:rsidR="00CE0B50" w:rsidRPr="005F62F4">
        <w:t xml:space="preserve"> benefit paid, by MBS item and financial year</w:t>
      </w:r>
      <w:bookmarkEnd w:id="206"/>
    </w:p>
    <w:tbl>
      <w:tblPr>
        <w:tblStyle w:val="SGB"/>
        <w:tblW w:w="0" w:type="auto"/>
        <w:tblLook w:val="0420" w:firstRow="1" w:lastRow="0" w:firstColumn="0" w:lastColumn="0" w:noHBand="0" w:noVBand="1"/>
      </w:tblPr>
      <w:tblGrid>
        <w:gridCol w:w="1060"/>
        <w:gridCol w:w="2245"/>
        <w:gridCol w:w="948"/>
        <w:gridCol w:w="1118"/>
        <w:gridCol w:w="1320"/>
        <w:gridCol w:w="1320"/>
        <w:gridCol w:w="1321"/>
      </w:tblGrid>
      <w:tr w:rsidR="00820660" w:rsidRPr="005F62F4" w14:paraId="6A0D35EB" w14:textId="77777777" w:rsidTr="00C108A9">
        <w:trPr>
          <w:cnfStyle w:val="100000000000" w:firstRow="1" w:lastRow="0" w:firstColumn="0" w:lastColumn="0" w:oddVBand="0" w:evenVBand="0" w:oddHBand="0" w:evenHBand="0" w:firstRowFirstColumn="0" w:firstRowLastColumn="0" w:lastRowFirstColumn="0" w:lastRowLastColumn="0"/>
          <w:trHeight w:val="411"/>
        </w:trPr>
        <w:tc>
          <w:tcPr>
            <w:tcW w:w="1060" w:type="dxa"/>
          </w:tcPr>
          <w:p w14:paraId="63D817A5" w14:textId="58DBA86F" w:rsidR="00B60FA6" w:rsidRPr="005F62F4" w:rsidRDefault="00B60FA6" w:rsidP="00AB5BA7">
            <w:pPr>
              <w:pStyle w:val="TableText"/>
            </w:pPr>
            <w:bookmarkStart w:id="207" w:name="Title_18" w:colFirst="0" w:colLast="0"/>
            <w:bookmarkStart w:id="208" w:name="_Hlk119824574"/>
            <w:r w:rsidRPr="005F62F4">
              <w:t>MBS item number</w:t>
            </w:r>
          </w:p>
        </w:tc>
        <w:tc>
          <w:tcPr>
            <w:tcW w:w="2245" w:type="dxa"/>
          </w:tcPr>
          <w:p w14:paraId="69DEDC3D" w14:textId="00B016B8" w:rsidR="00D1273F" w:rsidRPr="005F62F4" w:rsidRDefault="00F277E2" w:rsidP="006839AD">
            <w:pPr>
              <w:pStyle w:val="TableText"/>
            </w:pPr>
            <w:r w:rsidRPr="005F62F4">
              <w:t>MBS item description</w:t>
            </w:r>
          </w:p>
        </w:tc>
        <w:tc>
          <w:tcPr>
            <w:tcW w:w="948" w:type="dxa"/>
          </w:tcPr>
          <w:p w14:paraId="7410112B" w14:textId="65B8493F" w:rsidR="00B60FA6" w:rsidRPr="005F62F4" w:rsidRDefault="007067D1" w:rsidP="00AB5BA7">
            <w:pPr>
              <w:pStyle w:val="TableTextRight"/>
              <w:rPr>
                <w:lang w:val="en-AU"/>
              </w:rPr>
            </w:pPr>
            <w:r w:rsidRPr="005F62F4">
              <w:rPr>
                <w:lang w:val="en-AU"/>
              </w:rPr>
              <w:t>2016–</w:t>
            </w:r>
            <w:r w:rsidR="00B60FA6" w:rsidRPr="005F62F4">
              <w:rPr>
                <w:lang w:val="en-AU"/>
              </w:rPr>
              <w:t>17</w:t>
            </w:r>
          </w:p>
        </w:tc>
        <w:tc>
          <w:tcPr>
            <w:tcW w:w="1118" w:type="dxa"/>
          </w:tcPr>
          <w:p w14:paraId="276FA4F8" w14:textId="3CD05FFB" w:rsidR="00B60FA6" w:rsidRPr="005F62F4" w:rsidRDefault="007067D1" w:rsidP="00AB5BA7">
            <w:pPr>
              <w:pStyle w:val="TableTextRight"/>
              <w:rPr>
                <w:lang w:val="en-AU"/>
              </w:rPr>
            </w:pPr>
            <w:r w:rsidRPr="005F62F4">
              <w:rPr>
                <w:lang w:val="en-AU"/>
              </w:rPr>
              <w:t>2017–</w:t>
            </w:r>
            <w:r w:rsidR="00B60FA6" w:rsidRPr="005F62F4">
              <w:rPr>
                <w:lang w:val="en-AU"/>
              </w:rPr>
              <w:t>18</w:t>
            </w:r>
          </w:p>
        </w:tc>
        <w:tc>
          <w:tcPr>
            <w:tcW w:w="1320" w:type="dxa"/>
          </w:tcPr>
          <w:p w14:paraId="01188BCC" w14:textId="77D817EB" w:rsidR="00B60FA6" w:rsidRPr="005F62F4" w:rsidRDefault="007067D1" w:rsidP="00AB5BA7">
            <w:pPr>
              <w:pStyle w:val="TableTextRight"/>
              <w:rPr>
                <w:lang w:val="en-AU"/>
              </w:rPr>
            </w:pPr>
            <w:r w:rsidRPr="005F62F4">
              <w:rPr>
                <w:lang w:val="en-AU"/>
              </w:rPr>
              <w:t>2018–</w:t>
            </w:r>
            <w:r w:rsidR="00B60FA6" w:rsidRPr="005F62F4">
              <w:rPr>
                <w:lang w:val="en-AU"/>
              </w:rPr>
              <w:t>19</w:t>
            </w:r>
          </w:p>
        </w:tc>
        <w:tc>
          <w:tcPr>
            <w:tcW w:w="1320" w:type="dxa"/>
          </w:tcPr>
          <w:p w14:paraId="25B7D273" w14:textId="337B3A49" w:rsidR="00B60FA6" w:rsidRPr="005F62F4" w:rsidRDefault="007067D1" w:rsidP="00AB5BA7">
            <w:pPr>
              <w:pStyle w:val="TableTextRight"/>
              <w:rPr>
                <w:lang w:val="en-AU"/>
              </w:rPr>
            </w:pPr>
            <w:r w:rsidRPr="005F62F4">
              <w:rPr>
                <w:lang w:val="en-AU"/>
              </w:rPr>
              <w:t>2019–</w:t>
            </w:r>
            <w:r w:rsidR="00B60FA6" w:rsidRPr="005F62F4">
              <w:rPr>
                <w:lang w:val="en-AU"/>
              </w:rPr>
              <w:t>20</w:t>
            </w:r>
          </w:p>
        </w:tc>
        <w:tc>
          <w:tcPr>
            <w:tcW w:w="1321" w:type="dxa"/>
          </w:tcPr>
          <w:p w14:paraId="1811483E" w14:textId="5DA15543" w:rsidR="00B60FA6" w:rsidRPr="005F62F4" w:rsidRDefault="007067D1" w:rsidP="00AB5BA7">
            <w:pPr>
              <w:pStyle w:val="TableTextRight"/>
              <w:rPr>
                <w:lang w:val="en-AU"/>
              </w:rPr>
            </w:pPr>
            <w:r w:rsidRPr="005F62F4">
              <w:rPr>
                <w:lang w:val="en-AU"/>
              </w:rPr>
              <w:t>2020–</w:t>
            </w:r>
            <w:r w:rsidR="00B60FA6" w:rsidRPr="005F62F4">
              <w:rPr>
                <w:lang w:val="en-AU"/>
              </w:rPr>
              <w:t>21</w:t>
            </w:r>
          </w:p>
        </w:tc>
      </w:tr>
      <w:bookmarkEnd w:id="207"/>
      <w:tr w:rsidR="00B60FA6" w:rsidRPr="005F62F4" w14:paraId="4E7756E3" w14:textId="77777777" w:rsidTr="00C108A9">
        <w:trPr>
          <w:trHeight w:val="170"/>
        </w:trPr>
        <w:tc>
          <w:tcPr>
            <w:tcW w:w="1060" w:type="dxa"/>
          </w:tcPr>
          <w:p w14:paraId="17DA7431" w14:textId="77777777" w:rsidR="00B60FA6" w:rsidRPr="005F62F4" w:rsidRDefault="00B60FA6" w:rsidP="00AB5BA7">
            <w:pPr>
              <w:pStyle w:val="TableText"/>
              <w:rPr>
                <w:rFonts w:cstheme="minorHAnsi"/>
              </w:rPr>
            </w:pPr>
            <w:r w:rsidRPr="005F62F4">
              <w:rPr>
                <w:rFonts w:cstheme="minorHAnsi"/>
              </w:rPr>
              <w:t>52375</w:t>
            </w:r>
          </w:p>
        </w:tc>
        <w:tc>
          <w:tcPr>
            <w:tcW w:w="2245" w:type="dxa"/>
          </w:tcPr>
          <w:p w14:paraId="44982932" w14:textId="5C7AB538" w:rsidR="00D1273F" w:rsidRPr="005F62F4" w:rsidRDefault="00F433CC" w:rsidP="006839AD">
            <w:pPr>
              <w:pStyle w:val="TableText"/>
              <w:rPr>
                <w:rFonts w:asciiTheme="majorHAnsi" w:hAnsiTheme="majorHAnsi"/>
              </w:rPr>
            </w:pPr>
            <w:r w:rsidRPr="005F62F4">
              <w:t>Complex bilateral osteotomies or ostectomies of mandible or maxill</w:t>
            </w:r>
            <w:r w:rsidRPr="005F62F4">
              <w:rPr>
                <w:bCs/>
              </w:rPr>
              <w:t>a</w:t>
            </w:r>
          </w:p>
        </w:tc>
        <w:tc>
          <w:tcPr>
            <w:tcW w:w="948" w:type="dxa"/>
          </w:tcPr>
          <w:p w14:paraId="32A848AE" w14:textId="3849A024" w:rsidR="00B60FA6" w:rsidRPr="005F62F4" w:rsidRDefault="00194542" w:rsidP="00AB5BA7">
            <w:pPr>
              <w:pStyle w:val="TableTextRight"/>
              <w:rPr>
                <w:rFonts w:cstheme="minorHAnsi"/>
                <w:lang w:val="en-AU"/>
              </w:rPr>
            </w:pPr>
            <w:r w:rsidRPr="001E5E40">
              <w:rPr>
                <w:sz w:val="17"/>
                <w:szCs w:val="17"/>
              </w:rPr>
              <w:t>[redacted]</w:t>
            </w:r>
          </w:p>
        </w:tc>
        <w:tc>
          <w:tcPr>
            <w:tcW w:w="1118" w:type="dxa"/>
          </w:tcPr>
          <w:p w14:paraId="7CF8FC9F" w14:textId="004F9B68" w:rsidR="00B60FA6" w:rsidRPr="005F62F4" w:rsidRDefault="00AE6580" w:rsidP="00AB5BA7">
            <w:pPr>
              <w:pStyle w:val="TableTextRight"/>
              <w:rPr>
                <w:rFonts w:cstheme="minorHAnsi"/>
                <w:lang w:val="en-AU"/>
              </w:rPr>
            </w:pPr>
            <w:r w:rsidRPr="005F62F4">
              <w:rPr>
                <w:rFonts w:cstheme="minorHAnsi"/>
                <w:lang w:val="en-AU"/>
              </w:rPr>
              <w:t>$</w:t>
            </w:r>
            <w:r w:rsidR="00B60FA6" w:rsidRPr="005F62F4">
              <w:rPr>
                <w:rFonts w:cstheme="minorHAnsi"/>
                <w:lang w:val="en-AU"/>
              </w:rPr>
              <w:t>134,000</w:t>
            </w:r>
          </w:p>
        </w:tc>
        <w:tc>
          <w:tcPr>
            <w:tcW w:w="1320" w:type="dxa"/>
          </w:tcPr>
          <w:p w14:paraId="77004F8D" w14:textId="0BA364A7" w:rsidR="00B60FA6" w:rsidRPr="005F62F4" w:rsidRDefault="00636C61" w:rsidP="00AB5BA7">
            <w:pPr>
              <w:pStyle w:val="TableTextRight"/>
              <w:rPr>
                <w:rFonts w:cstheme="minorHAnsi"/>
                <w:lang w:val="en-AU"/>
              </w:rPr>
            </w:pPr>
            <w:r w:rsidRPr="005F62F4">
              <w:rPr>
                <w:rFonts w:cstheme="minorHAnsi"/>
                <w:lang w:val="en-AU"/>
              </w:rPr>
              <w:t>$</w:t>
            </w:r>
            <w:r w:rsidR="00B60FA6" w:rsidRPr="005F62F4">
              <w:rPr>
                <w:rFonts w:cstheme="minorHAnsi"/>
                <w:lang w:val="en-AU"/>
              </w:rPr>
              <w:t>283,000</w:t>
            </w:r>
          </w:p>
        </w:tc>
        <w:tc>
          <w:tcPr>
            <w:tcW w:w="1320" w:type="dxa"/>
          </w:tcPr>
          <w:p w14:paraId="61F8D4B9" w14:textId="38CD1433"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240,000</w:t>
            </w:r>
          </w:p>
        </w:tc>
        <w:tc>
          <w:tcPr>
            <w:tcW w:w="1321" w:type="dxa"/>
          </w:tcPr>
          <w:p w14:paraId="2205AAD4" w14:textId="170B1165"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404,000</w:t>
            </w:r>
          </w:p>
        </w:tc>
      </w:tr>
      <w:tr w:rsidR="00820660" w:rsidRPr="005F62F4" w14:paraId="21F9DD9A" w14:textId="77777777" w:rsidTr="00C108A9">
        <w:trPr>
          <w:cnfStyle w:val="000000010000" w:firstRow="0" w:lastRow="0" w:firstColumn="0" w:lastColumn="0" w:oddVBand="0" w:evenVBand="0" w:oddHBand="0" w:evenHBand="1" w:firstRowFirstColumn="0" w:firstRowLastColumn="0" w:lastRowFirstColumn="0" w:lastRowLastColumn="0"/>
          <w:trHeight w:val="170"/>
        </w:trPr>
        <w:tc>
          <w:tcPr>
            <w:tcW w:w="1060" w:type="dxa"/>
          </w:tcPr>
          <w:p w14:paraId="534D346E" w14:textId="77777777" w:rsidR="00B60FA6" w:rsidRPr="005F62F4" w:rsidRDefault="00B60FA6" w:rsidP="00AB5BA7">
            <w:pPr>
              <w:pStyle w:val="TableText"/>
              <w:rPr>
                <w:rFonts w:cstheme="minorHAnsi"/>
              </w:rPr>
            </w:pPr>
            <w:r w:rsidRPr="005F62F4">
              <w:rPr>
                <w:rFonts w:cstheme="minorHAnsi"/>
              </w:rPr>
              <w:t>45841</w:t>
            </w:r>
          </w:p>
        </w:tc>
        <w:tc>
          <w:tcPr>
            <w:tcW w:w="2245" w:type="dxa"/>
          </w:tcPr>
          <w:p w14:paraId="045EEA14" w14:textId="7E4572E0" w:rsidR="00D1273F" w:rsidRPr="005F62F4" w:rsidRDefault="00EE6107" w:rsidP="006839AD">
            <w:pPr>
              <w:pStyle w:val="TableText"/>
              <w:rPr>
                <w:rFonts w:cstheme="minorHAnsi"/>
              </w:rPr>
            </w:pPr>
            <w:r w:rsidRPr="005F62F4">
              <w:t>Alveolar ridge augmentation</w:t>
            </w:r>
          </w:p>
        </w:tc>
        <w:tc>
          <w:tcPr>
            <w:tcW w:w="948" w:type="dxa"/>
          </w:tcPr>
          <w:p w14:paraId="53E1445D" w14:textId="6738AD58" w:rsidR="00B60FA6" w:rsidRPr="005F62F4" w:rsidRDefault="00B60FA6" w:rsidP="00AB5BA7">
            <w:pPr>
              <w:pStyle w:val="TableTextRight"/>
              <w:rPr>
                <w:rFonts w:cstheme="minorHAnsi"/>
                <w:lang w:val="en-AU"/>
              </w:rPr>
            </w:pPr>
          </w:p>
        </w:tc>
        <w:tc>
          <w:tcPr>
            <w:tcW w:w="1118" w:type="dxa"/>
          </w:tcPr>
          <w:p w14:paraId="04088CEA" w14:textId="77777777" w:rsidR="00B60FA6" w:rsidRPr="005F62F4" w:rsidRDefault="00B60FA6" w:rsidP="00AB5BA7">
            <w:pPr>
              <w:pStyle w:val="TableTextRight"/>
              <w:rPr>
                <w:rFonts w:cstheme="minorHAnsi"/>
                <w:lang w:val="en-AU"/>
              </w:rPr>
            </w:pPr>
            <w:proofErr w:type="spellStart"/>
            <w:r w:rsidRPr="005F62F4">
              <w:rPr>
                <w:rFonts w:cstheme="minorHAnsi"/>
                <w:lang w:val="en-AU"/>
              </w:rPr>
              <w:t>n.p.</w:t>
            </w:r>
            <w:proofErr w:type="spellEnd"/>
          </w:p>
        </w:tc>
        <w:tc>
          <w:tcPr>
            <w:tcW w:w="1320" w:type="dxa"/>
          </w:tcPr>
          <w:p w14:paraId="57129A6A" w14:textId="77777777" w:rsidR="00B60FA6" w:rsidRPr="005F62F4" w:rsidRDefault="00B60FA6" w:rsidP="00AB5BA7">
            <w:pPr>
              <w:pStyle w:val="TableTextRight"/>
              <w:rPr>
                <w:rFonts w:cstheme="minorHAnsi"/>
                <w:lang w:val="en-AU"/>
              </w:rPr>
            </w:pPr>
          </w:p>
        </w:tc>
        <w:tc>
          <w:tcPr>
            <w:tcW w:w="1320" w:type="dxa"/>
          </w:tcPr>
          <w:p w14:paraId="7FBAB131" w14:textId="77777777" w:rsidR="00B60FA6" w:rsidRPr="005F62F4" w:rsidRDefault="00B60FA6" w:rsidP="00AB5BA7">
            <w:pPr>
              <w:pStyle w:val="TableTextRight"/>
              <w:rPr>
                <w:rFonts w:cstheme="minorHAnsi"/>
                <w:lang w:val="en-AU"/>
              </w:rPr>
            </w:pPr>
            <w:r w:rsidRPr="005F62F4">
              <w:rPr>
                <w:rFonts w:cstheme="minorHAnsi"/>
                <w:lang w:val="en-AU"/>
              </w:rPr>
              <w:t>$94,000</w:t>
            </w:r>
          </w:p>
        </w:tc>
        <w:tc>
          <w:tcPr>
            <w:tcW w:w="1321" w:type="dxa"/>
          </w:tcPr>
          <w:p w14:paraId="382C9917" w14:textId="20A18972"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269,000</w:t>
            </w:r>
          </w:p>
        </w:tc>
      </w:tr>
      <w:tr w:rsidR="00B60FA6" w:rsidRPr="005F62F4" w14:paraId="47FDA833" w14:textId="77777777" w:rsidTr="00C108A9">
        <w:trPr>
          <w:trHeight w:val="170"/>
        </w:trPr>
        <w:tc>
          <w:tcPr>
            <w:tcW w:w="1060" w:type="dxa"/>
          </w:tcPr>
          <w:p w14:paraId="09B7130C" w14:textId="77777777" w:rsidR="00B60FA6" w:rsidRPr="005F62F4" w:rsidRDefault="00B60FA6" w:rsidP="00AB5BA7">
            <w:pPr>
              <w:pStyle w:val="TableText"/>
              <w:rPr>
                <w:rFonts w:cstheme="minorHAnsi"/>
              </w:rPr>
            </w:pPr>
            <w:r w:rsidRPr="005F62F4">
              <w:rPr>
                <w:rFonts w:cstheme="minorHAnsi"/>
              </w:rPr>
              <w:t>45732</w:t>
            </w:r>
          </w:p>
        </w:tc>
        <w:tc>
          <w:tcPr>
            <w:tcW w:w="2245" w:type="dxa"/>
          </w:tcPr>
          <w:p w14:paraId="0B5E5D7D" w14:textId="49D4FB1D" w:rsidR="00D1273F" w:rsidRPr="005F62F4" w:rsidRDefault="00EE6107" w:rsidP="006839AD">
            <w:pPr>
              <w:pStyle w:val="TableText"/>
              <w:rPr>
                <w:rFonts w:cstheme="minorHAnsi"/>
              </w:rPr>
            </w:pPr>
            <w:r w:rsidRPr="005F62F4">
              <w:t>Bilateral osteotomies or ostectomies of mandible or maxilla</w:t>
            </w:r>
          </w:p>
        </w:tc>
        <w:tc>
          <w:tcPr>
            <w:tcW w:w="948" w:type="dxa"/>
          </w:tcPr>
          <w:p w14:paraId="4F626C61" w14:textId="26B253CB" w:rsidR="00B60FA6" w:rsidRPr="005F62F4" w:rsidRDefault="00194542" w:rsidP="00AB5BA7">
            <w:pPr>
              <w:pStyle w:val="TableTextRight"/>
              <w:rPr>
                <w:rFonts w:cstheme="minorHAnsi"/>
                <w:lang w:val="en-AU"/>
              </w:rPr>
            </w:pPr>
            <w:r w:rsidRPr="001E5E40">
              <w:rPr>
                <w:sz w:val="17"/>
                <w:szCs w:val="17"/>
              </w:rPr>
              <w:t>[redacted]</w:t>
            </w:r>
          </w:p>
        </w:tc>
        <w:tc>
          <w:tcPr>
            <w:tcW w:w="1118" w:type="dxa"/>
          </w:tcPr>
          <w:p w14:paraId="0DE4A7D9" w14:textId="0F34A2C9" w:rsidR="00B60FA6" w:rsidRPr="005F62F4" w:rsidRDefault="00AE6580" w:rsidP="00AB5BA7">
            <w:pPr>
              <w:pStyle w:val="TableTextRight"/>
              <w:rPr>
                <w:rFonts w:cstheme="minorHAnsi"/>
                <w:lang w:val="en-AU"/>
              </w:rPr>
            </w:pPr>
            <w:r w:rsidRPr="005F62F4">
              <w:rPr>
                <w:rFonts w:cstheme="minorHAnsi"/>
                <w:lang w:val="en-AU"/>
              </w:rPr>
              <w:t>$</w:t>
            </w:r>
            <w:r w:rsidR="00B60FA6" w:rsidRPr="005F62F4">
              <w:rPr>
                <w:rFonts w:cstheme="minorHAnsi"/>
                <w:lang w:val="en-AU"/>
              </w:rPr>
              <w:t>65,000</w:t>
            </w:r>
          </w:p>
        </w:tc>
        <w:tc>
          <w:tcPr>
            <w:tcW w:w="1320" w:type="dxa"/>
          </w:tcPr>
          <w:p w14:paraId="1807E4CF" w14:textId="260C6DDF" w:rsidR="00B60FA6" w:rsidRPr="005F62F4" w:rsidRDefault="00636C61" w:rsidP="00AB5BA7">
            <w:pPr>
              <w:pStyle w:val="TableTextRight"/>
              <w:rPr>
                <w:rFonts w:cstheme="minorHAnsi"/>
                <w:lang w:val="en-AU"/>
              </w:rPr>
            </w:pPr>
            <w:r w:rsidRPr="005F62F4">
              <w:rPr>
                <w:rFonts w:cstheme="minorHAnsi"/>
                <w:lang w:val="en-AU"/>
              </w:rPr>
              <w:t>$</w:t>
            </w:r>
            <w:r w:rsidR="00B60FA6" w:rsidRPr="005F62F4">
              <w:rPr>
                <w:rFonts w:cstheme="minorHAnsi"/>
                <w:lang w:val="en-AU"/>
              </w:rPr>
              <w:t>144,000</w:t>
            </w:r>
          </w:p>
        </w:tc>
        <w:tc>
          <w:tcPr>
            <w:tcW w:w="1320" w:type="dxa"/>
          </w:tcPr>
          <w:p w14:paraId="01E19CCA" w14:textId="11990887"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135,000</w:t>
            </w:r>
          </w:p>
        </w:tc>
        <w:tc>
          <w:tcPr>
            <w:tcW w:w="1321" w:type="dxa"/>
          </w:tcPr>
          <w:p w14:paraId="47489EB7" w14:textId="0315FB83"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259,000</w:t>
            </w:r>
          </w:p>
        </w:tc>
      </w:tr>
      <w:tr w:rsidR="00820660" w:rsidRPr="005F62F4" w14:paraId="4E70E6C8" w14:textId="77777777" w:rsidTr="00C108A9">
        <w:trPr>
          <w:cnfStyle w:val="000000010000" w:firstRow="0" w:lastRow="0" w:firstColumn="0" w:lastColumn="0" w:oddVBand="0" w:evenVBand="0" w:oddHBand="0" w:evenHBand="1" w:firstRowFirstColumn="0" w:firstRowLastColumn="0" w:lastRowFirstColumn="0" w:lastRowLastColumn="0"/>
          <w:trHeight w:val="170"/>
        </w:trPr>
        <w:tc>
          <w:tcPr>
            <w:tcW w:w="1060" w:type="dxa"/>
          </w:tcPr>
          <w:p w14:paraId="692A9593" w14:textId="77777777" w:rsidR="00B60FA6" w:rsidRPr="005F62F4" w:rsidRDefault="00B60FA6" w:rsidP="00AB5BA7">
            <w:pPr>
              <w:pStyle w:val="TableText"/>
              <w:rPr>
                <w:rFonts w:cstheme="minorHAnsi"/>
              </w:rPr>
            </w:pPr>
            <w:r w:rsidRPr="005F62F4">
              <w:rPr>
                <w:rFonts w:cstheme="minorHAnsi"/>
              </w:rPr>
              <w:t>45729</w:t>
            </w:r>
          </w:p>
        </w:tc>
        <w:tc>
          <w:tcPr>
            <w:tcW w:w="2245" w:type="dxa"/>
          </w:tcPr>
          <w:p w14:paraId="634022FF" w14:textId="1201FF3D" w:rsidR="00D1273F" w:rsidRPr="005F62F4" w:rsidRDefault="0095076C" w:rsidP="006839AD">
            <w:pPr>
              <w:pStyle w:val="TableText"/>
              <w:rPr>
                <w:rFonts w:cstheme="minorHAnsi"/>
              </w:rPr>
            </w:pPr>
            <w:r w:rsidRPr="005F62F4">
              <w:t>Bilateral osteotomy or ostectomy of mandible or maxilla</w:t>
            </w:r>
          </w:p>
        </w:tc>
        <w:tc>
          <w:tcPr>
            <w:tcW w:w="948" w:type="dxa"/>
          </w:tcPr>
          <w:p w14:paraId="21B91B92" w14:textId="635CE0C7" w:rsidR="00B60FA6" w:rsidRPr="005F62F4" w:rsidRDefault="00194542" w:rsidP="00AB5BA7">
            <w:pPr>
              <w:pStyle w:val="TableTextRight"/>
              <w:rPr>
                <w:rFonts w:cstheme="minorHAnsi"/>
                <w:lang w:val="en-AU"/>
              </w:rPr>
            </w:pPr>
            <w:r w:rsidRPr="001E5E40">
              <w:rPr>
                <w:sz w:val="17"/>
                <w:szCs w:val="17"/>
              </w:rPr>
              <w:t>[redacted]</w:t>
            </w:r>
          </w:p>
        </w:tc>
        <w:tc>
          <w:tcPr>
            <w:tcW w:w="1118" w:type="dxa"/>
          </w:tcPr>
          <w:p w14:paraId="55636A7B" w14:textId="3DA011C9" w:rsidR="00B60FA6" w:rsidRPr="005F62F4" w:rsidRDefault="00AE6580" w:rsidP="00AB5BA7">
            <w:pPr>
              <w:pStyle w:val="TableTextRight"/>
              <w:rPr>
                <w:rFonts w:cstheme="minorHAnsi"/>
                <w:lang w:val="en-AU"/>
              </w:rPr>
            </w:pPr>
            <w:r w:rsidRPr="005F62F4">
              <w:rPr>
                <w:rFonts w:cstheme="minorHAnsi"/>
                <w:lang w:val="en-AU"/>
              </w:rPr>
              <w:t>$</w:t>
            </w:r>
            <w:r w:rsidR="00B60FA6" w:rsidRPr="005F62F4">
              <w:rPr>
                <w:rFonts w:cstheme="minorHAnsi"/>
                <w:lang w:val="en-AU"/>
              </w:rPr>
              <w:t>62,000</w:t>
            </w:r>
          </w:p>
        </w:tc>
        <w:tc>
          <w:tcPr>
            <w:tcW w:w="1320" w:type="dxa"/>
          </w:tcPr>
          <w:p w14:paraId="61F8E499" w14:textId="7078102D" w:rsidR="00B60FA6" w:rsidRPr="005F62F4" w:rsidRDefault="00636C61" w:rsidP="00AB5BA7">
            <w:pPr>
              <w:pStyle w:val="TableTextRight"/>
              <w:rPr>
                <w:rFonts w:cstheme="minorHAnsi"/>
                <w:lang w:val="en-AU"/>
              </w:rPr>
            </w:pPr>
            <w:r w:rsidRPr="005F62F4">
              <w:rPr>
                <w:rFonts w:cstheme="minorHAnsi"/>
                <w:lang w:val="en-AU"/>
              </w:rPr>
              <w:t>$</w:t>
            </w:r>
            <w:r w:rsidR="00B60FA6" w:rsidRPr="005F62F4">
              <w:rPr>
                <w:rFonts w:cstheme="minorHAnsi"/>
                <w:lang w:val="en-AU"/>
              </w:rPr>
              <w:t>123,000</w:t>
            </w:r>
          </w:p>
        </w:tc>
        <w:tc>
          <w:tcPr>
            <w:tcW w:w="1320" w:type="dxa"/>
          </w:tcPr>
          <w:p w14:paraId="24669B59" w14:textId="77777777" w:rsidR="00B60FA6" w:rsidRPr="005F62F4" w:rsidRDefault="00B60FA6" w:rsidP="00AB5BA7">
            <w:pPr>
              <w:pStyle w:val="TableTextRight"/>
              <w:rPr>
                <w:rFonts w:cstheme="minorHAnsi"/>
                <w:lang w:val="en-AU"/>
              </w:rPr>
            </w:pPr>
            <w:r w:rsidRPr="005F62F4">
              <w:rPr>
                <w:rFonts w:cstheme="minorHAnsi"/>
                <w:lang w:val="en-AU"/>
              </w:rPr>
              <w:t>$88,000</w:t>
            </w:r>
          </w:p>
        </w:tc>
        <w:tc>
          <w:tcPr>
            <w:tcW w:w="1321" w:type="dxa"/>
          </w:tcPr>
          <w:p w14:paraId="0F62700A" w14:textId="46A0B196"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254,000</w:t>
            </w:r>
          </w:p>
        </w:tc>
      </w:tr>
      <w:tr w:rsidR="00B60FA6" w:rsidRPr="005F62F4" w14:paraId="074B6BCF" w14:textId="77777777" w:rsidTr="00C108A9">
        <w:trPr>
          <w:trHeight w:val="170"/>
        </w:trPr>
        <w:tc>
          <w:tcPr>
            <w:tcW w:w="1060" w:type="dxa"/>
          </w:tcPr>
          <w:p w14:paraId="5C525481" w14:textId="0368B7F9" w:rsidR="00B60FA6" w:rsidRPr="005F62F4" w:rsidRDefault="00BC11F6" w:rsidP="00AB5BA7">
            <w:pPr>
              <w:pStyle w:val="TableText"/>
              <w:rPr>
                <w:rFonts w:cstheme="minorHAnsi"/>
              </w:rPr>
            </w:pPr>
            <w:r w:rsidRPr="005F62F4">
              <w:rPr>
                <w:rFonts w:cstheme="minorHAnsi"/>
              </w:rPr>
              <w:t>Unspecified</w:t>
            </w:r>
            <w:r w:rsidR="0014261C" w:rsidRPr="005F62F4">
              <w:rPr>
                <w:rFonts w:cstheme="minorHAnsi"/>
              </w:rPr>
              <w:t xml:space="preserve"> </w:t>
            </w:r>
          </w:p>
        </w:tc>
        <w:tc>
          <w:tcPr>
            <w:tcW w:w="2245" w:type="dxa"/>
          </w:tcPr>
          <w:p w14:paraId="19F33ECE" w14:textId="77777777" w:rsidR="00D1273F" w:rsidRPr="005F62F4" w:rsidRDefault="00D1273F" w:rsidP="006839AD">
            <w:pPr>
              <w:pStyle w:val="TableText"/>
              <w:rPr>
                <w:rFonts w:cstheme="minorHAnsi"/>
              </w:rPr>
            </w:pPr>
          </w:p>
        </w:tc>
        <w:tc>
          <w:tcPr>
            <w:tcW w:w="948" w:type="dxa"/>
          </w:tcPr>
          <w:p w14:paraId="5D80CE80" w14:textId="1BBC180C" w:rsidR="00B60FA6" w:rsidRPr="005F62F4" w:rsidRDefault="00B60FA6" w:rsidP="00AB5BA7">
            <w:pPr>
              <w:pStyle w:val="TableTextRight"/>
              <w:rPr>
                <w:rFonts w:cstheme="minorHAnsi"/>
                <w:lang w:val="en-AU"/>
              </w:rPr>
            </w:pPr>
          </w:p>
        </w:tc>
        <w:tc>
          <w:tcPr>
            <w:tcW w:w="1118" w:type="dxa"/>
          </w:tcPr>
          <w:p w14:paraId="317EE515" w14:textId="2D6E2678" w:rsidR="00B60FA6" w:rsidRPr="005F62F4" w:rsidRDefault="00AE6580" w:rsidP="00AB5BA7">
            <w:pPr>
              <w:pStyle w:val="TableTextRight"/>
              <w:rPr>
                <w:rFonts w:cstheme="minorHAnsi"/>
                <w:lang w:val="en-AU"/>
              </w:rPr>
            </w:pPr>
            <w:r w:rsidRPr="005F62F4">
              <w:rPr>
                <w:rFonts w:cstheme="minorHAnsi"/>
                <w:lang w:val="en-AU"/>
              </w:rPr>
              <w:t>$</w:t>
            </w:r>
            <w:r w:rsidR="00B60FA6" w:rsidRPr="005F62F4">
              <w:rPr>
                <w:rFonts w:cstheme="minorHAnsi"/>
                <w:lang w:val="en-AU"/>
              </w:rPr>
              <w:t>47,000</w:t>
            </w:r>
          </w:p>
        </w:tc>
        <w:tc>
          <w:tcPr>
            <w:tcW w:w="1320" w:type="dxa"/>
          </w:tcPr>
          <w:p w14:paraId="6C2735A3" w14:textId="0E00D31E" w:rsidR="00B60FA6" w:rsidRPr="005F62F4" w:rsidRDefault="00636C61" w:rsidP="00AB5BA7">
            <w:pPr>
              <w:pStyle w:val="TableTextRight"/>
              <w:rPr>
                <w:rFonts w:cstheme="minorHAnsi"/>
                <w:lang w:val="en-AU"/>
              </w:rPr>
            </w:pPr>
            <w:r w:rsidRPr="005F62F4">
              <w:rPr>
                <w:rFonts w:cstheme="minorHAnsi"/>
                <w:lang w:val="en-AU"/>
              </w:rPr>
              <w:t>$</w:t>
            </w:r>
            <w:r w:rsidR="00B60FA6" w:rsidRPr="005F62F4">
              <w:rPr>
                <w:rFonts w:cstheme="minorHAnsi"/>
                <w:lang w:val="en-AU"/>
              </w:rPr>
              <w:t>27,000</w:t>
            </w:r>
          </w:p>
        </w:tc>
        <w:tc>
          <w:tcPr>
            <w:tcW w:w="1320" w:type="dxa"/>
          </w:tcPr>
          <w:p w14:paraId="37419458" w14:textId="6658A6AA"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162,000</w:t>
            </w:r>
          </w:p>
        </w:tc>
        <w:tc>
          <w:tcPr>
            <w:tcW w:w="1321" w:type="dxa"/>
          </w:tcPr>
          <w:p w14:paraId="69E4BD9F" w14:textId="65256F5C"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248,000</w:t>
            </w:r>
          </w:p>
        </w:tc>
      </w:tr>
      <w:tr w:rsidR="00820660" w:rsidRPr="005F62F4" w14:paraId="242BF747" w14:textId="77777777" w:rsidTr="00C108A9">
        <w:trPr>
          <w:cnfStyle w:val="000000010000" w:firstRow="0" w:lastRow="0" w:firstColumn="0" w:lastColumn="0" w:oddVBand="0" w:evenVBand="0" w:oddHBand="0" w:evenHBand="1" w:firstRowFirstColumn="0" w:firstRowLastColumn="0" w:lastRowFirstColumn="0" w:lastRowLastColumn="0"/>
          <w:trHeight w:val="170"/>
        </w:trPr>
        <w:tc>
          <w:tcPr>
            <w:tcW w:w="1060" w:type="dxa"/>
          </w:tcPr>
          <w:p w14:paraId="73739F04" w14:textId="77777777" w:rsidR="00B60FA6" w:rsidRPr="005F62F4" w:rsidRDefault="00B60FA6" w:rsidP="00AB5BA7">
            <w:pPr>
              <w:pStyle w:val="TableText"/>
              <w:rPr>
                <w:rFonts w:cstheme="minorHAnsi"/>
              </w:rPr>
            </w:pPr>
            <w:r w:rsidRPr="005F62F4">
              <w:rPr>
                <w:rFonts w:cstheme="minorHAnsi"/>
              </w:rPr>
              <w:t>52363</w:t>
            </w:r>
          </w:p>
        </w:tc>
        <w:tc>
          <w:tcPr>
            <w:tcW w:w="2245" w:type="dxa"/>
          </w:tcPr>
          <w:p w14:paraId="098A3BBB" w14:textId="4C810E33" w:rsidR="00D1273F" w:rsidRPr="005F62F4" w:rsidRDefault="0095076C" w:rsidP="006839AD">
            <w:pPr>
              <w:pStyle w:val="TableText"/>
              <w:rPr>
                <w:rFonts w:cstheme="minorHAnsi"/>
              </w:rPr>
            </w:pPr>
            <w:r w:rsidRPr="005F62F4">
              <w:t>Complex bilateral osteotomies or ostectomies of mandible or maxilla</w:t>
            </w:r>
          </w:p>
        </w:tc>
        <w:tc>
          <w:tcPr>
            <w:tcW w:w="948" w:type="dxa"/>
          </w:tcPr>
          <w:p w14:paraId="35A84CD9" w14:textId="1BA7A5A4" w:rsidR="00B60FA6" w:rsidRPr="005F62F4" w:rsidRDefault="00B60FA6" w:rsidP="00AB5BA7">
            <w:pPr>
              <w:pStyle w:val="TableTextRight"/>
              <w:rPr>
                <w:rFonts w:cstheme="minorHAnsi"/>
                <w:lang w:val="en-AU"/>
              </w:rPr>
            </w:pPr>
          </w:p>
        </w:tc>
        <w:tc>
          <w:tcPr>
            <w:tcW w:w="1118" w:type="dxa"/>
          </w:tcPr>
          <w:p w14:paraId="1498E5FE" w14:textId="42558646" w:rsidR="00B60FA6" w:rsidRPr="005F62F4" w:rsidRDefault="00AE6580" w:rsidP="00AB5BA7">
            <w:pPr>
              <w:pStyle w:val="TableTextRight"/>
              <w:rPr>
                <w:rFonts w:cstheme="minorHAnsi"/>
                <w:lang w:val="en-AU"/>
              </w:rPr>
            </w:pPr>
            <w:r w:rsidRPr="005F62F4">
              <w:rPr>
                <w:rFonts w:cstheme="minorHAnsi"/>
                <w:lang w:val="en-AU"/>
              </w:rPr>
              <w:t>$</w:t>
            </w:r>
            <w:r w:rsidR="00B60FA6" w:rsidRPr="005F62F4">
              <w:rPr>
                <w:rFonts w:cstheme="minorHAnsi"/>
                <w:lang w:val="en-AU"/>
              </w:rPr>
              <w:t>26,000</w:t>
            </w:r>
          </w:p>
        </w:tc>
        <w:tc>
          <w:tcPr>
            <w:tcW w:w="1320" w:type="dxa"/>
          </w:tcPr>
          <w:p w14:paraId="48BC0DDA" w14:textId="06B7AFB4" w:rsidR="00B60FA6" w:rsidRPr="005F62F4" w:rsidRDefault="00636C61" w:rsidP="00AB5BA7">
            <w:pPr>
              <w:pStyle w:val="TableTextRight"/>
              <w:rPr>
                <w:rFonts w:cstheme="minorHAnsi"/>
                <w:lang w:val="en-AU"/>
              </w:rPr>
            </w:pPr>
            <w:r w:rsidRPr="005F62F4">
              <w:rPr>
                <w:rFonts w:cstheme="minorHAnsi"/>
                <w:lang w:val="en-AU"/>
              </w:rPr>
              <w:t>$</w:t>
            </w:r>
            <w:r w:rsidR="00B60FA6" w:rsidRPr="005F62F4">
              <w:rPr>
                <w:rFonts w:cstheme="minorHAnsi"/>
                <w:lang w:val="en-AU"/>
              </w:rPr>
              <w:t>139,000</w:t>
            </w:r>
          </w:p>
        </w:tc>
        <w:tc>
          <w:tcPr>
            <w:tcW w:w="1320" w:type="dxa"/>
          </w:tcPr>
          <w:p w14:paraId="716C3018" w14:textId="1975F4BA"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156,000</w:t>
            </w:r>
          </w:p>
        </w:tc>
        <w:tc>
          <w:tcPr>
            <w:tcW w:w="1321" w:type="dxa"/>
          </w:tcPr>
          <w:p w14:paraId="5E7E08FF" w14:textId="101406DB"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248,000</w:t>
            </w:r>
          </w:p>
        </w:tc>
      </w:tr>
      <w:tr w:rsidR="00B60FA6" w:rsidRPr="005F62F4" w14:paraId="793E66B7" w14:textId="77777777" w:rsidTr="00C108A9">
        <w:trPr>
          <w:trHeight w:val="170"/>
        </w:trPr>
        <w:tc>
          <w:tcPr>
            <w:tcW w:w="1060" w:type="dxa"/>
          </w:tcPr>
          <w:p w14:paraId="45BA3410" w14:textId="77777777" w:rsidR="00B60FA6" w:rsidRPr="005F62F4" w:rsidRDefault="00B60FA6" w:rsidP="00AB5BA7">
            <w:pPr>
              <w:pStyle w:val="TableText"/>
              <w:rPr>
                <w:rFonts w:cstheme="minorHAnsi"/>
              </w:rPr>
            </w:pPr>
            <w:r w:rsidRPr="005F62F4">
              <w:rPr>
                <w:rFonts w:cstheme="minorHAnsi"/>
              </w:rPr>
              <w:t>45752</w:t>
            </w:r>
          </w:p>
        </w:tc>
        <w:tc>
          <w:tcPr>
            <w:tcW w:w="2245" w:type="dxa"/>
          </w:tcPr>
          <w:p w14:paraId="2442ED36" w14:textId="019436DD" w:rsidR="00D1273F" w:rsidRPr="005F62F4" w:rsidRDefault="00723820" w:rsidP="006839AD">
            <w:pPr>
              <w:pStyle w:val="TableText"/>
              <w:rPr>
                <w:rFonts w:cstheme="minorHAnsi"/>
              </w:rPr>
            </w:pPr>
            <w:r w:rsidRPr="005F62F4">
              <w:t>Complex bilateral osteotomies or ostectomies of mandible or maxilla</w:t>
            </w:r>
          </w:p>
        </w:tc>
        <w:tc>
          <w:tcPr>
            <w:tcW w:w="948" w:type="dxa"/>
          </w:tcPr>
          <w:p w14:paraId="136C186A" w14:textId="630A7B4D" w:rsidR="00B60FA6" w:rsidRPr="005F62F4" w:rsidRDefault="00194542" w:rsidP="00AB5BA7">
            <w:pPr>
              <w:pStyle w:val="TableTextRight"/>
              <w:rPr>
                <w:rFonts w:cstheme="minorHAnsi"/>
                <w:lang w:val="en-AU"/>
              </w:rPr>
            </w:pPr>
            <w:r w:rsidRPr="001E5E40">
              <w:rPr>
                <w:sz w:val="17"/>
                <w:szCs w:val="17"/>
              </w:rPr>
              <w:t>[redacted]</w:t>
            </w:r>
          </w:p>
        </w:tc>
        <w:tc>
          <w:tcPr>
            <w:tcW w:w="1118" w:type="dxa"/>
          </w:tcPr>
          <w:p w14:paraId="34F162BD" w14:textId="248081FB" w:rsidR="00B60FA6" w:rsidRPr="005F62F4" w:rsidRDefault="00AE6580" w:rsidP="00AB5BA7">
            <w:pPr>
              <w:pStyle w:val="TableTextRight"/>
              <w:rPr>
                <w:rFonts w:cstheme="minorHAnsi"/>
                <w:lang w:val="en-AU"/>
              </w:rPr>
            </w:pPr>
            <w:r w:rsidRPr="005F62F4">
              <w:rPr>
                <w:rFonts w:cstheme="minorHAnsi"/>
                <w:lang w:val="en-AU"/>
              </w:rPr>
              <w:t>$</w:t>
            </w:r>
            <w:r w:rsidR="00B60FA6" w:rsidRPr="005F62F4">
              <w:rPr>
                <w:rFonts w:cstheme="minorHAnsi"/>
                <w:lang w:val="en-AU"/>
              </w:rPr>
              <w:t>89,000</w:t>
            </w:r>
          </w:p>
        </w:tc>
        <w:tc>
          <w:tcPr>
            <w:tcW w:w="1320" w:type="dxa"/>
          </w:tcPr>
          <w:p w14:paraId="2B65CA66" w14:textId="697A9EC0" w:rsidR="00B60FA6" w:rsidRPr="005F62F4" w:rsidRDefault="00636C61" w:rsidP="00AB5BA7">
            <w:pPr>
              <w:pStyle w:val="TableTextRight"/>
              <w:rPr>
                <w:rFonts w:cstheme="minorHAnsi"/>
                <w:lang w:val="en-AU"/>
              </w:rPr>
            </w:pPr>
            <w:r w:rsidRPr="005F62F4">
              <w:rPr>
                <w:rFonts w:cstheme="minorHAnsi"/>
                <w:lang w:val="en-AU"/>
              </w:rPr>
              <w:t>$</w:t>
            </w:r>
            <w:r w:rsidR="00B60FA6" w:rsidRPr="005F62F4">
              <w:rPr>
                <w:rFonts w:cstheme="minorHAnsi"/>
                <w:lang w:val="en-AU"/>
              </w:rPr>
              <w:t>125,000</w:t>
            </w:r>
          </w:p>
        </w:tc>
        <w:tc>
          <w:tcPr>
            <w:tcW w:w="1320" w:type="dxa"/>
          </w:tcPr>
          <w:p w14:paraId="7B126772" w14:textId="2ACA5DF9"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203,000</w:t>
            </w:r>
          </w:p>
        </w:tc>
        <w:tc>
          <w:tcPr>
            <w:tcW w:w="1321" w:type="dxa"/>
          </w:tcPr>
          <w:p w14:paraId="0C1769B1" w14:textId="4435D7BA"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215,000</w:t>
            </w:r>
          </w:p>
        </w:tc>
      </w:tr>
      <w:tr w:rsidR="00820660" w:rsidRPr="005F62F4" w14:paraId="624AF694" w14:textId="77777777" w:rsidTr="00C108A9">
        <w:trPr>
          <w:cnfStyle w:val="000000010000" w:firstRow="0" w:lastRow="0" w:firstColumn="0" w:lastColumn="0" w:oddVBand="0" w:evenVBand="0" w:oddHBand="0" w:evenHBand="1" w:firstRowFirstColumn="0" w:firstRowLastColumn="0" w:lastRowFirstColumn="0" w:lastRowLastColumn="0"/>
          <w:trHeight w:val="170"/>
        </w:trPr>
        <w:tc>
          <w:tcPr>
            <w:tcW w:w="1060" w:type="dxa"/>
          </w:tcPr>
          <w:p w14:paraId="69F77C41" w14:textId="77777777" w:rsidR="00B60FA6" w:rsidRPr="005F62F4" w:rsidRDefault="00B60FA6" w:rsidP="00AB5BA7">
            <w:pPr>
              <w:pStyle w:val="TableText"/>
              <w:rPr>
                <w:rFonts w:cstheme="minorHAnsi"/>
              </w:rPr>
            </w:pPr>
            <w:r w:rsidRPr="005F62F4">
              <w:rPr>
                <w:rFonts w:cstheme="minorHAnsi"/>
              </w:rPr>
              <w:t>52357</w:t>
            </w:r>
          </w:p>
        </w:tc>
        <w:tc>
          <w:tcPr>
            <w:tcW w:w="2245" w:type="dxa"/>
          </w:tcPr>
          <w:p w14:paraId="65E9D152" w14:textId="0AD2BD2A" w:rsidR="00D1273F" w:rsidRPr="005F62F4" w:rsidRDefault="0032401D" w:rsidP="006839AD">
            <w:pPr>
              <w:pStyle w:val="TableText"/>
              <w:rPr>
                <w:rFonts w:cstheme="minorHAnsi"/>
              </w:rPr>
            </w:pPr>
            <w:r w:rsidRPr="005F62F4">
              <w:t xml:space="preserve">Osteotomies or </w:t>
            </w:r>
            <w:proofErr w:type="spellStart"/>
            <w:r w:rsidRPr="005F62F4">
              <w:t>osteectomies</w:t>
            </w:r>
            <w:proofErr w:type="spellEnd"/>
            <w:r w:rsidRPr="005F62F4">
              <w:t xml:space="preserve"> of the mandible or maxilla</w:t>
            </w:r>
          </w:p>
        </w:tc>
        <w:tc>
          <w:tcPr>
            <w:tcW w:w="948" w:type="dxa"/>
          </w:tcPr>
          <w:p w14:paraId="5666BA87" w14:textId="77D2AE54" w:rsidR="00B60FA6" w:rsidRPr="005F62F4" w:rsidRDefault="00194542" w:rsidP="00AB5BA7">
            <w:pPr>
              <w:pStyle w:val="TableTextRight"/>
              <w:rPr>
                <w:rFonts w:cstheme="minorHAnsi"/>
                <w:lang w:val="en-AU"/>
              </w:rPr>
            </w:pPr>
            <w:r w:rsidRPr="001E5E40">
              <w:rPr>
                <w:sz w:val="17"/>
                <w:szCs w:val="17"/>
              </w:rPr>
              <w:t>[redacted]</w:t>
            </w:r>
          </w:p>
        </w:tc>
        <w:tc>
          <w:tcPr>
            <w:tcW w:w="1118" w:type="dxa"/>
          </w:tcPr>
          <w:p w14:paraId="3E0EC2FB" w14:textId="663C1954" w:rsidR="00B60FA6" w:rsidRPr="005F62F4" w:rsidRDefault="00AE6580" w:rsidP="00AB5BA7">
            <w:pPr>
              <w:pStyle w:val="TableTextRight"/>
              <w:rPr>
                <w:rFonts w:cstheme="minorHAnsi"/>
                <w:lang w:val="en-AU"/>
              </w:rPr>
            </w:pPr>
            <w:r w:rsidRPr="005F62F4">
              <w:rPr>
                <w:rFonts w:cstheme="minorHAnsi"/>
                <w:lang w:val="en-AU"/>
              </w:rPr>
              <w:t>$</w:t>
            </w:r>
            <w:r w:rsidR="00B60FA6" w:rsidRPr="005F62F4">
              <w:rPr>
                <w:rFonts w:cstheme="minorHAnsi"/>
                <w:lang w:val="en-AU"/>
              </w:rPr>
              <w:t>36,000</w:t>
            </w:r>
          </w:p>
        </w:tc>
        <w:tc>
          <w:tcPr>
            <w:tcW w:w="1320" w:type="dxa"/>
          </w:tcPr>
          <w:p w14:paraId="575AED46" w14:textId="679B86A7" w:rsidR="00B60FA6" w:rsidRPr="005F62F4" w:rsidRDefault="00636C61" w:rsidP="00AB5BA7">
            <w:pPr>
              <w:pStyle w:val="TableTextRight"/>
              <w:rPr>
                <w:rFonts w:cstheme="minorHAnsi"/>
                <w:lang w:val="en-AU"/>
              </w:rPr>
            </w:pPr>
            <w:r w:rsidRPr="005F62F4">
              <w:rPr>
                <w:rFonts w:cstheme="minorHAnsi"/>
                <w:lang w:val="en-AU"/>
              </w:rPr>
              <w:t>$</w:t>
            </w:r>
            <w:r w:rsidR="00B60FA6" w:rsidRPr="005F62F4">
              <w:rPr>
                <w:rFonts w:cstheme="minorHAnsi"/>
                <w:lang w:val="en-AU"/>
              </w:rPr>
              <w:t>226,000</w:t>
            </w:r>
          </w:p>
        </w:tc>
        <w:tc>
          <w:tcPr>
            <w:tcW w:w="1320" w:type="dxa"/>
          </w:tcPr>
          <w:p w14:paraId="564D8B51" w14:textId="5FD7BE2E"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220,000</w:t>
            </w:r>
          </w:p>
        </w:tc>
        <w:tc>
          <w:tcPr>
            <w:tcW w:w="1321" w:type="dxa"/>
          </w:tcPr>
          <w:p w14:paraId="77E68A0C" w14:textId="24B375DB"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197,000</w:t>
            </w:r>
          </w:p>
        </w:tc>
      </w:tr>
      <w:tr w:rsidR="00B60FA6" w:rsidRPr="005F62F4" w14:paraId="44AF84E8" w14:textId="77777777" w:rsidTr="00C108A9">
        <w:trPr>
          <w:trHeight w:val="170"/>
        </w:trPr>
        <w:tc>
          <w:tcPr>
            <w:tcW w:w="1060" w:type="dxa"/>
          </w:tcPr>
          <w:p w14:paraId="70E26E4B" w14:textId="77777777" w:rsidR="00B60FA6" w:rsidRPr="005F62F4" w:rsidRDefault="00B60FA6" w:rsidP="00AB5BA7">
            <w:pPr>
              <w:pStyle w:val="TableText"/>
              <w:rPr>
                <w:rFonts w:cstheme="minorHAnsi"/>
              </w:rPr>
            </w:pPr>
            <w:r w:rsidRPr="005F62F4">
              <w:rPr>
                <w:rFonts w:cstheme="minorHAnsi"/>
              </w:rPr>
              <w:t>45738</w:t>
            </w:r>
          </w:p>
        </w:tc>
        <w:tc>
          <w:tcPr>
            <w:tcW w:w="2245" w:type="dxa"/>
          </w:tcPr>
          <w:p w14:paraId="226B12C4" w14:textId="681B09C9" w:rsidR="00D1273F" w:rsidRPr="005F62F4" w:rsidRDefault="007D227C" w:rsidP="006839AD">
            <w:pPr>
              <w:pStyle w:val="TableText"/>
              <w:rPr>
                <w:rFonts w:cstheme="minorHAnsi"/>
              </w:rPr>
            </w:pPr>
            <w:r w:rsidRPr="005F62F4">
              <w:t>Bilateral osteotomies or ostectomies of mandible or maxilla</w:t>
            </w:r>
          </w:p>
        </w:tc>
        <w:tc>
          <w:tcPr>
            <w:tcW w:w="948" w:type="dxa"/>
          </w:tcPr>
          <w:p w14:paraId="39AE2DFB" w14:textId="330DC557" w:rsidR="00B60FA6" w:rsidRPr="005F62F4" w:rsidRDefault="00194542" w:rsidP="00AB5BA7">
            <w:pPr>
              <w:pStyle w:val="TableTextRight"/>
              <w:rPr>
                <w:rFonts w:cstheme="minorHAnsi"/>
                <w:lang w:val="en-AU"/>
              </w:rPr>
            </w:pPr>
            <w:r w:rsidRPr="001E5E40">
              <w:rPr>
                <w:sz w:val="17"/>
                <w:szCs w:val="17"/>
              </w:rPr>
              <w:t>[redacted]</w:t>
            </w:r>
          </w:p>
        </w:tc>
        <w:tc>
          <w:tcPr>
            <w:tcW w:w="1118" w:type="dxa"/>
          </w:tcPr>
          <w:p w14:paraId="6A26BE0A" w14:textId="12321E80" w:rsidR="00B60FA6" w:rsidRPr="005F62F4" w:rsidRDefault="00AE6580" w:rsidP="00AB5BA7">
            <w:pPr>
              <w:pStyle w:val="TableTextRight"/>
              <w:rPr>
                <w:rFonts w:cstheme="minorHAnsi"/>
                <w:lang w:val="en-AU"/>
              </w:rPr>
            </w:pPr>
            <w:r w:rsidRPr="005F62F4">
              <w:rPr>
                <w:rFonts w:cstheme="minorHAnsi"/>
                <w:lang w:val="en-AU"/>
              </w:rPr>
              <w:t>$</w:t>
            </w:r>
            <w:r w:rsidR="00B60FA6" w:rsidRPr="005F62F4">
              <w:rPr>
                <w:rFonts w:cstheme="minorHAnsi"/>
                <w:lang w:val="en-AU"/>
              </w:rPr>
              <w:t>91,000</w:t>
            </w:r>
          </w:p>
        </w:tc>
        <w:tc>
          <w:tcPr>
            <w:tcW w:w="1320" w:type="dxa"/>
          </w:tcPr>
          <w:p w14:paraId="6B5566E3" w14:textId="6660B5E5" w:rsidR="00B60FA6" w:rsidRPr="005F62F4" w:rsidRDefault="00636C61" w:rsidP="00AB5BA7">
            <w:pPr>
              <w:pStyle w:val="TableTextRight"/>
              <w:rPr>
                <w:rFonts w:cstheme="minorHAnsi"/>
                <w:lang w:val="en-AU"/>
              </w:rPr>
            </w:pPr>
            <w:r w:rsidRPr="005F62F4">
              <w:rPr>
                <w:rFonts w:cstheme="minorHAnsi"/>
                <w:lang w:val="en-AU"/>
              </w:rPr>
              <w:t>$</w:t>
            </w:r>
            <w:r w:rsidR="00B60FA6" w:rsidRPr="005F62F4">
              <w:rPr>
                <w:rFonts w:cstheme="minorHAnsi"/>
                <w:lang w:val="en-AU"/>
              </w:rPr>
              <w:t>94,000</w:t>
            </w:r>
          </w:p>
        </w:tc>
        <w:tc>
          <w:tcPr>
            <w:tcW w:w="1320" w:type="dxa"/>
          </w:tcPr>
          <w:p w14:paraId="465909D3" w14:textId="3A99B3F1"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78,000</w:t>
            </w:r>
          </w:p>
        </w:tc>
        <w:tc>
          <w:tcPr>
            <w:tcW w:w="1321" w:type="dxa"/>
          </w:tcPr>
          <w:p w14:paraId="60DACB20" w14:textId="7A5A630E"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179,000</w:t>
            </w:r>
          </w:p>
        </w:tc>
      </w:tr>
      <w:tr w:rsidR="00820660" w:rsidRPr="005F62F4" w14:paraId="5C5A7FBE" w14:textId="77777777" w:rsidTr="00C108A9">
        <w:trPr>
          <w:cnfStyle w:val="000000010000" w:firstRow="0" w:lastRow="0" w:firstColumn="0" w:lastColumn="0" w:oddVBand="0" w:evenVBand="0" w:oddHBand="0" w:evenHBand="1" w:firstRowFirstColumn="0" w:firstRowLastColumn="0" w:lastRowFirstColumn="0" w:lastRowLastColumn="0"/>
          <w:trHeight w:val="170"/>
        </w:trPr>
        <w:tc>
          <w:tcPr>
            <w:tcW w:w="1060" w:type="dxa"/>
          </w:tcPr>
          <w:p w14:paraId="1C8AA2E8" w14:textId="77777777" w:rsidR="00B60FA6" w:rsidRPr="005F62F4" w:rsidRDefault="00B60FA6" w:rsidP="00AB5BA7">
            <w:pPr>
              <w:pStyle w:val="TableText"/>
              <w:rPr>
                <w:rFonts w:cstheme="minorHAnsi"/>
              </w:rPr>
            </w:pPr>
            <w:r w:rsidRPr="005F62F4">
              <w:rPr>
                <w:rFonts w:cstheme="minorHAnsi"/>
              </w:rPr>
              <w:t>45857</w:t>
            </w:r>
          </w:p>
        </w:tc>
        <w:tc>
          <w:tcPr>
            <w:tcW w:w="2245" w:type="dxa"/>
          </w:tcPr>
          <w:p w14:paraId="42033651" w14:textId="3C6569C4" w:rsidR="00D1273F" w:rsidRPr="005F62F4" w:rsidRDefault="007D227C" w:rsidP="006839AD">
            <w:pPr>
              <w:pStyle w:val="TableText"/>
              <w:rPr>
                <w:rFonts w:cstheme="minorHAnsi"/>
              </w:rPr>
            </w:pPr>
            <w:r w:rsidRPr="005F62F4">
              <w:t>TMJ arthroscopy</w:t>
            </w:r>
          </w:p>
        </w:tc>
        <w:tc>
          <w:tcPr>
            <w:tcW w:w="948" w:type="dxa"/>
          </w:tcPr>
          <w:p w14:paraId="0D9863F8" w14:textId="608AA5B0" w:rsidR="00B60FA6" w:rsidRPr="005F62F4" w:rsidRDefault="00B60FA6" w:rsidP="00AB5BA7">
            <w:pPr>
              <w:pStyle w:val="TableTextRight"/>
              <w:rPr>
                <w:rFonts w:cstheme="minorHAnsi"/>
                <w:lang w:val="en-AU"/>
              </w:rPr>
            </w:pPr>
          </w:p>
        </w:tc>
        <w:tc>
          <w:tcPr>
            <w:tcW w:w="1118" w:type="dxa"/>
          </w:tcPr>
          <w:p w14:paraId="2A3FD1B9" w14:textId="77777777" w:rsidR="00B60FA6" w:rsidRPr="005F62F4" w:rsidRDefault="00B60FA6" w:rsidP="00AB5BA7">
            <w:pPr>
              <w:pStyle w:val="TableTextRight"/>
              <w:rPr>
                <w:rFonts w:cstheme="minorHAnsi"/>
                <w:lang w:val="en-AU"/>
              </w:rPr>
            </w:pPr>
          </w:p>
        </w:tc>
        <w:tc>
          <w:tcPr>
            <w:tcW w:w="1320" w:type="dxa"/>
          </w:tcPr>
          <w:p w14:paraId="6D5D7B9F" w14:textId="77777777" w:rsidR="00B60FA6" w:rsidRPr="005F62F4" w:rsidRDefault="00B60FA6" w:rsidP="00AB5BA7">
            <w:pPr>
              <w:pStyle w:val="TableTextRight"/>
              <w:rPr>
                <w:rFonts w:cstheme="minorHAnsi"/>
                <w:lang w:val="en-AU"/>
              </w:rPr>
            </w:pPr>
            <w:proofErr w:type="spellStart"/>
            <w:r w:rsidRPr="005F62F4">
              <w:rPr>
                <w:rFonts w:cstheme="minorHAnsi"/>
                <w:lang w:val="en-AU"/>
              </w:rPr>
              <w:t>n.p.</w:t>
            </w:r>
            <w:proofErr w:type="spellEnd"/>
          </w:p>
        </w:tc>
        <w:tc>
          <w:tcPr>
            <w:tcW w:w="1320" w:type="dxa"/>
          </w:tcPr>
          <w:p w14:paraId="365C85AA" w14:textId="2114818F" w:rsidR="00B60FA6" w:rsidRPr="005F62F4" w:rsidRDefault="00815186" w:rsidP="00AB5BA7">
            <w:pPr>
              <w:pStyle w:val="TableTextRight"/>
              <w:rPr>
                <w:rFonts w:cstheme="minorHAnsi"/>
                <w:lang w:val="en-AU"/>
              </w:rPr>
            </w:pPr>
            <w:r w:rsidRPr="005F62F4">
              <w:rPr>
                <w:rFonts w:cstheme="minorHAnsi"/>
                <w:lang w:val="en-AU"/>
              </w:rPr>
              <w:t>$</w:t>
            </w:r>
            <w:r w:rsidR="00B60FA6" w:rsidRPr="005F62F4">
              <w:rPr>
                <w:rFonts w:cstheme="minorHAnsi"/>
                <w:lang w:val="en-AU"/>
              </w:rPr>
              <w:t>133,000</w:t>
            </w:r>
          </w:p>
        </w:tc>
        <w:tc>
          <w:tcPr>
            <w:tcW w:w="1321" w:type="dxa"/>
          </w:tcPr>
          <w:p w14:paraId="16808AD3" w14:textId="68F96072" w:rsidR="00B60FA6" w:rsidRPr="005F62F4" w:rsidRDefault="00815186" w:rsidP="00615CE6">
            <w:pPr>
              <w:pStyle w:val="TableTextRight"/>
              <w:keepNext/>
              <w:rPr>
                <w:rFonts w:cstheme="minorHAnsi"/>
                <w:lang w:val="en-AU"/>
              </w:rPr>
            </w:pPr>
            <w:r w:rsidRPr="005F62F4">
              <w:rPr>
                <w:rFonts w:cstheme="minorHAnsi"/>
                <w:lang w:val="en-AU"/>
              </w:rPr>
              <w:t>$</w:t>
            </w:r>
            <w:r w:rsidR="00B60FA6" w:rsidRPr="005F62F4">
              <w:rPr>
                <w:rFonts w:cstheme="minorHAnsi"/>
                <w:lang w:val="en-AU"/>
              </w:rPr>
              <w:t>153,000</w:t>
            </w:r>
          </w:p>
        </w:tc>
      </w:tr>
    </w:tbl>
    <w:bookmarkEnd w:id="208"/>
    <w:p w14:paraId="5AF7B646" w14:textId="27E4148C" w:rsidR="009B7862" w:rsidRPr="005F62F4" w:rsidRDefault="00B60FA6" w:rsidP="0043244F">
      <w:pPr>
        <w:pStyle w:val="TableText"/>
        <w:rPr>
          <w:szCs w:val="18"/>
        </w:rPr>
      </w:pPr>
      <w:r w:rsidRPr="005F62F4">
        <w:t>Note:</w:t>
      </w:r>
      <w:r w:rsidRPr="005F62F4">
        <w:rPr>
          <w:szCs w:val="18"/>
        </w:rPr>
        <w:t xml:space="preserve"> </w:t>
      </w:r>
      <w:r w:rsidR="002A4FE2" w:rsidRPr="005F62F4">
        <w:rPr>
          <w:szCs w:val="18"/>
        </w:rPr>
        <w:t>Data subset used from 2016 due to minimal comparable reporting prior to the 2016–17 financial year.</w:t>
      </w:r>
    </w:p>
    <w:p w14:paraId="569A6A58" w14:textId="05F4BEF3" w:rsidR="00E671AC" w:rsidRPr="005F62F4" w:rsidRDefault="00E671AC" w:rsidP="0043244F">
      <w:pPr>
        <w:pStyle w:val="TableText"/>
        <w:rPr>
          <w:szCs w:val="18"/>
        </w:rPr>
      </w:pPr>
      <w:r w:rsidRPr="005F62F4">
        <w:t xml:space="preserve">Cells annotated with </w:t>
      </w:r>
      <w:proofErr w:type="spellStart"/>
      <w:r w:rsidRPr="005F62F4">
        <w:t>n.p.</w:t>
      </w:r>
      <w:proofErr w:type="spellEnd"/>
      <w:r w:rsidRPr="005F62F4">
        <w:t xml:space="preserve"> indicate that there were fewer than 10 datapoints available and that the data was suppressed in files supplied by the department.</w:t>
      </w:r>
    </w:p>
    <w:p w14:paraId="48220C0A" w14:textId="77777777" w:rsidR="00074350" w:rsidRPr="005F62F4" w:rsidRDefault="00074350" w:rsidP="00074350">
      <w:r w:rsidRPr="005F62F4">
        <w:br w:type="page"/>
      </w:r>
    </w:p>
    <w:p w14:paraId="2ED734D7" w14:textId="1022A907" w:rsidR="00B60FA6" w:rsidRPr="005F62F4" w:rsidRDefault="00CB71D8" w:rsidP="00B60FA6">
      <w:pPr>
        <w:pStyle w:val="Para"/>
        <w:rPr>
          <w:szCs w:val="22"/>
        </w:rPr>
      </w:pPr>
      <w:r w:rsidRPr="005F62F4">
        <w:rPr>
          <w:szCs w:val="22"/>
        </w:rPr>
        <w:lastRenderedPageBreak/>
        <w:t xml:space="preserve">Like </w:t>
      </w:r>
      <w:proofErr w:type="spellStart"/>
      <w:r w:rsidRPr="005F62F4">
        <w:rPr>
          <w:szCs w:val="22"/>
        </w:rPr>
        <w:t>biomodels</w:t>
      </w:r>
      <w:proofErr w:type="spellEnd"/>
      <w:r w:rsidRPr="005F62F4">
        <w:rPr>
          <w:szCs w:val="22"/>
        </w:rPr>
        <w:t xml:space="preserve">, surgical guide expenditure has </w:t>
      </w:r>
      <w:r w:rsidR="0042612C" w:rsidRPr="005F62F4">
        <w:rPr>
          <w:szCs w:val="22"/>
        </w:rPr>
        <w:t xml:space="preserve">steadily increased </w:t>
      </w:r>
      <w:r w:rsidR="00B60FA6" w:rsidRPr="005F62F4">
        <w:rPr>
          <w:szCs w:val="22"/>
        </w:rPr>
        <w:t>in MBS item numbers relating to CMF surgeries (52375, 45738, 45752, 45729, 45744 and 52353)</w:t>
      </w:r>
      <w:r w:rsidR="002607BB" w:rsidRPr="005F62F4">
        <w:rPr>
          <w:szCs w:val="22"/>
        </w:rPr>
        <w:t xml:space="preserve">, as shown in </w:t>
      </w:r>
      <w:r w:rsidR="002607BB" w:rsidRPr="005F62F4">
        <w:rPr>
          <w:szCs w:val="22"/>
        </w:rPr>
        <w:fldChar w:fldCharType="begin"/>
      </w:r>
      <w:r w:rsidR="002607BB" w:rsidRPr="005F62F4">
        <w:rPr>
          <w:szCs w:val="22"/>
        </w:rPr>
        <w:instrText xml:space="preserve"> REF _Ref119503397 \h </w:instrText>
      </w:r>
      <w:r w:rsidR="005F62F4">
        <w:rPr>
          <w:szCs w:val="22"/>
        </w:rPr>
        <w:instrText xml:space="preserve"> \* MERGEFORMAT </w:instrText>
      </w:r>
      <w:r w:rsidR="002607BB" w:rsidRPr="005F62F4">
        <w:rPr>
          <w:szCs w:val="22"/>
        </w:rPr>
      </w:r>
      <w:r w:rsidR="002607BB" w:rsidRPr="005F62F4">
        <w:rPr>
          <w:szCs w:val="22"/>
        </w:rPr>
        <w:fldChar w:fldCharType="separate"/>
      </w:r>
      <w:r w:rsidR="005606BF" w:rsidRPr="005F62F4">
        <w:t>Table </w:t>
      </w:r>
      <w:r w:rsidR="005606BF">
        <w:t>17</w:t>
      </w:r>
      <w:r w:rsidR="002607BB" w:rsidRPr="005F62F4">
        <w:rPr>
          <w:szCs w:val="22"/>
        </w:rPr>
        <w:fldChar w:fldCharType="end"/>
      </w:r>
      <w:r w:rsidR="00B60FA6" w:rsidRPr="005F62F4">
        <w:rPr>
          <w:szCs w:val="22"/>
        </w:rPr>
        <w:t>.</w:t>
      </w:r>
      <w:r w:rsidR="00CF5573" w:rsidRPr="005F62F4">
        <w:rPr>
          <w:szCs w:val="22"/>
        </w:rPr>
        <w:t xml:space="preserve"> </w:t>
      </w:r>
      <w:r w:rsidR="00A50DD2" w:rsidRPr="005F62F4">
        <w:rPr>
          <w:szCs w:val="22"/>
        </w:rPr>
        <w:t xml:space="preserve">Notably, the 2 </w:t>
      </w:r>
      <w:r w:rsidR="00B60FA6" w:rsidRPr="005F62F4">
        <w:rPr>
          <w:szCs w:val="22"/>
        </w:rPr>
        <w:t xml:space="preserve">MBS item numbers </w:t>
      </w:r>
      <w:r w:rsidR="00A50DD2" w:rsidRPr="005F62F4">
        <w:rPr>
          <w:szCs w:val="22"/>
        </w:rPr>
        <w:t xml:space="preserve">appearing for the first time </w:t>
      </w:r>
      <w:r w:rsidR="00B60FA6" w:rsidRPr="005F62F4">
        <w:rPr>
          <w:szCs w:val="22"/>
        </w:rPr>
        <w:t>in the 2019</w:t>
      </w:r>
      <w:r w:rsidR="00CF5573" w:rsidRPr="005F62F4">
        <w:t>–</w:t>
      </w:r>
      <w:r w:rsidR="00B60FA6" w:rsidRPr="005F62F4">
        <w:rPr>
          <w:szCs w:val="22"/>
        </w:rPr>
        <w:t xml:space="preserve">20 dataset </w:t>
      </w:r>
      <w:r w:rsidR="00A50DD2" w:rsidRPr="005F62F4">
        <w:rPr>
          <w:szCs w:val="22"/>
        </w:rPr>
        <w:t xml:space="preserve">(45841 and 45849) </w:t>
      </w:r>
      <w:r w:rsidR="00B60FA6" w:rsidRPr="005F62F4">
        <w:rPr>
          <w:szCs w:val="22"/>
        </w:rPr>
        <w:t xml:space="preserve">are not classified </w:t>
      </w:r>
      <w:r w:rsidR="00094C79" w:rsidRPr="005F62F4">
        <w:rPr>
          <w:szCs w:val="22"/>
        </w:rPr>
        <w:t xml:space="preserve">by surgeons </w:t>
      </w:r>
      <w:r w:rsidR="00B60FA6" w:rsidRPr="005F62F4">
        <w:rPr>
          <w:szCs w:val="22"/>
        </w:rPr>
        <w:t>as complex CMF</w:t>
      </w:r>
      <w:r w:rsidR="00A50DD2" w:rsidRPr="005F62F4">
        <w:rPr>
          <w:szCs w:val="22"/>
        </w:rPr>
        <w:t xml:space="preserve"> </w:t>
      </w:r>
      <w:r w:rsidR="00B60FA6" w:rsidRPr="005F62F4">
        <w:rPr>
          <w:szCs w:val="22"/>
        </w:rPr>
        <w:t>procedures.</w:t>
      </w:r>
      <w:r w:rsidR="00EE3DBB" w:rsidRPr="005F62F4">
        <w:rPr>
          <w:lang w:eastAsia="en-AU"/>
        </w:rPr>
        <w:t xml:space="preserve"> In addition, hospital separations </w:t>
      </w:r>
      <w:r w:rsidR="00412DB8" w:rsidRPr="005F62F4">
        <w:rPr>
          <w:lang w:eastAsia="en-AU"/>
        </w:rPr>
        <w:t xml:space="preserve">where MBS item numbers were not supplied </w:t>
      </w:r>
      <w:r w:rsidR="00EE3DBB" w:rsidRPr="005F62F4">
        <w:rPr>
          <w:lang w:eastAsia="en-AU"/>
        </w:rPr>
        <w:t>have become increasingly prevalent, equating to $933,000 in 2020-21.</w:t>
      </w:r>
    </w:p>
    <w:p w14:paraId="1AE8CAD6" w14:textId="1B059AD4" w:rsidR="00B60FA6" w:rsidRPr="005F62F4" w:rsidRDefault="00E56C05" w:rsidP="00E52D22">
      <w:pPr>
        <w:pStyle w:val="Para"/>
      </w:pPr>
      <w:bookmarkStart w:id="209" w:name="_Ref119503397"/>
      <w:bookmarkStart w:id="210" w:name="_Toc129954654"/>
      <w:r w:rsidRPr="005F62F4">
        <w:t>Table </w:t>
      </w:r>
      <w:r w:rsidRPr="005F62F4">
        <w:fldChar w:fldCharType="begin"/>
      </w:r>
      <w:r w:rsidRPr="005F62F4">
        <w:instrText>SEQ Table \* ARABIC</w:instrText>
      </w:r>
      <w:r w:rsidRPr="005F62F4">
        <w:fldChar w:fldCharType="separate"/>
      </w:r>
      <w:r w:rsidR="005606BF">
        <w:rPr>
          <w:noProof/>
        </w:rPr>
        <w:t>17</w:t>
      </w:r>
      <w:r w:rsidRPr="005F62F4">
        <w:fldChar w:fldCharType="end"/>
      </w:r>
      <w:bookmarkEnd w:id="209"/>
      <w:r w:rsidR="00B60FA6" w:rsidRPr="005F62F4">
        <w:t>: Surgical guides benefits paid</w:t>
      </w:r>
      <w:r w:rsidR="00116C32" w:rsidRPr="005F62F4">
        <w:t xml:space="preserve">, </w:t>
      </w:r>
      <w:r w:rsidR="00B60FA6" w:rsidRPr="005F62F4">
        <w:t>by MBS item number</w:t>
      </w:r>
      <w:r w:rsidR="00116C32" w:rsidRPr="005F62F4">
        <w:t xml:space="preserve"> and</w:t>
      </w:r>
      <w:r w:rsidR="00B60FA6" w:rsidRPr="005F62F4">
        <w:t xml:space="preserve"> financial year</w:t>
      </w:r>
      <w:bookmarkEnd w:id="210"/>
    </w:p>
    <w:tbl>
      <w:tblPr>
        <w:tblStyle w:val="SGB"/>
        <w:tblW w:w="0" w:type="auto"/>
        <w:tblLayout w:type="fixed"/>
        <w:tblLook w:val="0420" w:firstRow="1" w:lastRow="0" w:firstColumn="0" w:lastColumn="0" w:noHBand="0" w:noVBand="1"/>
      </w:tblPr>
      <w:tblGrid>
        <w:gridCol w:w="1134"/>
        <w:gridCol w:w="2127"/>
        <w:gridCol w:w="992"/>
        <w:gridCol w:w="1078"/>
        <w:gridCol w:w="1321"/>
        <w:gridCol w:w="1321"/>
        <w:gridCol w:w="1359"/>
      </w:tblGrid>
      <w:tr w:rsidR="00B60FA6" w:rsidRPr="005F62F4" w14:paraId="0705DB2C" w14:textId="77777777" w:rsidTr="00C108A9">
        <w:trPr>
          <w:cnfStyle w:val="100000000000" w:firstRow="1" w:lastRow="0" w:firstColumn="0" w:lastColumn="0" w:oddVBand="0" w:evenVBand="0" w:oddHBand="0" w:evenHBand="0" w:firstRowFirstColumn="0" w:firstRowLastColumn="0" w:lastRowFirstColumn="0" w:lastRowLastColumn="0"/>
          <w:trHeight w:val="411"/>
        </w:trPr>
        <w:tc>
          <w:tcPr>
            <w:tcW w:w="1134" w:type="dxa"/>
          </w:tcPr>
          <w:p w14:paraId="6FBA360D" w14:textId="77777777" w:rsidR="00B60FA6" w:rsidRPr="005F62F4" w:rsidRDefault="00B60FA6" w:rsidP="00AB5BA7">
            <w:pPr>
              <w:pStyle w:val="TableText"/>
            </w:pPr>
            <w:bookmarkStart w:id="211" w:name="Title_19" w:colFirst="0" w:colLast="0"/>
            <w:r w:rsidRPr="005F62F4">
              <w:t>MBS item</w:t>
            </w:r>
          </w:p>
        </w:tc>
        <w:tc>
          <w:tcPr>
            <w:tcW w:w="2127" w:type="dxa"/>
          </w:tcPr>
          <w:p w14:paraId="260954B4" w14:textId="0CB0B3FB" w:rsidR="00320EEE" w:rsidRPr="005F62F4" w:rsidRDefault="00320EEE" w:rsidP="00F2678E">
            <w:pPr>
              <w:pStyle w:val="TableText"/>
            </w:pPr>
            <w:r w:rsidRPr="005F62F4">
              <w:t>MBS item description</w:t>
            </w:r>
          </w:p>
        </w:tc>
        <w:tc>
          <w:tcPr>
            <w:tcW w:w="992" w:type="dxa"/>
          </w:tcPr>
          <w:p w14:paraId="55B88768" w14:textId="75CBC9CB" w:rsidR="00B60FA6" w:rsidRPr="005F62F4" w:rsidRDefault="007067D1" w:rsidP="00AB5BA7">
            <w:pPr>
              <w:pStyle w:val="TableTextRight"/>
              <w:rPr>
                <w:lang w:val="en-AU"/>
              </w:rPr>
            </w:pPr>
            <w:r w:rsidRPr="005F62F4">
              <w:rPr>
                <w:lang w:val="en-AU"/>
              </w:rPr>
              <w:t>2016–</w:t>
            </w:r>
            <w:r w:rsidR="00B60FA6" w:rsidRPr="005F62F4">
              <w:rPr>
                <w:lang w:val="en-AU"/>
              </w:rPr>
              <w:t>17</w:t>
            </w:r>
          </w:p>
        </w:tc>
        <w:tc>
          <w:tcPr>
            <w:tcW w:w="1078" w:type="dxa"/>
          </w:tcPr>
          <w:p w14:paraId="232F9632" w14:textId="6822966E" w:rsidR="00B60FA6" w:rsidRPr="005F62F4" w:rsidRDefault="007067D1" w:rsidP="00AB5BA7">
            <w:pPr>
              <w:pStyle w:val="TableTextRight"/>
              <w:rPr>
                <w:lang w:val="en-AU"/>
              </w:rPr>
            </w:pPr>
            <w:r w:rsidRPr="005F62F4">
              <w:rPr>
                <w:lang w:val="en-AU"/>
              </w:rPr>
              <w:t>2017–</w:t>
            </w:r>
            <w:r w:rsidR="00B60FA6" w:rsidRPr="005F62F4">
              <w:rPr>
                <w:lang w:val="en-AU"/>
              </w:rPr>
              <w:t>18</w:t>
            </w:r>
          </w:p>
        </w:tc>
        <w:tc>
          <w:tcPr>
            <w:tcW w:w="1321" w:type="dxa"/>
          </w:tcPr>
          <w:p w14:paraId="73A1C7D7" w14:textId="7C917248" w:rsidR="00B60FA6" w:rsidRPr="005F62F4" w:rsidRDefault="007067D1" w:rsidP="00AB5BA7">
            <w:pPr>
              <w:pStyle w:val="TableTextRight"/>
              <w:rPr>
                <w:lang w:val="en-AU"/>
              </w:rPr>
            </w:pPr>
            <w:r w:rsidRPr="005F62F4">
              <w:rPr>
                <w:lang w:val="en-AU"/>
              </w:rPr>
              <w:t>2018–</w:t>
            </w:r>
            <w:r w:rsidR="00B60FA6" w:rsidRPr="005F62F4">
              <w:rPr>
                <w:lang w:val="en-AU"/>
              </w:rPr>
              <w:t>19</w:t>
            </w:r>
          </w:p>
        </w:tc>
        <w:tc>
          <w:tcPr>
            <w:tcW w:w="1321" w:type="dxa"/>
          </w:tcPr>
          <w:p w14:paraId="207C6E7B" w14:textId="6580BF29" w:rsidR="00B60FA6" w:rsidRPr="005F62F4" w:rsidRDefault="007067D1" w:rsidP="00AB5BA7">
            <w:pPr>
              <w:pStyle w:val="TableTextRight"/>
              <w:rPr>
                <w:lang w:val="en-AU"/>
              </w:rPr>
            </w:pPr>
            <w:r w:rsidRPr="005F62F4">
              <w:rPr>
                <w:lang w:val="en-AU"/>
              </w:rPr>
              <w:t>2019–</w:t>
            </w:r>
            <w:r w:rsidR="00B60FA6" w:rsidRPr="005F62F4">
              <w:rPr>
                <w:lang w:val="en-AU"/>
              </w:rPr>
              <w:t>20</w:t>
            </w:r>
          </w:p>
        </w:tc>
        <w:tc>
          <w:tcPr>
            <w:tcW w:w="1359" w:type="dxa"/>
          </w:tcPr>
          <w:p w14:paraId="60A72366" w14:textId="1F64D56A" w:rsidR="00B60FA6" w:rsidRPr="005F62F4" w:rsidRDefault="007067D1" w:rsidP="00AB5BA7">
            <w:pPr>
              <w:pStyle w:val="TableTextRight"/>
              <w:rPr>
                <w:lang w:val="en-AU"/>
              </w:rPr>
            </w:pPr>
            <w:r w:rsidRPr="005F62F4">
              <w:rPr>
                <w:lang w:val="en-AU"/>
              </w:rPr>
              <w:t>2020–</w:t>
            </w:r>
            <w:r w:rsidR="00B60FA6" w:rsidRPr="005F62F4">
              <w:rPr>
                <w:lang w:val="en-AU"/>
              </w:rPr>
              <w:t>21</w:t>
            </w:r>
          </w:p>
        </w:tc>
      </w:tr>
      <w:bookmarkEnd w:id="211"/>
      <w:tr w:rsidR="00B60FA6" w:rsidRPr="005F62F4" w14:paraId="573333E2" w14:textId="77777777" w:rsidTr="00C108A9">
        <w:trPr>
          <w:trHeight w:val="170"/>
        </w:trPr>
        <w:tc>
          <w:tcPr>
            <w:tcW w:w="1134" w:type="dxa"/>
          </w:tcPr>
          <w:p w14:paraId="06B5D5AB" w14:textId="77777777" w:rsidR="00B60FA6" w:rsidRPr="005F62F4" w:rsidRDefault="00B60FA6" w:rsidP="00AB5BA7">
            <w:pPr>
              <w:pStyle w:val="TableText"/>
              <w:rPr>
                <w:rFonts w:cstheme="minorHAnsi"/>
              </w:rPr>
            </w:pPr>
            <w:r w:rsidRPr="005F62F4">
              <w:rPr>
                <w:rFonts w:cstheme="minorHAnsi"/>
              </w:rPr>
              <w:t>45841</w:t>
            </w:r>
          </w:p>
        </w:tc>
        <w:tc>
          <w:tcPr>
            <w:tcW w:w="2127" w:type="dxa"/>
          </w:tcPr>
          <w:p w14:paraId="1E16C062" w14:textId="5287D36D" w:rsidR="00320EEE" w:rsidRPr="005F62F4" w:rsidRDefault="004C636E" w:rsidP="00F2678E">
            <w:pPr>
              <w:pStyle w:val="TableText"/>
            </w:pPr>
            <w:r w:rsidRPr="005F62F4">
              <w:rPr>
                <w:bCs/>
              </w:rPr>
              <w:t>Alveolar ridge augmentation</w:t>
            </w:r>
          </w:p>
        </w:tc>
        <w:tc>
          <w:tcPr>
            <w:tcW w:w="992" w:type="dxa"/>
          </w:tcPr>
          <w:p w14:paraId="08D2BAD2" w14:textId="720DFFAF" w:rsidR="00B60FA6" w:rsidRPr="005F62F4" w:rsidRDefault="00B60FA6" w:rsidP="00AB5BA7">
            <w:pPr>
              <w:pStyle w:val="TableTextRight"/>
              <w:rPr>
                <w:rFonts w:cstheme="minorHAnsi"/>
                <w:lang w:val="en-AU"/>
              </w:rPr>
            </w:pPr>
          </w:p>
        </w:tc>
        <w:tc>
          <w:tcPr>
            <w:tcW w:w="1078" w:type="dxa"/>
          </w:tcPr>
          <w:p w14:paraId="1755B886" w14:textId="77777777" w:rsidR="00B60FA6" w:rsidRPr="005F62F4" w:rsidRDefault="00B60FA6" w:rsidP="00AB5BA7">
            <w:pPr>
              <w:pStyle w:val="TableTextRight"/>
              <w:rPr>
                <w:rFonts w:cstheme="minorHAnsi"/>
                <w:lang w:val="en-AU"/>
              </w:rPr>
            </w:pPr>
          </w:p>
        </w:tc>
        <w:tc>
          <w:tcPr>
            <w:tcW w:w="1321" w:type="dxa"/>
          </w:tcPr>
          <w:p w14:paraId="4E94A2ED" w14:textId="77777777" w:rsidR="00B60FA6" w:rsidRPr="005F62F4" w:rsidRDefault="00B60FA6" w:rsidP="00AB5BA7">
            <w:pPr>
              <w:pStyle w:val="TableTextRight"/>
              <w:rPr>
                <w:rFonts w:cstheme="minorHAnsi"/>
                <w:lang w:val="en-AU"/>
              </w:rPr>
            </w:pPr>
          </w:p>
        </w:tc>
        <w:tc>
          <w:tcPr>
            <w:tcW w:w="1321" w:type="dxa"/>
          </w:tcPr>
          <w:p w14:paraId="373B4B6B" w14:textId="7FE5665B"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287,000</w:t>
            </w:r>
          </w:p>
        </w:tc>
        <w:tc>
          <w:tcPr>
            <w:tcW w:w="1359" w:type="dxa"/>
          </w:tcPr>
          <w:p w14:paraId="78C9223B" w14:textId="2FBB8066"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1,170,000</w:t>
            </w:r>
          </w:p>
        </w:tc>
      </w:tr>
      <w:tr w:rsidR="00B60FA6" w:rsidRPr="005F62F4" w14:paraId="00DFA7A2" w14:textId="77777777" w:rsidTr="00C108A9">
        <w:trPr>
          <w:cnfStyle w:val="000000010000" w:firstRow="0" w:lastRow="0" w:firstColumn="0" w:lastColumn="0" w:oddVBand="0" w:evenVBand="0" w:oddHBand="0" w:evenHBand="1" w:firstRowFirstColumn="0" w:firstRowLastColumn="0" w:lastRowFirstColumn="0" w:lastRowLastColumn="0"/>
          <w:trHeight w:val="170"/>
        </w:trPr>
        <w:tc>
          <w:tcPr>
            <w:tcW w:w="1134" w:type="dxa"/>
          </w:tcPr>
          <w:p w14:paraId="625A4814" w14:textId="77777777" w:rsidR="00B60FA6" w:rsidRPr="005F62F4" w:rsidRDefault="00B60FA6" w:rsidP="00AB5BA7">
            <w:pPr>
              <w:pStyle w:val="TableText"/>
              <w:rPr>
                <w:rFonts w:cstheme="minorHAnsi"/>
              </w:rPr>
            </w:pPr>
            <w:r w:rsidRPr="005F62F4">
              <w:rPr>
                <w:rFonts w:cstheme="minorHAnsi"/>
              </w:rPr>
              <w:t>52375</w:t>
            </w:r>
          </w:p>
        </w:tc>
        <w:tc>
          <w:tcPr>
            <w:tcW w:w="2127" w:type="dxa"/>
          </w:tcPr>
          <w:p w14:paraId="3813C550" w14:textId="77AC0D0E" w:rsidR="00320EEE" w:rsidRPr="005F62F4" w:rsidRDefault="006C3A6D" w:rsidP="00F2678E">
            <w:pPr>
              <w:pStyle w:val="TableText"/>
            </w:pPr>
            <w:r w:rsidRPr="005F62F4">
              <w:rPr>
                <w:bCs/>
              </w:rPr>
              <w:t>Complex bilateral osteotomies or ostectomies of mandible or maxilla</w:t>
            </w:r>
          </w:p>
        </w:tc>
        <w:tc>
          <w:tcPr>
            <w:tcW w:w="992" w:type="dxa"/>
          </w:tcPr>
          <w:p w14:paraId="3C8C2572" w14:textId="6DEC69BC" w:rsidR="00B60FA6" w:rsidRPr="005F62F4" w:rsidRDefault="00194542" w:rsidP="00AB5BA7">
            <w:pPr>
              <w:pStyle w:val="TableTextRight"/>
              <w:rPr>
                <w:rFonts w:cstheme="minorHAnsi"/>
                <w:lang w:val="en-AU"/>
              </w:rPr>
            </w:pPr>
            <w:r w:rsidRPr="001E5E40">
              <w:rPr>
                <w:sz w:val="17"/>
                <w:szCs w:val="17"/>
              </w:rPr>
              <w:t>[redacted]</w:t>
            </w:r>
          </w:p>
        </w:tc>
        <w:tc>
          <w:tcPr>
            <w:tcW w:w="1078" w:type="dxa"/>
          </w:tcPr>
          <w:p w14:paraId="67855BC1" w14:textId="71983014"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423,000</w:t>
            </w:r>
          </w:p>
        </w:tc>
        <w:tc>
          <w:tcPr>
            <w:tcW w:w="1321" w:type="dxa"/>
          </w:tcPr>
          <w:p w14:paraId="021DF70C" w14:textId="1B4C0573"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884,000</w:t>
            </w:r>
          </w:p>
        </w:tc>
        <w:tc>
          <w:tcPr>
            <w:tcW w:w="1321" w:type="dxa"/>
          </w:tcPr>
          <w:p w14:paraId="529B4B78" w14:textId="154DFAF4"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685,000</w:t>
            </w:r>
          </w:p>
        </w:tc>
        <w:tc>
          <w:tcPr>
            <w:tcW w:w="1359" w:type="dxa"/>
          </w:tcPr>
          <w:p w14:paraId="2AAB18B5" w14:textId="4670A879"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1,155,000</w:t>
            </w:r>
          </w:p>
        </w:tc>
      </w:tr>
      <w:tr w:rsidR="00B60FA6" w:rsidRPr="005F62F4" w14:paraId="540A1B58" w14:textId="77777777" w:rsidTr="00C108A9">
        <w:trPr>
          <w:trHeight w:val="170"/>
        </w:trPr>
        <w:tc>
          <w:tcPr>
            <w:tcW w:w="1134" w:type="dxa"/>
          </w:tcPr>
          <w:p w14:paraId="1F2E9718" w14:textId="77777777" w:rsidR="00B60FA6" w:rsidRPr="005F62F4" w:rsidRDefault="00B60FA6" w:rsidP="00AB5BA7">
            <w:pPr>
              <w:pStyle w:val="TableText"/>
              <w:rPr>
                <w:rFonts w:cstheme="minorHAnsi"/>
              </w:rPr>
            </w:pPr>
            <w:r w:rsidRPr="005F62F4">
              <w:rPr>
                <w:rFonts w:cstheme="minorHAnsi"/>
              </w:rPr>
              <w:t>45738</w:t>
            </w:r>
          </w:p>
        </w:tc>
        <w:tc>
          <w:tcPr>
            <w:tcW w:w="2127" w:type="dxa"/>
          </w:tcPr>
          <w:p w14:paraId="6D5A5032" w14:textId="7D6E3FBF" w:rsidR="00320EEE" w:rsidRPr="005F62F4" w:rsidRDefault="006C3A6D" w:rsidP="00F2678E">
            <w:pPr>
              <w:pStyle w:val="TableText"/>
            </w:pPr>
            <w:r w:rsidRPr="005F62F4">
              <w:rPr>
                <w:bCs/>
              </w:rPr>
              <w:t>Bilateral osteotomies or ostectomies of mandible or maxilla</w:t>
            </w:r>
          </w:p>
        </w:tc>
        <w:tc>
          <w:tcPr>
            <w:tcW w:w="992" w:type="dxa"/>
          </w:tcPr>
          <w:p w14:paraId="596731C2" w14:textId="499AC26E" w:rsidR="00B60FA6" w:rsidRPr="005F62F4" w:rsidRDefault="00194542" w:rsidP="00AB5BA7">
            <w:pPr>
              <w:pStyle w:val="TableTextRight"/>
              <w:rPr>
                <w:rFonts w:cstheme="minorHAnsi"/>
                <w:lang w:val="en-AU"/>
              </w:rPr>
            </w:pPr>
            <w:r w:rsidRPr="001E5E40">
              <w:rPr>
                <w:sz w:val="17"/>
                <w:szCs w:val="17"/>
              </w:rPr>
              <w:t>[redacted]</w:t>
            </w:r>
          </w:p>
        </w:tc>
        <w:tc>
          <w:tcPr>
            <w:tcW w:w="1078" w:type="dxa"/>
          </w:tcPr>
          <w:p w14:paraId="66ECD41A" w14:textId="53A7EE7B"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505,000</w:t>
            </w:r>
          </w:p>
        </w:tc>
        <w:tc>
          <w:tcPr>
            <w:tcW w:w="1321" w:type="dxa"/>
          </w:tcPr>
          <w:p w14:paraId="2691CBE7" w14:textId="18753CC5"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742,000</w:t>
            </w:r>
          </w:p>
        </w:tc>
        <w:tc>
          <w:tcPr>
            <w:tcW w:w="1321" w:type="dxa"/>
          </w:tcPr>
          <w:p w14:paraId="42482A52" w14:textId="5E3CF8DA"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674,000</w:t>
            </w:r>
          </w:p>
        </w:tc>
        <w:tc>
          <w:tcPr>
            <w:tcW w:w="1359" w:type="dxa"/>
          </w:tcPr>
          <w:p w14:paraId="658C579D" w14:textId="5C2190B3"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1,003,000</w:t>
            </w:r>
          </w:p>
        </w:tc>
      </w:tr>
      <w:tr w:rsidR="00B60FA6" w:rsidRPr="005F62F4" w14:paraId="4933AA7C" w14:textId="77777777" w:rsidTr="00C108A9">
        <w:trPr>
          <w:cnfStyle w:val="000000010000" w:firstRow="0" w:lastRow="0" w:firstColumn="0" w:lastColumn="0" w:oddVBand="0" w:evenVBand="0" w:oddHBand="0" w:evenHBand="1" w:firstRowFirstColumn="0" w:firstRowLastColumn="0" w:lastRowFirstColumn="0" w:lastRowLastColumn="0"/>
          <w:trHeight w:val="170"/>
        </w:trPr>
        <w:tc>
          <w:tcPr>
            <w:tcW w:w="1134" w:type="dxa"/>
          </w:tcPr>
          <w:p w14:paraId="22C7DBBB" w14:textId="42436702" w:rsidR="00B60FA6" w:rsidRPr="005F62F4" w:rsidRDefault="0062345B" w:rsidP="00AB5BA7">
            <w:pPr>
              <w:pStyle w:val="TableText"/>
              <w:rPr>
                <w:rFonts w:cstheme="minorHAnsi"/>
              </w:rPr>
            </w:pPr>
            <w:r w:rsidRPr="005F62F4">
              <w:rPr>
                <w:rFonts w:cstheme="minorHAnsi"/>
              </w:rPr>
              <w:t>Unspecified</w:t>
            </w:r>
            <w:r w:rsidR="00EE3DBB" w:rsidRPr="005F62F4">
              <w:rPr>
                <w:rFonts w:cstheme="minorHAnsi"/>
              </w:rPr>
              <w:t xml:space="preserve"> </w:t>
            </w:r>
          </w:p>
        </w:tc>
        <w:tc>
          <w:tcPr>
            <w:tcW w:w="2127" w:type="dxa"/>
          </w:tcPr>
          <w:p w14:paraId="5C4138CA" w14:textId="77777777" w:rsidR="00320EEE" w:rsidRPr="005F62F4" w:rsidRDefault="00320EEE" w:rsidP="00F2678E">
            <w:pPr>
              <w:pStyle w:val="TableText"/>
              <w:rPr>
                <w:rFonts w:cstheme="minorHAnsi"/>
                <w:color w:val="000000"/>
              </w:rPr>
            </w:pPr>
          </w:p>
        </w:tc>
        <w:tc>
          <w:tcPr>
            <w:tcW w:w="992" w:type="dxa"/>
          </w:tcPr>
          <w:p w14:paraId="684569D3" w14:textId="585FED34" w:rsidR="00B60FA6" w:rsidRPr="005F62F4" w:rsidRDefault="00194542" w:rsidP="00AB5BA7">
            <w:pPr>
              <w:pStyle w:val="TableTextRight"/>
              <w:rPr>
                <w:rFonts w:cstheme="minorHAnsi"/>
                <w:lang w:val="en-AU"/>
              </w:rPr>
            </w:pPr>
            <w:r w:rsidRPr="001E5E40">
              <w:rPr>
                <w:sz w:val="17"/>
                <w:szCs w:val="17"/>
              </w:rPr>
              <w:t>[redacted]</w:t>
            </w:r>
          </w:p>
        </w:tc>
        <w:tc>
          <w:tcPr>
            <w:tcW w:w="1078" w:type="dxa"/>
          </w:tcPr>
          <w:p w14:paraId="49F9BC23" w14:textId="1871CD1F"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128,000</w:t>
            </w:r>
          </w:p>
        </w:tc>
        <w:tc>
          <w:tcPr>
            <w:tcW w:w="1321" w:type="dxa"/>
          </w:tcPr>
          <w:p w14:paraId="0CB3678E" w14:textId="28165998"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80,000</w:t>
            </w:r>
          </w:p>
        </w:tc>
        <w:tc>
          <w:tcPr>
            <w:tcW w:w="1321" w:type="dxa"/>
          </w:tcPr>
          <w:p w14:paraId="59986815" w14:textId="7FA41ECA"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339,000</w:t>
            </w:r>
          </w:p>
        </w:tc>
        <w:tc>
          <w:tcPr>
            <w:tcW w:w="1359" w:type="dxa"/>
          </w:tcPr>
          <w:p w14:paraId="46DDE1FE" w14:textId="6090F40B"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933,000</w:t>
            </w:r>
          </w:p>
        </w:tc>
      </w:tr>
      <w:tr w:rsidR="00B60FA6" w:rsidRPr="005F62F4" w14:paraId="310049B6" w14:textId="77777777" w:rsidTr="00C108A9">
        <w:trPr>
          <w:trHeight w:val="170"/>
        </w:trPr>
        <w:tc>
          <w:tcPr>
            <w:tcW w:w="1134" w:type="dxa"/>
          </w:tcPr>
          <w:p w14:paraId="5E202F63" w14:textId="77777777" w:rsidR="00B60FA6" w:rsidRPr="005F62F4" w:rsidRDefault="00B60FA6" w:rsidP="00AB5BA7">
            <w:pPr>
              <w:pStyle w:val="TableText"/>
              <w:rPr>
                <w:rFonts w:cstheme="minorHAnsi"/>
              </w:rPr>
            </w:pPr>
            <w:r w:rsidRPr="005F62F4">
              <w:rPr>
                <w:rFonts w:cstheme="minorHAnsi"/>
              </w:rPr>
              <w:t>45752</w:t>
            </w:r>
          </w:p>
        </w:tc>
        <w:tc>
          <w:tcPr>
            <w:tcW w:w="2127" w:type="dxa"/>
          </w:tcPr>
          <w:p w14:paraId="6FCA555A" w14:textId="13660F75" w:rsidR="00320EEE" w:rsidRPr="005F62F4" w:rsidRDefault="00FC616F" w:rsidP="00F2678E">
            <w:pPr>
              <w:pStyle w:val="TableText"/>
            </w:pPr>
            <w:r w:rsidRPr="005F62F4">
              <w:rPr>
                <w:bCs/>
              </w:rPr>
              <w:t>Complex bilateral osteotomies or ostectomies of mandible or maxilla</w:t>
            </w:r>
          </w:p>
        </w:tc>
        <w:tc>
          <w:tcPr>
            <w:tcW w:w="992" w:type="dxa"/>
          </w:tcPr>
          <w:p w14:paraId="13C6C8BA" w14:textId="719D27BA" w:rsidR="00B60FA6" w:rsidRPr="005F62F4" w:rsidRDefault="00194542" w:rsidP="00AB5BA7">
            <w:pPr>
              <w:pStyle w:val="TableTextRight"/>
              <w:rPr>
                <w:rFonts w:cstheme="minorHAnsi"/>
                <w:lang w:val="en-AU"/>
              </w:rPr>
            </w:pPr>
            <w:r w:rsidRPr="001E5E40">
              <w:rPr>
                <w:sz w:val="17"/>
                <w:szCs w:val="17"/>
              </w:rPr>
              <w:t>[redacted]</w:t>
            </w:r>
          </w:p>
        </w:tc>
        <w:tc>
          <w:tcPr>
            <w:tcW w:w="1078" w:type="dxa"/>
          </w:tcPr>
          <w:p w14:paraId="4C0F404A" w14:textId="1E82823C"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426,000</w:t>
            </w:r>
          </w:p>
        </w:tc>
        <w:tc>
          <w:tcPr>
            <w:tcW w:w="1321" w:type="dxa"/>
          </w:tcPr>
          <w:p w14:paraId="002243FC" w14:textId="0866746C"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476,000</w:t>
            </w:r>
          </w:p>
        </w:tc>
        <w:tc>
          <w:tcPr>
            <w:tcW w:w="1321" w:type="dxa"/>
          </w:tcPr>
          <w:p w14:paraId="3D96B9A5" w14:textId="06938B5A"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677,000</w:t>
            </w:r>
          </w:p>
        </w:tc>
        <w:tc>
          <w:tcPr>
            <w:tcW w:w="1359" w:type="dxa"/>
          </w:tcPr>
          <w:p w14:paraId="5A5CB107" w14:textId="170FD34D"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842,000</w:t>
            </w:r>
          </w:p>
        </w:tc>
      </w:tr>
      <w:tr w:rsidR="00B60FA6" w:rsidRPr="005F62F4" w14:paraId="38AFC4E6" w14:textId="77777777" w:rsidTr="00C108A9">
        <w:trPr>
          <w:cnfStyle w:val="000000010000" w:firstRow="0" w:lastRow="0" w:firstColumn="0" w:lastColumn="0" w:oddVBand="0" w:evenVBand="0" w:oddHBand="0" w:evenHBand="1" w:firstRowFirstColumn="0" w:firstRowLastColumn="0" w:lastRowFirstColumn="0" w:lastRowLastColumn="0"/>
          <w:trHeight w:val="170"/>
        </w:trPr>
        <w:tc>
          <w:tcPr>
            <w:tcW w:w="1134" w:type="dxa"/>
          </w:tcPr>
          <w:p w14:paraId="7318A1BB" w14:textId="77777777" w:rsidR="00B60FA6" w:rsidRPr="005F62F4" w:rsidRDefault="00B60FA6" w:rsidP="00AB5BA7">
            <w:pPr>
              <w:pStyle w:val="TableText"/>
              <w:rPr>
                <w:rFonts w:cstheme="minorHAnsi"/>
              </w:rPr>
            </w:pPr>
            <w:r w:rsidRPr="005F62F4">
              <w:rPr>
                <w:rFonts w:cstheme="minorHAnsi"/>
              </w:rPr>
              <w:t>45732</w:t>
            </w:r>
          </w:p>
        </w:tc>
        <w:tc>
          <w:tcPr>
            <w:tcW w:w="2127" w:type="dxa"/>
          </w:tcPr>
          <w:p w14:paraId="35C44EBF" w14:textId="76516F69" w:rsidR="00320EEE" w:rsidRPr="005F62F4" w:rsidRDefault="00FC616F" w:rsidP="00F2678E">
            <w:pPr>
              <w:pStyle w:val="TableText"/>
            </w:pPr>
            <w:r w:rsidRPr="005F62F4">
              <w:rPr>
                <w:bCs/>
              </w:rPr>
              <w:t>Bilateral osteotomies or ostectomies of mandible or maxilla</w:t>
            </w:r>
          </w:p>
        </w:tc>
        <w:tc>
          <w:tcPr>
            <w:tcW w:w="992" w:type="dxa"/>
          </w:tcPr>
          <w:p w14:paraId="1301823D" w14:textId="421F4194" w:rsidR="00B60FA6" w:rsidRPr="005F62F4" w:rsidRDefault="00194542" w:rsidP="00AB5BA7">
            <w:pPr>
              <w:pStyle w:val="TableTextRight"/>
              <w:rPr>
                <w:rFonts w:cstheme="minorHAnsi"/>
                <w:lang w:val="en-AU"/>
              </w:rPr>
            </w:pPr>
            <w:r w:rsidRPr="001E5E40">
              <w:rPr>
                <w:sz w:val="17"/>
                <w:szCs w:val="17"/>
              </w:rPr>
              <w:t>[redacted]</w:t>
            </w:r>
          </w:p>
        </w:tc>
        <w:tc>
          <w:tcPr>
            <w:tcW w:w="1078" w:type="dxa"/>
          </w:tcPr>
          <w:p w14:paraId="3BEE2904" w14:textId="2C967EAC"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242,000</w:t>
            </w:r>
          </w:p>
        </w:tc>
        <w:tc>
          <w:tcPr>
            <w:tcW w:w="1321" w:type="dxa"/>
          </w:tcPr>
          <w:p w14:paraId="3AA8438A" w14:textId="2A50B265"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336,000</w:t>
            </w:r>
          </w:p>
        </w:tc>
        <w:tc>
          <w:tcPr>
            <w:tcW w:w="1321" w:type="dxa"/>
          </w:tcPr>
          <w:p w14:paraId="6433CABD" w14:textId="1132DC43"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416,000</w:t>
            </w:r>
          </w:p>
        </w:tc>
        <w:tc>
          <w:tcPr>
            <w:tcW w:w="1359" w:type="dxa"/>
          </w:tcPr>
          <w:p w14:paraId="31F5AB0C" w14:textId="7EBDB41D"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760,000</w:t>
            </w:r>
          </w:p>
        </w:tc>
      </w:tr>
      <w:tr w:rsidR="00B60FA6" w:rsidRPr="005F62F4" w14:paraId="567763E5" w14:textId="77777777" w:rsidTr="00C108A9">
        <w:trPr>
          <w:trHeight w:val="170"/>
        </w:trPr>
        <w:tc>
          <w:tcPr>
            <w:tcW w:w="1134" w:type="dxa"/>
          </w:tcPr>
          <w:p w14:paraId="4A2187B7" w14:textId="77777777" w:rsidR="00B60FA6" w:rsidRPr="005F62F4" w:rsidRDefault="00B60FA6" w:rsidP="00AB5BA7">
            <w:pPr>
              <w:pStyle w:val="TableText"/>
              <w:rPr>
                <w:rFonts w:cstheme="minorHAnsi"/>
              </w:rPr>
            </w:pPr>
            <w:r w:rsidRPr="005F62F4">
              <w:rPr>
                <w:rFonts w:cstheme="minorHAnsi"/>
              </w:rPr>
              <w:t>45729</w:t>
            </w:r>
          </w:p>
        </w:tc>
        <w:tc>
          <w:tcPr>
            <w:tcW w:w="2127" w:type="dxa"/>
          </w:tcPr>
          <w:p w14:paraId="1762B8EF" w14:textId="2A4C1235" w:rsidR="00320EEE" w:rsidRPr="005F62F4" w:rsidRDefault="00010C24" w:rsidP="00F2678E">
            <w:pPr>
              <w:pStyle w:val="TableText"/>
            </w:pPr>
            <w:r w:rsidRPr="005F62F4">
              <w:rPr>
                <w:bCs/>
              </w:rPr>
              <w:t>Bilateral osteotomy or ostectomy of mandible or maxilla</w:t>
            </w:r>
          </w:p>
        </w:tc>
        <w:tc>
          <w:tcPr>
            <w:tcW w:w="992" w:type="dxa"/>
          </w:tcPr>
          <w:p w14:paraId="0360615C" w14:textId="1F51091D" w:rsidR="00B60FA6" w:rsidRPr="005F62F4" w:rsidRDefault="00194542" w:rsidP="00AB5BA7">
            <w:pPr>
              <w:pStyle w:val="TableTextRight"/>
              <w:rPr>
                <w:rFonts w:cstheme="minorHAnsi"/>
                <w:lang w:val="en-AU"/>
              </w:rPr>
            </w:pPr>
            <w:r w:rsidRPr="001E5E40">
              <w:rPr>
                <w:sz w:val="17"/>
                <w:szCs w:val="17"/>
              </w:rPr>
              <w:t>[redacted]</w:t>
            </w:r>
          </w:p>
        </w:tc>
        <w:tc>
          <w:tcPr>
            <w:tcW w:w="1078" w:type="dxa"/>
          </w:tcPr>
          <w:p w14:paraId="2383ACCA" w14:textId="63394FA9"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295,000</w:t>
            </w:r>
          </w:p>
        </w:tc>
        <w:tc>
          <w:tcPr>
            <w:tcW w:w="1321" w:type="dxa"/>
          </w:tcPr>
          <w:p w14:paraId="0D8874DD" w14:textId="41B69F76"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421,000</w:t>
            </w:r>
          </w:p>
        </w:tc>
        <w:tc>
          <w:tcPr>
            <w:tcW w:w="1321" w:type="dxa"/>
          </w:tcPr>
          <w:p w14:paraId="46F7ED98" w14:textId="4142F746"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377,000</w:t>
            </w:r>
          </w:p>
        </w:tc>
        <w:tc>
          <w:tcPr>
            <w:tcW w:w="1359" w:type="dxa"/>
          </w:tcPr>
          <w:p w14:paraId="3062B99C" w14:textId="5A5360CF"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716,000</w:t>
            </w:r>
          </w:p>
        </w:tc>
      </w:tr>
      <w:tr w:rsidR="00B60FA6" w:rsidRPr="005F62F4" w14:paraId="17280D13" w14:textId="77777777" w:rsidTr="00C108A9">
        <w:trPr>
          <w:cnfStyle w:val="000000010000" w:firstRow="0" w:lastRow="0" w:firstColumn="0" w:lastColumn="0" w:oddVBand="0" w:evenVBand="0" w:oddHBand="0" w:evenHBand="1" w:firstRowFirstColumn="0" w:firstRowLastColumn="0" w:lastRowFirstColumn="0" w:lastRowLastColumn="0"/>
          <w:trHeight w:val="170"/>
        </w:trPr>
        <w:tc>
          <w:tcPr>
            <w:tcW w:w="1134" w:type="dxa"/>
          </w:tcPr>
          <w:p w14:paraId="3D403A4F" w14:textId="77777777" w:rsidR="00B60FA6" w:rsidRPr="005F62F4" w:rsidRDefault="00B60FA6" w:rsidP="00AB5BA7">
            <w:pPr>
              <w:pStyle w:val="TableText"/>
              <w:rPr>
                <w:rFonts w:cstheme="minorHAnsi"/>
              </w:rPr>
            </w:pPr>
            <w:r w:rsidRPr="005F62F4">
              <w:rPr>
                <w:rFonts w:cstheme="minorHAnsi"/>
              </w:rPr>
              <w:t>45744</w:t>
            </w:r>
          </w:p>
        </w:tc>
        <w:tc>
          <w:tcPr>
            <w:tcW w:w="2127" w:type="dxa"/>
          </w:tcPr>
          <w:p w14:paraId="708CC3C6" w14:textId="48B62AA8" w:rsidR="00320EEE" w:rsidRPr="005F62F4" w:rsidRDefault="00A731F8" w:rsidP="00F2678E">
            <w:pPr>
              <w:pStyle w:val="TableText"/>
              <w:rPr>
                <w:rFonts w:cstheme="minorHAnsi"/>
                <w:color w:val="000000"/>
              </w:rPr>
            </w:pPr>
            <w:r w:rsidRPr="005F62F4">
              <w:rPr>
                <w:bCs/>
              </w:rPr>
              <w:t>Complex bilateral osteotomies or ostectomies of mandible or maxilla</w:t>
            </w:r>
          </w:p>
        </w:tc>
        <w:tc>
          <w:tcPr>
            <w:tcW w:w="992" w:type="dxa"/>
          </w:tcPr>
          <w:p w14:paraId="6409B4AD" w14:textId="4B7B9EDE" w:rsidR="00B60FA6" w:rsidRPr="005F62F4" w:rsidRDefault="00194542" w:rsidP="00AB5BA7">
            <w:pPr>
              <w:pStyle w:val="TableTextRight"/>
              <w:rPr>
                <w:rFonts w:cstheme="minorHAnsi"/>
                <w:lang w:val="en-AU"/>
              </w:rPr>
            </w:pPr>
            <w:r w:rsidRPr="001E5E40">
              <w:rPr>
                <w:sz w:val="17"/>
                <w:szCs w:val="17"/>
              </w:rPr>
              <w:t>[redacted]</w:t>
            </w:r>
          </w:p>
        </w:tc>
        <w:tc>
          <w:tcPr>
            <w:tcW w:w="1078" w:type="dxa"/>
          </w:tcPr>
          <w:p w14:paraId="636531BA" w14:textId="2B9489A4"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134,000</w:t>
            </w:r>
          </w:p>
        </w:tc>
        <w:tc>
          <w:tcPr>
            <w:tcW w:w="1321" w:type="dxa"/>
          </w:tcPr>
          <w:p w14:paraId="3C31A774" w14:textId="66DBE40B"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393,000</w:t>
            </w:r>
          </w:p>
        </w:tc>
        <w:tc>
          <w:tcPr>
            <w:tcW w:w="1321" w:type="dxa"/>
          </w:tcPr>
          <w:p w14:paraId="57F1E2C8" w14:textId="2841E189"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452,000</w:t>
            </w:r>
          </w:p>
        </w:tc>
        <w:tc>
          <w:tcPr>
            <w:tcW w:w="1359" w:type="dxa"/>
          </w:tcPr>
          <w:p w14:paraId="75960418" w14:textId="0D702295"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581,000</w:t>
            </w:r>
          </w:p>
        </w:tc>
      </w:tr>
      <w:tr w:rsidR="00B60FA6" w:rsidRPr="005F62F4" w14:paraId="6F6A2AC4" w14:textId="77777777" w:rsidTr="00C108A9">
        <w:trPr>
          <w:trHeight w:val="170"/>
        </w:trPr>
        <w:tc>
          <w:tcPr>
            <w:tcW w:w="1134" w:type="dxa"/>
          </w:tcPr>
          <w:p w14:paraId="768A4B38" w14:textId="265E550F" w:rsidR="00B60FA6" w:rsidRPr="005F62F4" w:rsidRDefault="00320EEE" w:rsidP="00AB5BA7">
            <w:pPr>
              <w:pStyle w:val="TableText"/>
              <w:rPr>
                <w:rFonts w:cstheme="minorHAnsi"/>
              </w:rPr>
            </w:pPr>
            <w:r w:rsidRPr="005F62F4">
              <w:rPr>
                <w:rFonts w:cstheme="minorHAnsi"/>
              </w:rPr>
              <w:t>523</w:t>
            </w:r>
            <w:r w:rsidR="00182AE1" w:rsidRPr="005F62F4">
              <w:rPr>
                <w:rFonts w:cstheme="minorHAnsi"/>
              </w:rPr>
              <w:t>6</w:t>
            </w:r>
            <w:r w:rsidRPr="005F62F4">
              <w:rPr>
                <w:rFonts w:cstheme="minorHAnsi"/>
              </w:rPr>
              <w:t>3</w:t>
            </w:r>
          </w:p>
        </w:tc>
        <w:tc>
          <w:tcPr>
            <w:tcW w:w="2127" w:type="dxa"/>
          </w:tcPr>
          <w:p w14:paraId="0199D85C" w14:textId="3AF8E238" w:rsidR="00320EEE" w:rsidRPr="005F62F4" w:rsidRDefault="00C108A9" w:rsidP="00F2678E">
            <w:pPr>
              <w:pStyle w:val="TableText"/>
              <w:rPr>
                <w:rFonts w:cstheme="minorHAnsi"/>
                <w:color w:val="000000"/>
              </w:rPr>
            </w:pPr>
            <w:r w:rsidRPr="005F62F4">
              <w:rPr>
                <w:bCs/>
              </w:rPr>
              <w:t>Complex bilateral osteotomies or ostectomies of mandible or maxilla</w:t>
            </w:r>
          </w:p>
        </w:tc>
        <w:tc>
          <w:tcPr>
            <w:tcW w:w="992" w:type="dxa"/>
          </w:tcPr>
          <w:p w14:paraId="3274A1D3" w14:textId="67C3C074" w:rsidR="00B60FA6" w:rsidRPr="005F62F4" w:rsidRDefault="00194542" w:rsidP="00AB5BA7">
            <w:pPr>
              <w:pStyle w:val="TableTextRight"/>
              <w:rPr>
                <w:rFonts w:cstheme="minorHAnsi"/>
                <w:lang w:val="en-AU"/>
              </w:rPr>
            </w:pPr>
            <w:r w:rsidRPr="001E5E40">
              <w:rPr>
                <w:sz w:val="17"/>
                <w:szCs w:val="17"/>
              </w:rPr>
              <w:t>[redacted]</w:t>
            </w:r>
          </w:p>
        </w:tc>
        <w:tc>
          <w:tcPr>
            <w:tcW w:w="1078" w:type="dxa"/>
          </w:tcPr>
          <w:p w14:paraId="3F70E682" w14:textId="712D1D54" w:rsidR="00B60FA6" w:rsidRPr="005F62F4" w:rsidRDefault="00A50DD2"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71,000</w:t>
            </w:r>
          </w:p>
        </w:tc>
        <w:tc>
          <w:tcPr>
            <w:tcW w:w="1321" w:type="dxa"/>
          </w:tcPr>
          <w:p w14:paraId="6947CE4F" w14:textId="4BD98AA4" w:rsidR="00B60FA6" w:rsidRPr="005F62F4" w:rsidRDefault="00F13448"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331,000</w:t>
            </w:r>
          </w:p>
        </w:tc>
        <w:tc>
          <w:tcPr>
            <w:tcW w:w="1321" w:type="dxa"/>
          </w:tcPr>
          <w:p w14:paraId="02C298AD" w14:textId="3716BB47" w:rsidR="00B60FA6" w:rsidRPr="005F62F4" w:rsidRDefault="00F13448"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419,000</w:t>
            </w:r>
          </w:p>
        </w:tc>
        <w:tc>
          <w:tcPr>
            <w:tcW w:w="1359" w:type="dxa"/>
          </w:tcPr>
          <w:p w14:paraId="7E67CE81" w14:textId="47DE3F2C" w:rsidR="00B60FA6" w:rsidRPr="005F62F4" w:rsidRDefault="00F13448"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566,000</w:t>
            </w:r>
          </w:p>
        </w:tc>
      </w:tr>
      <w:tr w:rsidR="00B60FA6" w:rsidRPr="005F62F4" w14:paraId="26C05D53" w14:textId="77777777" w:rsidTr="00C108A9">
        <w:trPr>
          <w:cnfStyle w:val="000000010000" w:firstRow="0" w:lastRow="0" w:firstColumn="0" w:lastColumn="0" w:oddVBand="0" w:evenVBand="0" w:oddHBand="0" w:evenHBand="1" w:firstRowFirstColumn="0" w:firstRowLastColumn="0" w:lastRowFirstColumn="0" w:lastRowLastColumn="0"/>
          <w:trHeight w:val="170"/>
        </w:trPr>
        <w:tc>
          <w:tcPr>
            <w:tcW w:w="1134" w:type="dxa"/>
          </w:tcPr>
          <w:p w14:paraId="56F7945E" w14:textId="77777777" w:rsidR="00B60FA6" w:rsidRPr="005F62F4" w:rsidRDefault="00B60FA6" w:rsidP="00AB5BA7">
            <w:pPr>
              <w:pStyle w:val="TableText"/>
              <w:rPr>
                <w:rFonts w:cstheme="minorHAnsi"/>
              </w:rPr>
            </w:pPr>
            <w:r w:rsidRPr="005F62F4">
              <w:rPr>
                <w:rFonts w:cstheme="minorHAnsi"/>
              </w:rPr>
              <w:t>45849</w:t>
            </w:r>
          </w:p>
        </w:tc>
        <w:tc>
          <w:tcPr>
            <w:tcW w:w="2127" w:type="dxa"/>
          </w:tcPr>
          <w:p w14:paraId="68C7016C" w14:textId="278F3892" w:rsidR="00320EEE" w:rsidRPr="005F62F4" w:rsidRDefault="00C108A9" w:rsidP="00F2678E">
            <w:pPr>
              <w:pStyle w:val="TableText"/>
              <w:rPr>
                <w:rFonts w:cstheme="minorHAnsi"/>
              </w:rPr>
            </w:pPr>
            <w:r w:rsidRPr="005F62F4">
              <w:rPr>
                <w:bCs/>
              </w:rPr>
              <w:t>Sinus lift procedure</w:t>
            </w:r>
          </w:p>
        </w:tc>
        <w:tc>
          <w:tcPr>
            <w:tcW w:w="992" w:type="dxa"/>
          </w:tcPr>
          <w:p w14:paraId="7303BB07" w14:textId="51A2ACAB" w:rsidR="00B60FA6" w:rsidRPr="005F62F4" w:rsidRDefault="00B60FA6" w:rsidP="00AB5BA7">
            <w:pPr>
              <w:pStyle w:val="TableTextRight"/>
              <w:rPr>
                <w:rFonts w:cstheme="minorHAnsi"/>
                <w:lang w:val="en-AU"/>
              </w:rPr>
            </w:pPr>
          </w:p>
        </w:tc>
        <w:tc>
          <w:tcPr>
            <w:tcW w:w="1078" w:type="dxa"/>
          </w:tcPr>
          <w:p w14:paraId="712AF66C" w14:textId="77777777" w:rsidR="00B60FA6" w:rsidRPr="005F62F4" w:rsidRDefault="00B60FA6" w:rsidP="00AB5BA7">
            <w:pPr>
              <w:pStyle w:val="TableTextRight"/>
              <w:rPr>
                <w:rFonts w:cstheme="minorHAnsi"/>
                <w:lang w:val="en-AU"/>
              </w:rPr>
            </w:pPr>
          </w:p>
        </w:tc>
        <w:tc>
          <w:tcPr>
            <w:tcW w:w="1321" w:type="dxa"/>
          </w:tcPr>
          <w:p w14:paraId="183C893E" w14:textId="77777777" w:rsidR="00B60FA6" w:rsidRPr="005F62F4" w:rsidRDefault="00B60FA6" w:rsidP="00AB5BA7">
            <w:pPr>
              <w:pStyle w:val="TableTextRight"/>
              <w:rPr>
                <w:rFonts w:cstheme="minorHAnsi"/>
                <w:lang w:val="en-AU"/>
              </w:rPr>
            </w:pPr>
          </w:p>
        </w:tc>
        <w:tc>
          <w:tcPr>
            <w:tcW w:w="1321" w:type="dxa"/>
          </w:tcPr>
          <w:p w14:paraId="6569DAAD" w14:textId="7264940E" w:rsidR="00B60FA6" w:rsidRPr="005F62F4" w:rsidRDefault="00F13448" w:rsidP="00AB5BA7">
            <w:pPr>
              <w:pStyle w:val="TableTextRight"/>
              <w:rPr>
                <w:rFonts w:cstheme="minorHAnsi"/>
                <w:lang w:val="en-AU"/>
              </w:rPr>
            </w:pPr>
            <w:r w:rsidRPr="005F62F4">
              <w:rPr>
                <w:rFonts w:cstheme="minorHAnsi"/>
                <w:color w:val="000000"/>
                <w:lang w:val="en-AU"/>
              </w:rPr>
              <w:t>$</w:t>
            </w:r>
            <w:r w:rsidR="00B60FA6" w:rsidRPr="005F62F4">
              <w:rPr>
                <w:rFonts w:cstheme="minorHAnsi"/>
                <w:color w:val="000000"/>
                <w:lang w:val="en-AU"/>
              </w:rPr>
              <w:t>98,000</w:t>
            </w:r>
          </w:p>
        </w:tc>
        <w:tc>
          <w:tcPr>
            <w:tcW w:w="1359" w:type="dxa"/>
          </w:tcPr>
          <w:p w14:paraId="28F6FFCE" w14:textId="5B896454" w:rsidR="00B60FA6" w:rsidRPr="005F62F4" w:rsidRDefault="00F13448" w:rsidP="00615CE6">
            <w:pPr>
              <w:pStyle w:val="TableTextRight"/>
              <w:keepNext/>
              <w:rPr>
                <w:rFonts w:cstheme="minorHAnsi"/>
                <w:lang w:val="en-AU"/>
              </w:rPr>
            </w:pPr>
            <w:r w:rsidRPr="005F62F4">
              <w:rPr>
                <w:rFonts w:cstheme="minorHAnsi"/>
                <w:color w:val="000000"/>
                <w:lang w:val="en-AU"/>
              </w:rPr>
              <w:t>$</w:t>
            </w:r>
            <w:r w:rsidR="00B60FA6" w:rsidRPr="005F62F4">
              <w:rPr>
                <w:rFonts w:cstheme="minorHAnsi"/>
                <w:color w:val="000000"/>
                <w:lang w:val="en-AU"/>
              </w:rPr>
              <w:t>408,000</w:t>
            </w:r>
          </w:p>
        </w:tc>
      </w:tr>
    </w:tbl>
    <w:p w14:paraId="3CC90AAD" w14:textId="732FC102" w:rsidR="00B60FA6" w:rsidRPr="005F62F4" w:rsidRDefault="00B60FA6" w:rsidP="0043244F">
      <w:pPr>
        <w:pStyle w:val="TableText"/>
        <w:rPr>
          <w:szCs w:val="18"/>
        </w:rPr>
      </w:pPr>
      <w:r w:rsidRPr="005F62F4">
        <w:t>Note:</w:t>
      </w:r>
      <w:r w:rsidRPr="005F62F4">
        <w:rPr>
          <w:szCs w:val="18"/>
        </w:rPr>
        <w:t xml:space="preserve"> </w:t>
      </w:r>
      <w:r w:rsidR="005B6509" w:rsidRPr="005F62F4">
        <w:rPr>
          <w:szCs w:val="18"/>
        </w:rPr>
        <w:t>D</w:t>
      </w:r>
      <w:r w:rsidRPr="005F62F4">
        <w:rPr>
          <w:szCs w:val="18"/>
        </w:rPr>
        <w:t>ata subset used from 2016 due to minimal comparable reporting prior to the 2016–17 financial year.</w:t>
      </w:r>
    </w:p>
    <w:p w14:paraId="610F4399" w14:textId="77777777" w:rsidR="00F509AB" w:rsidRPr="005F62F4" w:rsidRDefault="00F509AB" w:rsidP="00F509AB">
      <w:r w:rsidRPr="005F62F4">
        <w:br w:type="page"/>
      </w:r>
    </w:p>
    <w:p w14:paraId="2784F801" w14:textId="25E5197B" w:rsidR="004B69E2" w:rsidRPr="005F62F4" w:rsidRDefault="004B69E2" w:rsidP="004F2931">
      <w:pPr>
        <w:pStyle w:val="Heading4"/>
      </w:pPr>
      <w:r w:rsidRPr="005F62F4">
        <w:lastRenderedPageBreak/>
        <w:t>Expenditure by sponsor</w:t>
      </w:r>
    </w:p>
    <w:p w14:paraId="6C26B5B3" w14:textId="71167A41" w:rsidR="00FC0DE8" w:rsidRPr="005F62F4" w:rsidRDefault="0007026E" w:rsidP="002A6FA1">
      <w:pPr>
        <w:pStyle w:val="Para"/>
      </w:pPr>
      <w:r>
        <w:t>[this information has been redacted</w:t>
      </w:r>
      <w:r w:rsidR="00E13A81">
        <w:t>]</w:t>
      </w:r>
    </w:p>
    <w:p w14:paraId="45187402" w14:textId="212E5158" w:rsidR="00064557" w:rsidRPr="005F62F4" w:rsidRDefault="00064557" w:rsidP="00AF4D9B">
      <w:pPr>
        <w:pStyle w:val="Para"/>
      </w:pPr>
      <w:bookmarkStart w:id="212" w:name="_Ref119871657"/>
      <w:bookmarkStart w:id="213" w:name="_Toc129954655"/>
      <w:r w:rsidRPr="005F62F4">
        <w:t xml:space="preserve">Table </w:t>
      </w:r>
      <w:r w:rsidRPr="005F62F4">
        <w:fldChar w:fldCharType="begin"/>
      </w:r>
      <w:r w:rsidRPr="005F62F4">
        <w:instrText>SEQ Table \* ARABIC</w:instrText>
      </w:r>
      <w:r w:rsidRPr="005F62F4">
        <w:fldChar w:fldCharType="separate"/>
      </w:r>
      <w:r w:rsidR="005606BF">
        <w:rPr>
          <w:noProof/>
        </w:rPr>
        <w:t>18</w:t>
      </w:r>
      <w:r w:rsidRPr="005F62F4">
        <w:fldChar w:fldCharType="end"/>
      </w:r>
      <w:bookmarkEnd w:id="212"/>
      <w:r w:rsidRPr="005F62F4">
        <w:t xml:space="preserve">: </w:t>
      </w:r>
      <w:proofErr w:type="spellStart"/>
      <w:r w:rsidRPr="005F62F4">
        <w:t>Biomodel</w:t>
      </w:r>
      <w:proofErr w:type="spellEnd"/>
      <w:r w:rsidRPr="005F62F4">
        <w:t xml:space="preserve"> benefits paid by sponsor, by financial year</w:t>
      </w:r>
      <w:bookmarkEnd w:id="213"/>
    </w:p>
    <w:tbl>
      <w:tblPr>
        <w:tblStyle w:val="SGB"/>
        <w:tblW w:w="5000" w:type="pct"/>
        <w:tblLayout w:type="fixed"/>
        <w:tblLook w:val="0420" w:firstRow="1" w:lastRow="0" w:firstColumn="0" w:lastColumn="0" w:noHBand="0" w:noVBand="1"/>
      </w:tblPr>
      <w:tblGrid>
        <w:gridCol w:w="1195"/>
        <w:gridCol w:w="1018"/>
        <w:gridCol w:w="1017"/>
        <w:gridCol w:w="1017"/>
        <w:gridCol w:w="1017"/>
        <w:gridCol w:w="1017"/>
        <w:gridCol w:w="1017"/>
        <w:gridCol w:w="1017"/>
        <w:gridCol w:w="1017"/>
      </w:tblGrid>
      <w:tr w:rsidR="0053204F" w:rsidRPr="005F62F4" w14:paraId="3318B40F" w14:textId="00441DBD" w:rsidTr="00E13A81">
        <w:trPr>
          <w:cnfStyle w:val="100000000000" w:firstRow="1" w:lastRow="0" w:firstColumn="0" w:lastColumn="0" w:oddVBand="0" w:evenVBand="0" w:oddHBand="0" w:evenHBand="0" w:firstRowFirstColumn="0" w:firstRowLastColumn="0" w:lastRowFirstColumn="0" w:lastRowLastColumn="0"/>
          <w:trHeight w:val="411"/>
        </w:trPr>
        <w:tc>
          <w:tcPr>
            <w:tcW w:w="640" w:type="pct"/>
          </w:tcPr>
          <w:p w14:paraId="6728BE9B" w14:textId="709C1A64" w:rsidR="00871796" w:rsidRPr="005F62F4" w:rsidRDefault="00A50DD2" w:rsidP="00A50DD2">
            <w:pPr>
              <w:pStyle w:val="TableText"/>
              <w:rPr>
                <w:szCs w:val="18"/>
              </w:rPr>
            </w:pPr>
            <w:bookmarkStart w:id="214" w:name="Title_20" w:colFirst="0" w:colLast="0"/>
            <w:r w:rsidRPr="005F62F4">
              <w:rPr>
                <w:szCs w:val="18"/>
              </w:rPr>
              <w:t>S</w:t>
            </w:r>
            <w:r w:rsidR="00CF6909" w:rsidRPr="005F62F4">
              <w:rPr>
                <w:szCs w:val="18"/>
              </w:rPr>
              <w:t>ponsor</w:t>
            </w:r>
          </w:p>
        </w:tc>
        <w:tc>
          <w:tcPr>
            <w:tcW w:w="545" w:type="pct"/>
          </w:tcPr>
          <w:p w14:paraId="5332D79F" w14:textId="17E6B15C" w:rsidR="00871796" w:rsidRPr="005F62F4" w:rsidRDefault="00871796" w:rsidP="0053204F">
            <w:pPr>
              <w:pStyle w:val="TableTextRight"/>
              <w:rPr>
                <w:szCs w:val="18"/>
                <w:lang w:val="en-AU"/>
              </w:rPr>
            </w:pPr>
            <w:r w:rsidRPr="005F62F4">
              <w:rPr>
                <w:szCs w:val="18"/>
                <w:lang w:val="en-AU"/>
              </w:rPr>
              <w:t>2013</w:t>
            </w:r>
            <w:r w:rsidR="00A50DD2" w:rsidRPr="005F62F4">
              <w:rPr>
                <w:szCs w:val="18"/>
                <w:lang w:val="en-AU" w:eastAsia="en-AU"/>
              </w:rPr>
              <w:t>–</w:t>
            </w:r>
            <w:r w:rsidRPr="005F62F4">
              <w:rPr>
                <w:szCs w:val="18"/>
                <w:lang w:val="en-AU"/>
              </w:rPr>
              <w:t>14</w:t>
            </w:r>
          </w:p>
        </w:tc>
        <w:tc>
          <w:tcPr>
            <w:tcW w:w="545" w:type="pct"/>
          </w:tcPr>
          <w:p w14:paraId="0D0070E8" w14:textId="622C9DD9" w:rsidR="00871796" w:rsidRPr="005F62F4" w:rsidRDefault="00871796" w:rsidP="0053204F">
            <w:pPr>
              <w:pStyle w:val="TableTextRight"/>
              <w:rPr>
                <w:szCs w:val="18"/>
                <w:lang w:val="en-AU"/>
              </w:rPr>
            </w:pPr>
            <w:r w:rsidRPr="005F62F4">
              <w:rPr>
                <w:szCs w:val="18"/>
                <w:lang w:val="en-AU"/>
              </w:rPr>
              <w:t>2014</w:t>
            </w:r>
            <w:r w:rsidR="00A50DD2" w:rsidRPr="005F62F4">
              <w:rPr>
                <w:szCs w:val="18"/>
                <w:lang w:val="en-AU" w:eastAsia="en-AU"/>
              </w:rPr>
              <w:t>–</w:t>
            </w:r>
            <w:r w:rsidRPr="005F62F4">
              <w:rPr>
                <w:szCs w:val="18"/>
                <w:lang w:val="en-AU"/>
              </w:rPr>
              <w:t>15</w:t>
            </w:r>
          </w:p>
        </w:tc>
        <w:tc>
          <w:tcPr>
            <w:tcW w:w="545" w:type="pct"/>
          </w:tcPr>
          <w:p w14:paraId="655EA122" w14:textId="73584EDB" w:rsidR="00871796" w:rsidRPr="005F62F4" w:rsidRDefault="00871796" w:rsidP="0053204F">
            <w:pPr>
              <w:pStyle w:val="TableTextRight"/>
              <w:rPr>
                <w:szCs w:val="18"/>
                <w:lang w:val="en-AU"/>
              </w:rPr>
            </w:pPr>
            <w:r w:rsidRPr="005F62F4">
              <w:rPr>
                <w:szCs w:val="18"/>
                <w:lang w:val="en-AU"/>
              </w:rPr>
              <w:t>2015</w:t>
            </w:r>
            <w:r w:rsidR="00A50DD2" w:rsidRPr="005F62F4">
              <w:rPr>
                <w:szCs w:val="18"/>
                <w:lang w:val="en-AU" w:eastAsia="en-AU"/>
              </w:rPr>
              <w:t>–</w:t>
            </w:r>
            <w:r w:rsidRPr="005F62F4">
              <w:rPr>
                <w:szCs w:val="18"/>
                <w:lang w:val="en-AU"/>
              </w:rPr>
              <w:t>16</w:t>
            </w:r>
          </w:p>
        </w:tc>
        <w:tc>
          <w:tcPr>
            <w:tcW w:w="545" w:type="pct"/>
          </w:tcPr>
          <w:p w14:paraId="21252816" w14:textId="665FB9E0" w:rsidR="00871796" w:rsidRPr="005F62F4" w:rsidRDefault="00871796" w:rsidP="0053204F">
            <w:pPr>
              <w:pStyle w:val="TableTextRight"/>
              <w:rPr>
                <w:szCs w:val="18"/>
                <w:lang w:val="en-AU"/>
              </w:rPr>
            </w:pPr>
            <w:r w:rsidRPr="005F62F4">
              <w:rPr>
                <w:szCs w:val="18"/>
                <w:lang w:val="en-AU"/>
              </w:rPr>
              <w:t>2016</w:t>
            </w:r>
            <w:r w:rsidR="00A50DD2" w:rsidRPr="005F62F4">
              <w:rPr>
                <w:szCs w:val="18"/>
                <w:lang w:val="en-AU" w:eastAsia="en-AU"/>
              </w:rPr>
              <w:t>–</w:t>
            </w:r>
            <w:r w:rsidRPr="005F62F4">
              <w:rPr>
                <w:szCs w:val="18"/>
                <w:lang w:val="en-AU"/>
              </w:rPr>
              <w:t>17</w:t>
            </w:r>
          </w:p>
        </w:tc>
        <w:tc>
          <w:tcPr>
            <w:tcW w:w="545" w:type="pct"/>
          </w:tcPr>
          <w:p w14:paraId="297F9D6C" w14:textId="726F0526" w:rsidR="00871796" w:rsidRPr="005F62F4" w:rsidRDefault="00871796" w:rsidP="0053204F">
            <w:pPr>
              <w:pStyle w:val="TableTextRight"/>
              <w:rPr>
                <w:szCs w:val="18"/>
                <w:lang w:val="en-AU"/>
              </w:rPr>
            </w:pPr>
            <w:r w:rsidRPr="005F62F4">
              <w:rPr>
                <w:szCs w:val="18"/>
                <w:lang w:val="en-AU"/>
              </w:rPr>
              <w:t>2017</w:t>
            </w:r>
            <w:r w:rsidR="00A50DD2" w:rsidRPr="005F62F4">
              <w:rPr>
                <w:szCs w:val="18"/>
                <w:lang w:val="en-AU" w:eastAsia="en-AU"/>
              </w:rPr>
              <w:t>–</w:t>
            </w:r>
            <w:r w:rsidRPr="005F62F4">
              <w:rPr>
                <w:szCs w:val="18"/>
                <w:lang w:val="en-AU"/>
              </w:rPr>
              <w:t>18</w:t>
            </w:r>
          </w:p>
        </w:tc>
        <w:tc>
          <w:tcPr>
            <w:tcW w:w="545" w:type="pct"/>
          </w:tcPr>
          <w:p w14:paraId="1FC71260" w14:textId="289E3E47" w:rsidR="00871796" w:rsidRPr="005F62F4" w:rsidRDefault="00871796" w:rsidP="0053204F">
            <w:pPr>
              <w:pStyle w:val="TableTextRight"/>
              <w:rPr>
                <w:szCs w:val="18"/>
                <w:lang w:val="en-AU"/>
              </w:rPr>
            </w:pPr>
            <w:r w:rsidRPr="005F62F4">
              <w:rPr>
                <w:szCs w:val="18"/>
                <w:lang w:val="en-AU"/>
              </w:rPr>
              <w:t>2018</w:t>
            </w:r>
            <w:r w:rsidR="00A50DD2" w:rsidRPr="005F62F4">
              <w:rPr>
                <w:szCs w:val="18"/>
                <w:lang w:val="en-AU" w:eastAsia="en-AU"/>
              </w:rPr>
              <w:t>–</w:t>
            </w:r>
            <w:r w:rsidRPr="005F62F4">
              <w:rPr>
                <w:szCs w:val="18"/>
                <w:lang w:val="en-AU"/>
              </w:rPr>
              <w:t>19</w:t>
            </w:r>
          </w:p>
        </w:tc>
        <w:tc>
          <w:tcPr>
            <w:tcW w:w="545" w:type="pct"/>
          </w:tcPr>
          <w:p w14:paraId="4CB5CBCA" w14:textId="77EACCA1" w:rsidR="00871796" w:rsidRPr="005F62F4" w:rsidRDefault="00871796" w:rsidP="0053204F">
            <w:pPr>
              <w:pStyle w:val="TableTextRight"/>
              <w:rPr>
                <w:szCs w:val="18"/>
                <w:lang w:val="en-AU"/>
              </w:rPr>
            </w:pPr>
            <w:r w:rsidRPr="005F62F4">
              <w:rPr>
                <w:szCs w:val="18"/>
                <w:lang w:val="en-AU"/>
              </w:rPr>
              <w:t>2019</w:t>
            </w:r>
            <w:r w:rsidR="00A50DD2" w:rsidRPr="005F62F4">
              <w:rPr>
                <w:szCs w:val="18"/>
                <w:lang w:val="en-AU" w:eastAsia="en-AU"/>
              </w:rPr>
              <w:t>–</w:t>
            </w:r>
            <w:r w:rsidRPr="005F62F4">
              <w:rPr>
                <w:szCs w:val="18"/>
                <w:lang w:val="en-AU"/>
              </w:rPr>
              <w:t>20</w:t>
            </w:r>
          </w:p>
        </w:tc>
        <w:tc>
          <w:tcPr>
            <w:tcW w:w="545" w:type="pct"/>
          </w:tcPr>
          <w:p w14:paraId="503579DB" w14:textId="39BAD24E" w:rsidR="00871796" w:rsidRPr="005F62F4" w:rsidRDefault="00871796" w:rsidP="0053204F">
            <w:pPr>
              <w:pStyle w:val="TableTextRight"/>
              <w:rPr>
                <w:szCs w:val="18"/>
                <w:lang w:val="en-AU"/>
              </w:rPr>
            </w:pPr>
            <w:r w:rsidRPr="005F62F4">
              <w:rPr>
                <w:szCs w:val="18"/>
                <w:lang w:val="en-AU"/>
              </w:rPr>
              <w:t>2020</w:t>
            </w:r>
            <w:r w:rsidR="00A50DD2" w:rsidRPr="005F62F4">
              <w:rPr>
                <w:szCs w:val="18"/>
                <w:lang w:val="en-AU" w:eastAsia="en-AU"/>
              </w:rPr>
              <w:t>–</w:t>
            </w:r>
            <w:r w:rsidRPr="005F62F4">
              <w:rPr>
                <w:szCs w:val="18"/>
                <w:lang w:val="en-AU"/>
              </w:rPr>
              <w:t>21</w:t>
            </w:r>
          </w:p>
        </w:tc>
      </w:tr>
      <w:bookmarkEnd w:id="214"/>
      <w:tr w:rsidR="00E13A81" w:rsidRPr="005F62F4" w14:paraId="79253CB7" w14:textId="36644CDE" w:rsidTr="00E13A81">
        <w:trPr>
          <w:trHeight w:val="170"/>
        </w:trPr>
        <w:tc>
          <w:tcPr>
            <w:tcW w:w="640" w:type="pct"/>
          </w:tcPr>
          <w:p w14:paraId="55C06C5A" w14:textId="22DA601E" w:rsidR="00E13A81" w:rsidRPr="005F62F4" w:rsidRDefault="00E13A81" w:rsidP="00E13A81">
            <w:pPr>
              <w:pStyle w:val="TableText"/>
              <w:rPr>
                <w:rFonts w:cstheme="minorHAnsi"/>
                <w:bCs/>
                <w:szCs w:val="18"/>
              </w:rPr>
            </w:pPr>
            <w:r w:rsidRPr="001E5E40">
              <w:rPr>
                <w:sz w:val="17"/>
                <w:szCs w:val="17"/>
              </w:rPr>
              <w:t>[redacted]</w:t>
            </w:r>
          </w:p>
        </w:tc>
        <w:tc>
          <w:tcPr>
            <w:tcW w:w="545" w:type="pct"/>
          </w:tcPr>
          <w:p w14:paraId="08F9A4DC" w14:textId="77777777" w:rsidR="00E13A81" w:rsidRPr="005F62F4" w:rsidRDefault="00E13A81" w:rsidP="00E13A81">
            <w:pPr>
              <w:pStyle w:val="TableTextRight"/>
              <w:rPr>
                <w:rFonts w:cstheme="minorHAnsi"/>
                <w:bCs/>
                <w:szCs w:val="18"/>
                <w:lang w:val="en-AU"/>
              </w:rPr>
            </w:pPr>
          </w:p>
        </w:tc>
        <w:tc>
          <w:tcPr>
            <w:tcW w:w="545" w:type="pct"/>
          </w:tcPr>
          <w:p w14:paraId="651D3F04" w14:textId="0D18BC3A" w:rsidR="00E13A81" w:rsidRPr="005F62F4" w:rsidRDefault="00E13A81" w:rsidP="00E13A81">
            <w:pPr>
              <w:pStyle w:val="TableTextRight"/>
              <w:rPr>
                <w:rFonts w:cstheme="minorHAnsi"/>
                <w:bCs/>
                <w:szCs w:val="18"/>
                <w:lang w:val="en-AU"/>
              </w:rPr>
            </w:pPr>
          </w:p>
        </w:tc>
        <w:tc>
          <w:tcPr>
            <w:tcW w:w="545" w:type="pct"/>
          </w:tcPr>
          <w:p w14:paraId="490DF66A" w14:textId="1201AB81" w:rsidR="00E13A81" w:rsidRPr="005F62F4" w:rsidRDefault="00E13A81" w:rsidP="00E13A81">
            <w:pPr>
              <w:pStyle w:val="TableTextRight"/>
              <w:rPr>
                <w:rFonts w:cstheme="minorHAnsi"/>
                <w:bCs/>
                <w:szCs w:val="18"/>
                <w:lang w:val="en-AU"/>
              </w:rPr>
            </w:pPr>
          </w:p>
        </w:tc>
        <w:tc>
          <w:tcPr>
            <w:tcW w:w="545" w:type="pct"/>
          </w:tcPr>
          <w:p w14:paraId="5209AEC8" w14:textId="12009B9B" w:rsidR="00E13A81" w:rsidRPr="005F62F4" w:rsidRDefault="00E13A81" w:rsidP="00E13A81">
            <w:pPr>
              <w:pStyle w:val="TableTextRight"/>
              <w:rPr>
                <w:rFonts w:cstheme="minorHAnsi"/>
                <w:bCs/>
                <w:szCs w:val="18"/>
                <w:lang w:val="en-AU"/>
              </w:rPr>
            </w:pPr>
          </w:p>
        </w:tc>
        <w:tc>
          <w:tcPr>
            <w:tcW w:w="545" w:type="pct"/>
          </w:tcPr>
          <w:p w14:paraId="588312AF" w14:textId="5F955713" w:rsidR="00E13A81" w:rsidRPr="005F62F4" w:rsidRDefault="00E13A81" w:rsidP="00E13A81">
            <w:pPr>
              <w:pStyle w:val="TableTextRight"/>
              <w:rPr>
                <w:rFonts w:cstheme="minorHAnsi"/>
                <w:bCs/>
                <w:szCs w:val="18"/>
                <w:lang w:val="en-AU"/>
              </w:rPr>
            </w:pPr>
            <w:r w:rsidRPr="001E5E40">
              <w:rPr>
                <w:sz w:val="17"/>
                <w:szCs w:val="17"/>
              </w:rPr>
              <w:t>[redacted]</w:t>
            </w:r>
          </w:p>
        </w:tc>
        <w:tc>
          <w:tcPr>
            <w:tcW w:w="545" w:type="pct"/>
          </w:tcPr>
          <w:p w14:paraId="3770B039" w14:textId="7F3A5AC6" w:rsidR="00E13A81" w:rsidRPr="005F62F4" w:rsidRDefault="00E13A81" w:rsidP="00E13A81">
            <w:pPr>
              <w:pStyle w:val="TableTextRight"/>
              <w:rPr>
                <w:rFonts w:cstheme="minorHAnsi"/>
                <w:bCs/>
                <w:szCs w:val="18"/>
                <w:lang w:val="en-AU"/>
              </w:rPr>
            </w:pPr>
            <w:r w:rsidRPr="001E5E40">
              <w:rPr>
                <w:sz w:val="17"/>
                <w:szCs w:val="17"/>
              </w:rPr>
              <w:t>[redacted]</w:t>
            </w:r>
          </w:p>
        </w:tc>
        <w:tc>
          <w:tcPr>
            <w:tcW w:w="545" w:type="pct"/>
          </w:tcPr>
          <w:p w14:paraId="7B962FD6" w14:textId="7CB96D30" w:rsidR="00E13A81" w:rsidRPr="005F62F4" w:rsidRDefault="00E13A81" w:rsidP="00E13A81">
            <w:pPr>
              <w:pStyle w:val="TableTextRight"/>
              <w:rPr>
                <w:rFonts w:cstheme="minorHAnsi"/>
                <w:bCs/>
                <w:szCs w:val="18"/>
                <w:lang w:val="en-AU"/>
              </w:rPr>
            </w:pPr>
            <w:r w:rsidRPr="001E5E40">
              <w:rPr>
                <w:sz w:val="17"/>
                <w:szCs w:val="17"/>
              </w:rPr>
              <w:t>[redacted]</w:t>
            </w:r>
          </w:p>
        </w:tc>
        <w:tc>
          <w:tcPr>
            <w:tcW w:w="545" w:type="pct"/>
          </w:tcPr>
          <w:p w14:paraId="40E5BD7C" w14:textId="709ED607" w:rsidR="00E13A81" w:rsidRPr="005F62F4" w:rsidRDefault="00E13A81" w:rsidP="00E13A81">
            <w:pPr>
              <w:pStyle w:val="TableTextRight"/>
              <w:rPr>
                <w:rFonts w:cstheme="minorHAnsi"/>
                <w:bCs/>
                <w:szCs w:val="18"/>
                <w:lang w:val="en-AU"/>
              </w:rPr>
            </w:pPr>
            <w:r w:rsidRPr="001E5E40">
              <w:rPr>
                <w:sz w:val="17"/>
                <w:szCs w:val="17"/>
              </w:rPr>
              <w:t>[redacted]</w:t>
            </w:r>
          </w:p>
        </w:tc>
      </w:tr>
      <w:tr w:rsidR="00E13A81" w:rsidRPr="005F62F4" w14:paraId="0322EE5F" w14:textId="294F1027" w:rsidTr="00E13A81">
        <w:trPr>
          <w:cnfStyle w:val="000000010000" w:firstRow="0" w:lastRow="0" w:firstColumn="0" w:lastColumn="0" w:oddVBand="0" w:evenVBand="0" w:oddHBand="0" w:evenHBand="1" w:firstRowFirstColumn="0" w:firstRowLastColumn="0" w:lastRowFirstColumn="0" w:lastRowLastColumn="0"/>
          <w:trHeight w:val="170"/>
        </w:trPr>
        <w:tc>
          <w:tcPr>
            <w:tcW w:w="640" w:type="pct"/>
          </w:tcPr>
          <w:p w14:paraId="249739A9" w14:textId="17838272" w:rsidR="00E13A81" w:rsidRPr="005F62F4" w:rsidRDefault="00E13A81" w:rsidP="00E13A81">
            <w:pPr>
              <w:pStyle w:val="TableText"/>
              <w:rPr>
                <w:rFonts w:cstheme="minorHAnsi"/>
                <w:bCs/>
                <w:szCs w:val="18"/>
              </w:rPr>
            </w:pPr>
            <w:r w:rsidRPr="001E5E40">
              <w:rPr>
                <w:sz w:val="17"/>
                <w:szCs w:val="17"/>
              </w:rPr>
              <w:t>[redacted]</w:t>
            </w:r>
          </w:p>
        </w:tc>
        <w:tc>
          <w:tcPr>
            <w:tcW w:w="545" w:type="pct"/>
          </w:tcPr>
          <w:p w14:paraId="57B56760" w14:textId="6A17EFEE" w:rsidR="00E13A81" w:rsidRPr="005F62F4" w:rsidRDefault="00E13A81" w:rsidP="00E13A81">
            <w:pPr>
              <w:pStyle w:val="TableTextRight"/>
              <w:rPr>
                <w:rFonts w:cstheme="minorHAnsi"/>
                <w:bCs/>
                <w:szCs w:val="18"/>
                <w:lang w:val="en-AU"/>
              </w:rPr>
            </w:pPr>
            <w:r w:rsidRPr="001E5E40">
              <w:rPr>
                <w:sz w:val="17"/>
                <w:szCs w:val="17"/>
              </w:rPr>
              <w:t>[redacted]</w:t>
            </w:r>
          </w:p>
        </w:tc>
        <w:tc>
          <w:tcPr>
            <w:tcW w:w="545" w:type="pct"/>
          </w:tcPr>
          <w:p w14:paraId="54DF4654" w14:textId="79C468AD" w:rsidR="00E13A81" w:rsidRPr="005F62F4" w:rsidRDefault="00E13A81" w:rsidP="00E13A81">
            <w:pPr>
              <w:pStyle w:val="TableTextRight"/>
              <w:rPr>
                <w:rFonts w:cstheme="minorHAnsi"/>
                <w:bCs/>
                <w:szCs w:val="18"/>
                <w:lang w:val="en-AU"/>
              </w:rPr>
            </w:pPr>
            <w:r w:rsidRPr="001E5E40">
              <w:rPr>
                <w:sz w:val="17"/>
                <w:szCs w:val="17"/>
              </w:rPr>
              <w:t>[redacted]</w:t>
            </w:r>
          </w:p>
        </w:tc>
        <w:tc>
          <w:tcPr>
            <w:tcW w:w="545" w:type="pct"/>
          </w:tcPr>
          <w:p w14:paraId="30AC766B" w14:textId="6FD7EE13" w:rsidR="00E13A81" w:rsidRPr="005F62F4" w:rsidRDefault="00E13A81" w:rsidP="00E13A81">
            <w:pPr>
              <w:pStyle w:val="TableTextRight"/>
              <w:rPr>
                <w:rFonts w:cstheme="minorHAnsi"/>
                <w:bCs/>
                <w:szCs w:val="18"/>
                <w:lang w:val="en-AU"/>
              </w:rPr>
            </w:pPr>
            <w:r w:rsidRPr="001E5E40">
              <w:rPr>
                <w:sz w:val="17"/>
                <w:szCs w:val="17"/>
              </w:rPr>
              <w:t>[redacted]</w:t>
            </w:r>
          </w:p>
        </w:tc>
        <w:tc>
          <w:tcPr>
            <w:tcW w:w="545" w:type="pct"/>
          </w:tcPr>
          <w:p w14:paraId="588BC190" w14:textId="16B8D706" w:rsidR="00E13A81" w:rsidRPr="005F62F4" w:rsidRDefault="00E13A81" w:rsidP="00E13A81">
            <w:pPr>
              <w:pStyle w:val="TableTextRight"/>
              <w:rPr>
                <w:rFonts w:cstheme="minorHAnsi"/>
                <w:bCs/>
                <w:szCs w:val="18"/>
                <w:lang w:val="en-AU"/>
              </w:rPr>
            </w:pPr>
            <w:r w:rsidRPr="001E5E40">
              <w:rPr>
                <w:sz w:val="17"/>
                <w:szCs w:val="17"/>
              </w:rPr>
              <w:t>[redacted]</w:t>
            </w:r>
          </w:p>
        </w:tc>
        <w:tc>
          <w:tcPr>
            <w:tcW w:w="545" w:type="pct"/>
          </w:tcPr>
          <w:p w14:paraId="048DA1DC" w14:textId="3F98C60C" w:rsidR="00E13A81" w:rsidRPr="005F62F4" w:rsidRDefault="00E13A81" w:rsidP="00E13A81">
            <w:pPr>
              <w:pStyle w:val="TableTextRight"/>
              <w:rPr>
                <w:rFonts w:cstheme="minorHAnsi"/>
                <w:bCs/>
                <w:szCs w:val="18"/>
                <w:lang w:val="en-AU"/>
              </w:rPr>
            </w:pPr>
            <w:r w:rsidRPr="001E5E40">
              <w:rPr>
                <w:sz w:val="17"/>
                <w:szCs w:val="17"/>
              </w:rPr>
              <w:t>[redacted]</w:t>
            </w:r>
          </w:p>
        </w:tc>
        <w:tc>
          <w:tcPr>
            <w:tcW w:w="545" w:type="pct"/>
          </w:tcPr>
          <w:p w14:paraId="488721A7" w14:textId="0F9C5529" w:rsidR="00E13A81" w:rsidRPr="005F62F4" w:rsidRDefault="00E13A81" w:rsidP="00E13A81">
            <w:pPr>
              <w:pStyle w:val="TableTextRight"/>
              <w:rPr>
                <w:rFonts w:cstheme="minorHAnsi"/>
                <w:bCs/>
                <w:szCs w:val="18"/>
                <w:lang w:val="en-AU"/>
              </w:rPr>
            </w:pPr>
            <w:r w:rsidRPr="001E5E40">
              <w:rPr>
                <w:sz w:val="17"/>
                <w:szCs w:val="17"/>
              </w:rPr>
              <w:t>[redacted]</w:t>
            </w:r>
          </w:p>
        </w:tc>
        <w:tc>
          <w:tcPr>
            <w:tcW w:w="545" w:type="pct"/>
          </w:tcPr>
          <w:p w14:paraId="158A62D4" w14:textId="535B3081" w:rsidR="00E13A81" w:rsidRPr="005F62F4" w:rsidRDefault="00E13A81" w:rsidP="00E13A81">
            <w:pPr>
              <w:pStyle w:val="TableTextRight"/>
              <w:rPr>
                <w:rFonts w:cstheme="minorHAnsi"/>
                <w:bCs/>
                <w:szCs w:val="18"/>
                <w:lang w:val="en-AU"/>
              </w:rPr>
            </w:pPr>
            <w:r w:rsidRPr="001E5E40">
              <w:rPr>
                <w:sz w:val="17"/>
                <w:szCs w:val="17"/>
              </w:rPr>
              <w:t>[redacted]</w:t>
            </w:r>
          </w:p>
        </w:tc>
        <w:tc>
          <w:tcPr>
            <w:tcW w:w="545" w:type="pct"/>
          </w:tcPr>
          <w:p w14:paraId="592B8082" w14:textId="5205AD71" w:rsidR="00E13A81" w:rsidRPr="005F62F4" w:rsidRDefault="00E13A81" w:rsidP="00E13A81">
            <w:pPr>
              <w:pStyle w:val="TableTextRight"/>
              <w:rPr>
                <w:rFonts w:cstheme="minorHAnsi"/>
                <w:bCs/>
                <w:szCs w:val="18"/>
                <w:lang w:val="en-AU"/>
              </w:rPr>
            </w:pPr>
            <w:r w:rsidRPr="001E5E40">
              <w:rPr>
                <w:sz w:val="17"/>
                <w:szCs w:val="17"/>
              </w:rPr>
              <w:t>[redacted]</w:t>
            </w:r>
          </w:p>
        </w:tc>
      </w:tr>
      <w:tr w:rsidR="00E13A81" w:rsidRPr="005F62F4" w14:paraId="3E42B2A1" w14:textId="0F4811A9" w:rsidTr="00E13A81">
        <w:trPr>
          <w:trHeight w:val="170"/>
        </w:trPr>
        <w:tc>
          <w:tcPr>
            <w:tcW w:w="640" w:type="pct"/>
          </w:tcPr>
          <w:p w14:paraId="6E1F58CC" w14:textId="7675ADEE" w:rsidR="00E13A81" w:rsidRPr="005F62F4" w:rsidRDefault="00E13A81" w:rsidP="00E13A81">
            <w:pPr>
              <w:pStyle w:val="TableText"/>
              <w:rPr>
                <w:rFonts w:cstheme="minorHAnsi"/>
                <w:bCs/>
                <w:szCs w:val="18"/>
              </w:rPr>
            </w:pPr>
            <w:r w:rsidRPr="001E5E40">
              <w:rPr>
                <w:sz w:val="17"/>
                <w:szCs w:val="17"/>
              </w:rPr>
              <w:t>[redacted]</w:t>
            </w:r>
          </w:p>
        </w:tc>
        <w:tc>
          <w:tcPr>
            <w:tcW w:w="545" w:type="pct"/>
          </w:tcPr>
          <w:p w14:paraId="0B1FFE4A" w14:textId="77777777" w:rsidR="00E13A81" w:rsidRPr="005F62F4" w:rsidRDefault="00E13A81" w:rsidP="00E13A81">
            <w:pPr>
              <w:pStyle w:val="TableTextRight"/>
              <w:rPr>
                <w:rFonts w:cstheme="minorHAnsi"/>
                <w:bCs/>
                <w:szCs w:val="18"/>
                <w:lang w:val="en-AU"/>
              </w:rPr>
            </w:pPr>
          </w:p>
        </w:tc>
        <w:tc>
          <w:tcPr>
            <w:tcW w:w="545" w:type="pct"/>
          </w:tcPr>
          <w:p w14:paraId="677C9240" w14:textId="2246A476" w:rsidR="00E13A81" w:rsidRPr="005F62F4" w:rsidRDefault="00E13A81" w:rsidP="00E13A81">
            <w:pPr>
              <w:pStyle w:val="TableTextRight"/>
              <w:rPr>
                <w:rFonts w:cstheme="minorHAnsi"/>
                <w:bCs/>
                <w:szCs w:val="18"/>
                <w:lang w:val="en-AU"/>
              </w:rPr>
            </w:pPr>
          </w:p>
        </w:tc>
        <w:tc>
          <w:tcPr>
            <w:tcW w:w="545" w:type="pct"/>
          </w:tcPr>
          <w:p w14:paraId="576BA162" w14:textId="6651B43E" w:rsidR="00E13A81" w:rsidRPr="005F62F4" w:rsidRDefault="00E13A81" w:rsidP="00E13A81">
            <w:pPr>
              <w:pStyle w:val="TableTextRight"/>
              <w:rPr>
                <w:rFonts w:cstheme="minorHAnsi"/>
                <w:bCs/>
                <w:szCs w:val="18"/>
                <w:lang w:val="en-AU"/>
              </w:rPr>
            </w:pPr>
          </w:p>
        </w:tc>
        <w:tc>
          <w:tcPr>
            <w:tcW w:w="545" w:type="pct"/>
          </w:tcPr>
          <w:p w14:paraId="439E8359" w14:textId="5541C692" w:rsidR="00E13A81" w:rsidRPr="005F62F4" w:rsidRDefault="00E13A81" w:rsidP="00E13A81">
            <w:pPr>
              <w:pStyle w:val="TableTextRight"/>
              <w:rPr>
                <w:rFonts w:cstheme="minorHAnsi"/>
                <w:bCs/>
                <w:szCs w:val="18"/>
                <w:lang w:val="en-AU"/>
              </w:rPr>
            </w:pPr>
          </w:p>
        </w:tc>
        <w:tc>
          <w:tcPr>
            <w:tcW w:w="545" w:type="pct"/>
          </w:tcPr>
          <w:p w14:paraId="3321B3D7" w14:textId="64E3ADDD" w:rsidR="00E13A81" w:rsidRPr="005F62F4" w:rsidRDefault="00E13A81" w:rsidP="00E13A81">
            <w:pPr>
              <w:pStyle w:val="TableTextRight"/>
              <w:rPr>
                <w:rFonts w:cstheme="minorHAnsi"/>
                <w:bCs/>
                <w:color w:val="000000"/>
                <w:szCs w:val="18"/>
                <w:lang w:val="en-AU"/>
              </w:rPr>
            </w:pPr>
          </w:p>
        </w:tc>
        <w:tc>
          <w:tcPr>
            <w:tcW w:w="545" w:type="pct"/>
          </w:tcPr>
          <w:p w14:paraId="2EFD1606" w14:textId="00F57DB1" w:rsidR="00E13A81" w:rsidRPr="005F62F4" w:rsidRDefault="00E13A81" w:rsidP="00E13A81">
            <w:pPr>
              <w:pStyle w:val="TableTextRight"/>
              <w:rPr>
                <w:rFonts w:cstheme="minorHAnsi"/>
                <w:bCs/>
                <w:color w:val="000000"/>
                <w:szCs w:val="18"/>
                <w:lang w:val="en-AU"/>
              </w:rPr>
            </w:pPr>
          </w:p>
        </w:tc>
        <w:tc>
          <w:tcPr>
            <w:tcW w:w="545" w:type="pct"/>
          </w:tcPr>
          <w:p w14:paraId="3C44F5BD" w14:textId="50FC9B59" w:rsidR="00E13A81" w:rsidRPr="005F62F4" w:rsidRDefault="00E13A81" w:rsidP="00E13A81">
            <w:pPr>
              <w:pStyle w:val="TableTextRight"/>
              <w:rPr>
                <w:rFonts w:cstheme="minorHAnsi"/>
                <w:bCs/>
                <w:color w:val="000000"/>
                <w:szCs w:val="18"/>
                <w:lang w:val="en-AU"/>
              </w:rPr>
            </w:pPr>
            <w:r w:rsidRPr="00992EDC">
              <w:rPr>
                <w:sz w:val="17"/>
                <w:szCs w:val="17"/>
              </w:rPr>
              <w:t>[redacted]</w:t>
            </w:r>
          </w:p>
        </w:tc>
        <w:tc>
          <w:tcPr>
            <w:tcW w:w="545" w:type="pct"/>
          </w:tcPr>
          <w:p w14:paraId="5ADA4CD2" w14:textId="11B1FEB1" w:rsidR="00E13A81" w:rsidRPr="005F62F4" w:rsidRDefault="00E13A81" w:rsidP="00E13A81">
            <w:pPr>
              <w:pStyle w:val="TableTextRight"/>
              <w:rPr>
                <w:rFonts w:cstheme="minorHAnsi"/>
                <w:bCs/>
                <w:color w:val="000000"/>
                <w:szCs w:val="18"/>
                <w:lang w:val="en-AU"/>
              </w:rPr>
            </w:pPr>
            <w:r w:rsidRPr="00992EDC">
              <w:rPr>
                <w:sz w:val="17"/>
                <w:szCs w:val="17"/>
              </w:rPr>
              <w:t>[redacted]</w:t>
            </w:r>
          </w:p>
        </w:tc>
      </w:tr>
      <w:tr w:rsidR="00E13A81" w:rsidRPr="005F62F4" w14:paraId="745FD1DA" w14:textId="1407CA7B" w:rsidTr="00E13A81">
        <w:trPr>
          <w:cnfStyle w:val="000000010000" w:firstRow="0" w:lastRow="0" w:firstColumn="0" w:lastColumn="0" w:oddVBand="0" w:evenVBand="0" w:oddHBand="0" w:evenHBand="1" w:firstRowFirstColumn="0" w:firstRowLastColumn="0" w:lastRowFirstColumn="0" w:lastRowLastColumn="0"/>
          <w:trHeight w:val="170"/>
        </w:trPr>
        <w:tc>
          <w:tcPr>
            <w:tcW w:w="640" w:type="pct"/>
          </w:tcPr>
          <w:p w14:paraId="1FCBAB26" w14:textId="2A98693B" w:rsidR="00E13A81" w:rsidRPr="005F62F4" w:rsidRDefault="00E13A81" w:rsidP="00E13A81">
            <w:pPr>
              <w:pStyle w:val="TableText"/>
              <w:rPr>
                <w:rFonts w:cstheme="minorHAnsi"/>
                <w:bCs/>
                <w:szCs w:val="18"/>
              </w:rPr>
            </w:pPr>
            <w:r w:rsidRPr="001E5E40">
              <w:rPr>
                <w:sz w:val="17"/>
                <w:szCs w:val="17"/>
              </w:rPr>
              <w:t>[redacted]</w:t>
            </w:r>
          </w:p>
        </w:tc>
        <w:tc>
          <w:tcPr>
            <w:tcW w:w="545" w:type="pct"/>
          </w:tcPr>
          <w:p w14:paraId="072301A9" w14:textId="77777777" w:rsidR="00E13A81" w:rsidRPr="005F62F4" w:rsidRDefault="00E13A81" w:rsidP="00E13A81">
            <w:pPr>
              <w:pStyle w:val="TableTextRight"/>
              <w:rPr>
                <w:rFonts w:cstheme="minorHAnsi"/>
                <w:bCs/>
                <w:szCs w:val="18"/>
                <w:lang w:val="en-AU"/>
              </w:rPr>
            </w:pPr>
          </w:p>
        </w:tc>
        <w:tc>
          <w:tcPr>
            <w:tcW w:w="545" w:type="pct"/>
          </w:tcPr>
          <w:p w14:paraId="14EC1A55" w14:textId="0E6300D1" w:rsidR="00E13A81" w:rsidRPr="005F62F4" w:rsidRDefault="00E13A81" w:rsidP="00E13A81">
            <w:pPr>
              <w:pStyle w:val="TableTextRight"/>
              <w:rPr>
                <w:rFonts w:cstheme="minorHAnsi"/>
                <w:bCs/>
                <w:szCs w:val="18"/>
                <w:lang w:val="en-AU"/>
              </w:rPr>
            </w:pPr>
          </w:p>
        </w:tc>
        <w:tc>
          <w:tcPr>
            <w:tcW w:w="545" w:type="pct"/>
          </w:tcPr>
          <w:p w14:paraId="5DF7947D" w14:textId="1D88D9E3" w:rsidR="00E13A81" w:rsidRPr="005F62F4" w:rsidRDefault="00E13A81" w:rsidP="00E13A81">
            <w:pPr>
              <w:pStyle w:val="TableTextRight"/>
              <w:rPr>
                <w:rFonts w:cstheme="minorHAnsi"/>
                <w:bCs/>
                <w:szCs w:val="18"/>
                <w:lang w:val="en-AU"/>
              </w:rPr>
            </w:pPr>
            <w:r w:rsidRPr="001E5E40">
              <w:rPr>
                <w:sz w:val="17"/>
                <w:szCs w:val="17"/>
              </w:rPr>
              <w:t>[redacted]</w:t>
            </w:r>
          </w:p>
        </w:tc>
        <w:tc>
          <w:tcPr>
            <w:tcW w:w="545" w:type="pct"/>
          </w:tcPr>
          <w:p w14:paraId="6371906B" w14:textId="58317013" w:rsidR="00E13A81" w:rsidRPr="005F62F4" w:rsidRDefault="00E13A81" w:rsidP="00E13A81">
            <w:pPr>
              <w:pStyle w:val="TableTextRight"/>
              <w:rPr>
                <w:rFonts w:cstheme="minorHAnsi"/>
                <w:bCs/>
                <w:szCs w:val="18"/>
                <w:lang w:val="en-AU"/>
              </w:rPr>
            </w:pPr>
            <w:r w:rsidRPr="00CE77A2">
              <w:rPr>
                <w:sz w:val="17"/>
                <w:szCs w:val="17"/>
              </w:rPr>
              <w:t>[redacted]</w:t>
            </w:r>
          </w:p>
        </w:tc>
        <w:tc>
          <w:tcPr>
            <w:tcW w:w="545" w:type="pct"/>
          </w:tcPr>
          <w:p w14:paraId="16BE3AE1" w14:textId="12EC6325" w:rsidR="00E13A81" w:rsidRPr="005F62F4" w:rsidRDefault="00E13A81" w:rsidP="00E13A81">
            <w:pPr>
              <w:pStyle w:val="TableTextRight"/>
              <w:rPr>
                <w:rFonts w:cstheme="minorHAnsi"/>
                <w:bCs/>
                <w:color w:val="000000"/>
                <w:szCs w:val="18"/>
                <w:lang w:val="en-AU"/>
              </w:rPr>
            </w:pPr>
            <w:r w:rsidRPr="00CE77A2">
              <w:rPr>
                <w:sz w:val="17"/>
                <w:szCs w:val="17"/>
              </w:rPr>
              <w:t>[redacted]</w:t>
            </w:r>
          </w:p>
        </w:tc>
        <w:tc>
          <w:tcPr>
            <w:tcW w:w="545" w:type="pct"/>
          </w:tcPr>
          <w:p w14:paraId="1AE593B2" w14:textId="735B0B26" w:rsidR="00E13A81" w:rsidRPr="005F62F4" w:rsidRDefault="00E13A81" w:rsidP="00E13A81">
            <w:pPr>
              <w:pStyle w:val="TableTextRight"/>
              <w:rPr>
                <w:rFonts w:cstheme="minorHAnsi"/>
                <w:bCs/>
                <w:color w:val="000000"/>
                <w:szCs w:val="18"/>
                <w:lang w:val="en-AU"/>
              </w:rPr>
            </w:pPr>
            <w:r w:rsidRPr="001E5E40">
              <w:rPr>
                <w:sz w:val="17"/>
                <w:szCs w:val="17"/>
              </w:rPr>
              <w:t>[redacted]</w:t>
            </w:r>
          </w:p>
        </w:tc>
        <w:tc>
          <w:tcPr>
            <w:tcW w:w="545" w:type="pct"/>
          </w:tcPr>
          <w:p w14:paraId="7DE32257" w14:textId="33718769" w:rsidR="00E13A81" w:rsidRPr="005F62F4" w:rsidRDefault="00E13A81" w:rsidP="00E13A81">
            <w:pPr>
              <w:pStyle w:val="TableTextRight"/>
              <w:rPr>
                <w:rFonts w:cstheme="minorHAnsi"/>
                <w:bCs/>
                <w:color w:val="000000"/>
                <w:szCs w:val="18"/>
                <w:lang w:val="en-AU"/>
              </w:rPr>
            </w:pPr>
            <w:r w:rsidRPr="001E5E40">
              <w:rPr>
                <w:sz w:val="17"/>
                <w:szCs w:val="17"/>
              </w:rPr>
              <w:t>[redacted]</w:t>
            </w:r>
          </w:p>
        </w:tc>
        <w:tc>
          <w:tcPr>
            <w:tcW w:w="545" w:type="pct"/>
          </w:tcPr>
          <w:p w14:paraId="09EF86A3" w14:textId="1CE5FEBC" w:rsidR="00E13A81" w:rsidRPr="005F62F4" w:rsidRDefault="00E13A81" w:rsidP="00E13A81">
            <w:pPr>
              <w:pStyle w:val="TableTextRight"/>
              <w:rPr>
                <w:rFonts w:cstheme="minorHAnsi"/>
                <w:bCs/>
                <w:color w:val="000000"/>
                <w:szCs w:val="18"/>
                <w:lang w:val="en-AU"/>
              </w:rPr>
            </w:pPr>
            <w:r w:rsidRPr="001E5E40">
              <w:rPr>
                <w:sz w:val="17"/>
                <w:szCs w:val="17"/>
              </w:rPr>
              <w:t>[redacted]</w:t>
            </w:r>
          </w:p>
        </w:tc>
      </w:tr>
      <w:tr w:rsidR="00E13A81" w:rsidRPr="005F62F4" w14:paraId="63297128" w14:textId="6DBC2F17" w:rsidTr="00E13A81">
        <w:trPr>
          <w:trHeight w:val="170"/>
        </w:trPr>
        <w:tc>
          <w:tcPr>
            <w:tcW w:w="640" w:type="pct"/>
          </w:tcPr>
          <w:p w14:paraId="1B028F42" w14:textId="15A6A9BD" w:rsidR="00E13A81" w:rsidRPr="005F62F4" w:rsidRDefault="00E13A81" w:rsidP="00E13A81">
            <w:pPr>
              <w:pStyle w:val="TableText"/>
              <w:rPr>
                <w:rFonts w:cstheme="minorHAnsi"/>
                <w:bCs/>
                <w:szCs w:val="18"/>
              </w:rPr>
            </w:pPr>
            <w:r w:rsidRPr="001E5E40">
              <w:rPr>
                <w:sz w:val="17"/>
                <w:szCs w:val="17"/>
              </w:rPr>
              <w:t>[redacted]</w:t>
            </w:r>
          </w:p>
        </w:tc>
        <w:tc>
          <w:tcPr>
            <w:tcW w:w="545" w:type="pct"/>
          </w:tcPr>
          <w:p w14:paraId="480E1856" w14:textId="77777777" w:rsidR="00E13A81" w:rsidRPr="005F62F4" w:rsidRDefault="00E13A81" w:rsidP="00E13A81">
            <w:pPr>
              <w:pStyle w:val="TableTextRight"/>
              <w:rPr>
                <w:rFonts w:cstheme="minorHAnsi"/>
                <w:bCs/>
                <w:color w:val="000000"/>
                <w:szCs w:val="18"/>
                <w:lang w:val="en-AU"/>
              </w:rPr>
            </w:pPr>
          </w:p>
        </w:tc>
        <w:tc>
          <w:tcPr>
            <w:tcW w:w="545" w:type="pct"/>
          </w:tcPr>
          <w:p w14:paraId="51A67C3A" w14:textId="79122478" w:rsidR="00E13A81" w:rsidRPr="005F62F4" w:rsidRDefault="00E13A81" w:rsidP="00E13A81">
            <w:pPr>
              <w:pStyle w:val="TableTextRight"/>
              <w:rPr>
                <w:rFonts w:cstheme="minorHAnsi"/>
                <w:bCs/>
                <w:color w:val="000000"/>
                <w:szCs w:val="18"/>
                <w:lang w:val="en-AU"/>
              </w:rPr>
            </w:pPr>
          </w:p>
        </w:tc>
        <w:tc>
          <w:tcPr>
            <w:tcW w:w="545" w:type="pct"/>
          </w:tcPr>
          <w:p w14:paraId="302FEE04" w14:textId="0CD139E3" w:rsidR="00E13A81" w:rsidRPr="005F62F4" w:rsidRDefault="00E13A81" w:rsidP="00E13A81">
            <w:pPr>
              <w:pStyle w:val="TableTextRight"/>
              <w:rPr>
                <w:rFonts w:cstheme="minorHAnsi"/>
                <w:bCs/>
                <w:color w:val="000000"/>
                <w:szCs w:val="18"/>
                <w:lang w:val="en-AU"/>
              </w:rPr>
            </w:pPr>
          </w:p>
        </w:tc>
        <w:tc>
          <w:tcPr>
            <w:tcW w:w="545" w:type="pct"/>
          </w:tcPr>
          <w:p w14:paraId="4C3EA294" w14:textId="4D03CED2" w:rsidR="00E13A81" w:rsidRPr="005F62F4" w:rsidRDefault="00E13A81" w:rsidP="00E13A81">
            <w:pPr>
              <w:pStyle w:val="TableTextRight"/>
              <w:rPr>
                <w:rFonts w:cstheme="minorHAnsi"/>
                <w:bCs/>
                <w:color w:val="000000"/>
                <w:szCs w:val="18"/>
                <w:lang w:val="en-AU"/>
              </w:rPr>
            </w:pPr>
            <w:r w:rsidRPr="001E5E40">
              <w:rPr>
                <w:sz w:val="17"/>
                <w:szCs w:val="17"/>
              </w:rPr>
              <w:t>[redacted]</w:t>
            </w:r>
          </w:p>
        </w:tc>
        <w:tc>
          <w:tcPr>
            <w:tcW w:w="545" w:type="pct"/>
          </w:tcPr>
          <w:p w14:paraId="19EFEC2C" w14:textId="692E0F91" w:rsidR="00E13A81" w:rsidRPr="005F62F4" w:rsidRDefault="00E13A81" w:rsidP="00E13A81">
            <w:pPr>
              <w:pStyle w:val="TableTextRight"/>
              <w:rPr>
                <w:rFonts w:cstheme="minorHAnsi"/>
                <w:bCs/>
                <w:color w:val="000000"/>
                <w:szCs w:val="18"/>
                <w:lang w:val="en-AU"/>
              </w:rPr>
            </w:pPr>
            <w:r w:rsidRPr="001E5E40">
              <w:rPr>
                <w:sz w:val="17"/>
                <w:szCs w:val="17"/>
              </w:rPr>
              <w:t>[redacted]</w:t>
            </w:r>
          </w:p>
        </w:tc>
        <w:tc>
          <w:tcPr>
            <w:tcW w:w="545" w:type="pct"/>
          </w:tcPr>
          <w:p w14:paraId="244416BF" w14:textId="0BECAF70" w:rsidR="00E13A81" w:rsidRPr="005F62F4" w:rsidRDefault="00E13A81" w:rsidP="00E13A81">
            <w:pPr>
              <w:pStyle w:val="TableTextRight"/>
              <w:rPr>
                <w:rFonts w:cstheme="minorHAnsi"/>
                <w:bCs/>
                <w:color w:val="000000"/>
                <w:szCs w:val="18"/>
                <w:lang w:val="en-AU"/>
              </w:rPr>
            </w:pPr>
            <w:r w:rsidRPr="001E5E40">
              <w:rPr>
                <w:sz w:val="17"/>
                <w:szCs w:val="17"/>
              </w:rPr>
              <w:t>[redacted]</w:t>
            </w:r>
          </w:p>
        </w:tc>
        <w:tc>
          <w:tcPr>
            <w:tcW w:w="545" w:type="pct"/>
          </w:tcPr>
          <w:p w14:paraId="6B63A190" w14:textId="00CC2957" w:rsidR="00E13A81" w:rsidRPr="005F62F4" w:rsidRDefault="00E13A81" w:rsidP="00E13A81">
            <w:pPr>
              <w:pStyle w:val="TableTextRight"/>
              <w:rPr>
                <w:rFonts w:cstheme="minorHAnsi"/>
                <w:bCs/>
                <w:color w:val="000000"/>
                <w:szCs w:val="18"/>
                <w:lang w:val="en-AU"/>
              </w:rPr>
            </w:pPr>
            <w:r w:rsidRPr="001E5E40">
              <w:rPr>
                <w:sz w:val="17"/>
                <w:szCs w:val="17"/>
              </w:rPr>
              <w:t>[redacted]</w:t>
            </w:r>
          </w:p>
        </w:tc>
        <w:tc>
          <w:tcPr>
            <w:tcW w:w="545" w:type="pct"/>
          </w:tcPr>
          <w:p w14:paraId="67677658" w14:textId="343751C4" w:rsidR="00E13A81" w:rsidRPr="005F62F4" w:rsidRDefault="00E13A81" w:rsidP="00E13A81">
            <w:pPr>
              <w:pStyle w:val="TableTextRight"/>
              <w:rPr>
                <w:rFonts w:cstheme="minorHAnsi"/>
                <w:bCs/>
                <w:color w:val="000000"/>
                <w:szCs w:val="18"/>
                <w:lang w:val="en-AU"/>
              </w:rPr>
            </w:pPr>
            <w:r w:rsidRPr="001E5E40">
              <w:rPr>
                <w:sz w:val="17"/>
                <w:szCs w:val="17"/>
              </w:rPr>
              <w:t>[redacted]</w:t>
            </w:r>
          </w:p>
        </w:tc>
      </w:tr>
      <w:tr w:rsidR="00E13A81" w:rsidRPr="005F62F4" w14:paraId="795ED0A9" w14:textId="66E3F63B" w:rsidTr="00E13A81">
        <w:trPr>
          <w:cnfStyle w:val="000000010000" w:firstRow="0" w:lastRow="0" w:firstColumn="0" w:lastColumn="0" w:oddVBand="0" w:evenVBand="0" w:oddHBand="0" w:evenHBand="1" w:firstRowFirstColumn="0" w:firstRowLastColumn="0" w:lastRowFirstColumn="0" w:lastRowLastColumn="0"/>
          <w:trHeight w:val="170"/>
        </w:trPr>
        <w:tc>
          <w:tcPr>
            <w:tcW w:w="640" w:type="pct"/>
          </w:tcPr>
          <w:p w14:paraId="47E6E838" w14:textId="350666A6" w:rsidR="00E13A81" w:rsidRPr="005F62F4" w:rsidRDefault="00E13A81" w:rsidP="00E13A81">
            <w:pPr>
              <w:pStyle w:val="TableText"/>
              <w:rPr>
                <w:rFonts w:cstheme="minorHAnsi"/>
                <w:bCs/>
                <w:szCs w:val="18"/>
              </w:rPr>
            </w:pPr>
            <w:r w:rsidRPr="001E5E40">
              <w:rPr>
                <w:sz w:val="17"/>
                <w:szCs w:val="17"/>
              </w:rPr>
              <w:t>[redacted]</w:t>
            </w:r>
          </w:p>
        </w:tc>
        <w:tc>
          <w:tcPr>
            <w:tcW w:w="545" w:type="pct"/>
          </w:tcPr>
          <w:p w14:paraId="12968084" w14:textId="77777777" w:rsidR="00E13A81" w:rsidRPr="005F62F4" w:rsidRDefault="00E13A81" w:rsidP="00E13A81">
            <w:pPr>
              <w:pStyle w:val="TableTextRight"/>
              <w:rPr>
                <w:rFonts w:cstheme="minorHAnsi"/>
                <w:bCs/>
                <w:color w:val="000000"/>
                <w:szCs w:val="18"/>
                <w:lang w:val="en-AU"/>
              </w:rPr>
            </w:pPr>
          </w:p>
        </w:tc>
        <w:tc>
          <w:tcPr>
            <w:tcW w:w="545" w:type="pct"/>
          </w:tcPr>
          <w:p w14:paraId="35D6B599" w14:textId="36310B97" w:rsidR="00E13A81" w:rsidRPr="005F62F4" w:rsidRDefault="00E13A81" w:rsidP="00E13A81">
            <w:pPr>
              <w:pStyle w:val="TableTextRight"/>
              <w:rPr>
                <w:rFonts w:cstheme="minorHAnsi"/>
                <w:bCs/>
                <w:color w:val="000000"/>
                <w:szCs w:val="18"/>
                <w:lang w:val="en-AU"/>
              </w:rPr>
            </w:pPr>
          </w:p>
        </w:tc>
        <w:tc>
          <w:tcPr>
            <w:tcW w:w="545" w:type="pct"/>
          </w:tcPr>
          <w:p w14:paraId="68866BCC" w14:textId="2AFC8DC0" w:rsidR="00E13A81" w:rsidRPr="005F62F4" w:rsidRDefault="00E13A81" w:rsidP="00E13A81">
            <w:pPr>
              <w:pStyle w:val="TableTextRight"/>
              <w:rPr>
                <w:rFonts w:cstheme="minorHAnsi"/>
                <w:bCs/>
                <w:color w:val="000000"/>
                <w:szCs w:val="18"/>
                <w:lang w:val="en-AU"/>
              </w:rPr>
            </w:pPr>
          </w:p>
        </w:tc>
        <w:tc>
          <w:tcPr>
            <w:tcW w:w="545" w:type="pct"/>
          </w:tcPr>
          <w:p w14:paraId="00677A46" w14:textId="060D9168" w:rsidR="00E13A81" w:rsidRPr="005F62F4" w:rsidRDefault="00E13A81" w:rsidP="00E13A81">
            <w:pPr>
              <w:pStyle w:val="TableTextRight"/>
              <w:rPr>
                <w:rFonts w:cstheme="minorHAnsi"/>
                <w:bCs/>
                <w:color w:val="000000"/>
                <w:szCs w:val="18"/>
                <w:lang w:val="en-AU"/>
              </w:rPr>
            </w:pPr>
            <w:r w:rsidRPr="001E5E40">
              <w:rPr>
                <w:sz w:val="17"/>
                <w:szCs w:val="17"/>
              </w:rPr>
              <w:t>[redacted]</w:t>
            </w:r>
          </w:p>
        </w:tc>
        <w:tc>
          <w:tcPr>
            <w:tcW w:w="545" w:type="pct"/>
          </w:tcPr>
          <w:p w14:paraId="1CCA7F50" w14:textId="648B2F15" w:rsidR="00E13A81" w:rsidRPr="005F62F4" w:rsidRDefault="00E13A81" w:rsidP="00E13A81">
            <w:pPr>
              <w:pStyle w:val="TableTextRight"/>
              <w:rPr>
                <w:rFonts w:cstheme="minorHAnsi"/>
                <w:bCs/>
                <w:color w:val="000000"/>
                <w:szCs w:val="18"/>
                <w:lang w:val="en-AU"/>
              </w:rPr>
            </w:pPr>
            <w:r w:rsidRPr="001E5E40">
              <w:rPr>
                <w:sz w:val="17"/>
                <w:szCs w:val="17"/>
              </w:rPr>
              <w:t>[redacted]</w:t>
            </w:r>
          </w:p>
        </w:tc>
        <w:tc>
          <w:tcPr>
            <w:tcW w:w="545" w:type="pct"/>
          </w:tcPr>
          <w:p w14:paraId="1F82D62A" w14:textId="1FED8FC2" w:rsidR="00E13A81" w:rsidRPr="005F62F4" w:rsidRDefault="00E13A81" w:rsidP="00E13A81">
            <w:pPr>
              <w:pStyle w:val="TableTextRight"/>
              <w:rPr>
                <w:rFonts w:cstheme="minorHAnsi"/>
                <w:bCs/>
                <w:color w:val="000000"/>
                <w:szCs w:val="18"/>
                <w:lang w:val="en-AU"/>
              </w:rPr>
            </w:pPr>
            <w:r w:rsidRPr="001E5E40">
              <w:rPr>
                <w:sz w:val="17"/>
                <w:szCs w:val="17"/>
              </w:rPr>
              <w:t>[redacted]</w:t>
            </w:r>
          </w:p>
        </w:tc>
        <w:tc>
          <w:tcPr>
            <w:tcW w:w="545" w:type="pct"/>
          </w:tcPr>
          <w:p w14:paraId="695BBC14" w14:textId="53DC217B" w:rsidR="00E13A81" w:rsidRPr="005F62F4" w:rsidRDefault="00E13A81" w:rsidP="00E13A81">
            <w:pPr>
              <w:pStyle w:val="TableTextRight"/>
              <w:rPr>
                <w:rFonts w:cstheme="minorHAnsi"/>
                <w:bCs/>
                <w:color w:val="000000"/>
                <w:szCs w:val="18"/>
                <w:lang w:val="en-AU"/>
              </w:rPr>
            </w:pPr>
            <w:r w:rsidRPr="001E5E40">
              <w:rPr>
                <w:sz w:val="17"/>
                <w:szCs w:val="17"/>
              </w:rPr>
              <w:t>[redacted]</w:t>
            </w:r>
          </w:p>
        </w:tc>
        <w:tc>
          <w:tcPr>
            <w:tcW w:w="545" w:type="pct"/>
          </w:tcPr>
          <w:p w14:paraId="526A199D" w14:textId="177D5F0B" w:rsidR="00E13A81" w:rsidRPr="005F62F4" w:rsidRDefault="00E13A81" w:rsidP="00E13A81">
            <w:pPr>
              <w:pStyle w:val="TableTextRight"/>
              <w:rPr>
                <w:rFonts w:cstheme="minorHAnsi"/>
                <w:bCs/>
                <w:color w:val="000000"/>
                <w:szCs w:val="18"/>
                <w:lang w:val="en-AU"/>
              </w:rPr>
            </w:pPr>
            <w:r w:rsidRPr="001E5E40">
              <w:rPr>
                <w:sz w:val="17"/>
                <w:szCs w:val="17"/>
              </w:rPr>
              <w:t>[redacted]</w:t>
            </w:r>
          </w:p>
        </w:tc>
      </w:tr>
      <w:tr w:rsidR="00E13A81" w:rsidRPr="005F62F4" w14:paraId="0AB4442B" w14:textId="740373F2" w:rsidTr="00E13A81">
        <w:trPr>
          <w:trHeight w:val="170"/>
        </w:trPr>
        <w:tc>
          <w:tcPr>
            <w:tcW w:w="640" w:type="pct"/>
          </w:tcPr>
          <w:p w14:paraId="4577E791" w14:textId="07945B29" w:rsidR="00E13A81" w:rsidRPr="005F62F4" w:rsidRDefault="00E13A81" w:rsidP="00E13A81">
            <w:pPr>
              <w:pStyle w:val="TableText"/>
              <w:rPr>
                <w:rFonts w:cstheme="minorHAnsi"/>
                <w:bCs/>
                <w:szCs w:val="18"/>
              </w:rPr>
            </w:pPr>
            <w:r w:rsidRPr="001E5E40">
              <w:rPr>
                <w:sz w:val="17"/>
                <w:szCs w:val="17"/>
              </w:rPr>
              <w:t>[redacted]</w:t>
            </w:r>
          </w:p>
        </w:tc>
        <w:tc>
          <w:tcPr>
            <w:tcW w:w="545" w:type="pct"/>
          </w:tcPr>
          <w:p w14:paraId="7290D5AB" w14:textId="77777777" w:rsidR="00E13A81" w:rsidRPr="005F62F4" w:rsidRDefault="00E13A81" w:rsidP="00E13A81">
            <w:pPr>
              <w:pStyle w:val="TableTextRight"/>
              <w:rPr>
                <w:rFonts w:cstheme="minorHAnsi"/>
                <w:bCs/>
                <w:szCs w:val="18"/>
                <w:lang w:val="en-AU"/>
              </w:rPr>
            </w:pPr>
          </w:p>
        </w:tc>
        <w:tc>
          <w:tcPr>
            <w:tcW w:w="545" w:type="pct"/>
          </w:tcPr>
          <w:p w14:paraId="74D701A7" w14:textId="14072E88" w:rsidR="00E13A81" w:rsidRPr="005F62F4" w:rsidRDefault="00E13A81" w:rsidP="00E13A81">
            <w:pPr>
              <w:pStyle w:val="TableTextRight"/>
              <w:rPr>
                <w:rFonts w:cstheme="minorHAnsi"/>
                <w:bCs/>
                <w:szCs w:val="18"/>
                <w:lang w:val="en-AU"/>
              </w:rPr>
            </w:pPr>
          </w:p>
        </w:tc>
        <w:tc>
          <w:tcPr>
            <w:tcW w:w="545" w:type="pct"/>
          </w:tcPr>
          <w:p w14:paraId="7103E1DD" w14:textId="50D41FDB" w:rsidR="00E13A81" w:rsidRPr="005F62F4" w:rsidRDefault="00E13A81" w:rsidP="00E13A81">
            <w:pPr>
              <w:pStyle w:val="TableTextRight"/>
              <w:rPr>
                <w:rFonts w:cstheme="minorHAnsi"/>
                <w:bCs/>
                <w:szCs w:val="18"/>
                <w:lang w:val="en-AU"/>
              </w:rPr>
            </w:pPr>
          </w:p>
        </w:tc>
        <w:tc>
          <w:tcPr>
            <w:tcW w:w="545" w:type="pct"/>
          </w:tcPr>
          <w:p w14:paraId="23FB8F67" w14:textId="3A0BC7FC" w:rsidR="00E13A81" w:rsidRPr="005F62F4" w:rsidRDefault="00E13A81" w:rsidP="00E13A81">
            <w:pPr>
              <w:pStyle w:val="TableTextRight"/>
              <w:rPr>
                <w:rFonts w:cstheme="minorHAnsi"/>
                <w:bCs/>
                <w:szCs w:val="18"/>
                <w:lang w:val="en-AU"/>
              </w:rPr>
            </w:pPr>
          </w:p>
        </w:tc>
        <w:tc>
          <w:tcPr>
            <w:tcW w:w="545" w:type="pct"/>
          </w:tcPr>
          <w:p w14:paraId="04B92136" w14:textId="58B338E1" w:rsidR="00E13A81" w:rsidRPr="005F62F4" w:rsidRDefault="00E13A81" w:rsidP="00E13A81">
            <w:pPr>
              <w:pStyle w:val="TableTextRight"/>
              <w:rPr>
                <w:rFonts w:cstheme="minorHAnsi"/>
                <w:bCs/>
                <w:szCs w:val="18"/>
                <w:lang w:val="en-AU"/>
              </w:rPr>
            </w:pPr>
            <w:r w:rsidRPr="001E5E40">
              <w:rPr>
                <w:sz w:val="17"/>
                <w:szCs w:val="17"/>
              </w:rPr>
              <w:t>[redacted]</w:t>
            </w:r>
          </w:p>
        </w:tc>
        <w:tc>
          <w:tcPr>
            <w:tcW w:w="545" w:type="pct"/>
          </w:tcPr>
          <w:p w14:paraId="4D3BD056" w14:textId="70ED2D56" w:rsidR="00E13A81" w:rsidRPr="005F62F4" w:rsidRDefault="00E13A81" w:rsidP="00E13A81">
            <w:pPr>
              <w:pStyle w:val="TableTextRight"/>
              <w:rPr>
                <w:rFonts w:cstheme="minorHAnsi"/>
                <w:bCs/>
                <w:szCs w:val="18"/>
                <w:lang w:val="en-AU"/>
              </w:rPr>
            </w:pPr>
            <w:r w:rsidRPr="001E5E40">
              <w:rPr>
                <w:sz w:val="17"/>
                <w:szCs w:val="17"/>
              </w:rPr>
              <w:t>[redacted]</w:t>
            </w:r>
          </w:p>
        </w:tc>
        <w:tc>
          <w:tcPr>
            <w:tcW w:w="545" w:type="pct"/>
          </w:tcPr>
          <w:p w14:paraId="74F994CB" w14:textId="1F10DC8C" w:rsidR="00E13A81" w:rsidRPr="005F62F4" w:rsidRDefault="00E13A81" w:rsidP="00E13A81">
            <w:pPr>
              <w:pStyle w:val="TableTextRight"/>
              <w:rPr>
                <w:rFonts w:cstheme="minorHAnsi"/>
                <w:bCs/>
                <w:szCs w:val="18"/>
                <w:lang w:val="en-AU"/>
              </w:rPr>
            </w:pPr>
            <w:r w:rsidRPr="001E5E40">
              <w:rPr>
                <w:sz w:val="17"/>
                <w:szCs w:val="17"/>
              </w:rPr>
              <w:t>[redacted]</w:t>
            </w:r>
          </w:p>
        </w:tc>
        <w:tc>
          <w:tcPr>
            <w:tcW w:w="545" w:type="pct"/>
          </w:tcPr>
          <w:p w14:paraId="438409C5" w14:textId="73F4A2D4" w:rsidR="00E13A81" w:rsidRPr="005F62F4" w:rsidRDefault="00E13A81" w:rsidP="00E13A81">
            <w:pPr>
              <w:pStyle w:val="TableTextRight"/>
              <w:keepNext/>
              <w:rPr>
                <w:rFonts w:cstheme="minorHAnsi"/>
                <w:bCs/>
                <w:szCs w:val="18"/>
                <w:lang w:val="en-AU"/>
              </w:rPr>
            </w:pPr>
            <w:r w:rsidRPr="001E5E40">
              <w:rPr>
                <w:sz w:val="17"/>
                <w:szCs w:val="17"/>
              </w:rPr>
              <w:t>[redacted]</w:t>
            </w:r>
          </w:p>
        </w:tc>
      </w:tr>
    </w:tbl>
    <w:p w14:paraId="2803F787" w14:textId="59C8EE32" w:rsidR="00064557" w:rsidRPr="005F62F4" w:rsidRDefault="00064557" w:rsidP="00AF4D9B">
      <w:pPr>
        <w:pStyle w:val="Para"/>
      </w:pPr>
      <w:bookmarkStart w:id="215" w:name="_Ref119871868"/>
      <w:bookmarkStart w:id="216" w:name="_Toc129954656"/>
      <w:r w:rsidRPr="005F62F4">
        <w:t xml:space="preserve">Table </w:t>
      </w:r>
      <w:r w:rsidRPr="005F62F4">
        <w:fldChar w:fldCharType="begin"/>
      </w:r>
      <w:r w:rsidRPr="005F62F4">
        <w:instrText>SEQ Table \* ARABIC</w:instrText>
      </w:r>
      <w:r w:rsidRPr="005F62F4">
        <w:fldChar w:fldCharType="separate"/>
      </w:r>
      <w:r w:rsidR="005606BF">
        <w:rPr>
          <w:noProof/>
        </w:rPr>
        <w:t>19</w:t>
      </w:r>
      <w:r w:rsidRPr="005F62F4">
        <w:fldChar w:fldCharType="end"/>
      </w:r>
      <w:bookmarkEnd w:id="215"/>
      <w:r w:rsidRPr="005F62F4">
        <w:t>: Surgical guide benefits paid by sponsor, by financial year</w:t>
      </w:r>
      <w:bookmarkEnd w:id="216"/>
    </w:p>
    <w:tbl>
      <w:tblPr>
        <w:tblStyle w:val="SGB"/>
        <w:tblW w:w="5010" w:type="pct"/>
        <w:tblLook w:val="0420" w:firstRow="1" w:lastRow="0" w:firstColumn="0" w:lastColumn="0" w:noHBand="0" w:noVBand="1"/>
      </w:tblPr>
      <w:tblGrid>
        <w:gridCol w:w="1190"/>
        <w:gridCol w:w="1020"/>
        <w:gridCol w:w="1020"/>
        <w:gridCol w:w="1020"/>
        <w:gridCol w:w="1020"/>
        <w:gridCol w:w="1020"/>
        <w:gridCol w:w="1020"/>
        <w:gridCol w:w="1020"/>
        <w:gridCol w:w="1021"/>
      </w:tblGrid>
      <w:tr w:rsidR="00A50DD2" w:rsidRPr="005F62F4" w14:paraId="3B53B475" w14:textId="77777777" w:rsidTr="003F1523">
        <w:trPr>
          <w:cnfStyle w:val="100000000000" w:firstRow="1" w:lastRow="0" w:firstColumn="0" w:lastColumn="0" w:oddVBand="0" w:evenVBand="0" w:oddHBand="0" w:evenHBand="0" w:firstRowFirstColumn="0" w:firstRowLastColumn="0" w:lastRowFirstColumn="0" w:lastRowLastColumn="0"/>
          <w:trHeight w:val="411"/>
        </w:trPr>
        <w:tc>
          <w:tcPr>
            <w:tcW w:w="636" w:type="pct"/>
          </w:tcPr>
          <w:p w14:paraId="0AE12DD1" w14:textId="536E4551" w:rsidR="00A50DD2" w:rsidRPr="005F62F4" w:rsidRDefault="00A50DD2" w:rsidP="00A50DD2">
            <w:pPr>
              <w:pStyle w:val="TableText"/>
              <w:rPr>
                <w:szCs w:val="18"/>
              </w:rPr>
            </w:pPr>
            <w:bookmarkStart w:id="217" w:name="Title_21" w:colFirst="0" w:colLast="0"/>
            <w:bookmarkStart w:id="218" w:name="_Hlk119824553"/>
            <w:r w:rsidRPr="005F62F4">
              <w:rPr>
                <w:szCs w:val="18"/>
              </w:rPr>
              <w:t>Sponsor</w:t>
            </w:r>
          </w:p>
        </w:tc>
        <w:tc>
          <w:tcPr>
            <w:tcW w:w="545" w:type="pct"/>
          </w:tcPr>
          <w:p w14:paraId="7BA75C73" w14:textId="2E018528" w:rsidR="00A50DD2" w:rsidRPr="005F62F4" w:rsidRDefault="00A50DD2" w:rsidP="0053204F">
            <w:pPr>
              <w:pStyle w:val="TableTextRight"/>
              <w:rPr>
                <w:szCs w:val="18"/>
                <w:lang w:val="en-AU"/>
              </w:rPr>
            </w:pPr>
            <w:r w:rsidRPr="005F62F4">
              <w:rPr>
                <w:szCs w:val="18"/>
                <w:lang w:val="en-AU"/>
              </w:rPr>
              <w:t>2013</w:t>
            </w:r>
            <w:r w:rsidRPr="005F62F4">
              <w:rPr>
                <w:szCs w:val="18"/>
                <w:lang w:val="en-AU" w:eastAsia="en-AU"/>
              </w:rPr>
              <w:t>–</w:t>
            </w:r>
            <w:r w:rsidRPr="005F62F4">
              <w:rPr>
                <w:szCs w:val="18"/>
                <w:lang w:val="en-AU"/>
              </w:rPr>
              <w:t>14</w:t>
            </w:r>
          </w:p>
        </w:tc>
        <w:tc>
          <w:tcPr>
            <w:tcW w:w="545" w:type="pct"/>
          </w:tcPr>
          <w:p w14:paraId="5E92AA73" w14:textId="32A5DE61" w:rsidR="00A50DD2" w:rsidRPr="005F62F4" w:rsidRDefault="00A50DD2" w:rsidP="0053204F">
            <w:pPr>
              <w:pStyle w:val="TableTextRight"/>
              <w:rPr>
                <w:szCs w:val="18"/>
                <w:lang w:val="en-AU"/>
              </w:rPr>
            </w:pPr>
            <w:r w:rsidRPr="005F62F4">
              <w:rPr>
                <w:szCs w:val="18"/>
                <w:lang w:val="en-AU"/>
              </w:rPr>
              <w:t>2014</w:t>
            </w:r>
            <w:r w:rsidRPr="005F62F4">
              <w:rPr>
                <w:szCs w:val="18"/>
                <w:lang w:val="en-AU" w:eastAsia="en-AU"/>
              </w:rPr>
              <w:t>–</w:t>
            </w:r>
            <w:r w:rsidRPr="005F62F4">
              <w:rPr>
                <w:szCs w:val="18"/>
                <w:lang w:val="en-AU"/>
              </w:rPr>
              <w:t>15</w:t>
            </w:r>
          </w:p>
        </w:tc>
        <w:tc>
          <w:tcPr>
            <w:tcW w:w="545" w:type="pct"/>
          </w:tcPr>
          <w:p w14:paraId="3BA1F597" w14:textId="5F129EBB" w:rsidR="00A50DD2" w:rsidRPr="005F62F4" w:rsidRDefault="00A50DD2" w:rsidP="0053204F">
            <w:pPr>
              <w:pStyle w:val="TableTextRight"/>
              <w:rPr>
                <w:szCs w:val="18"/>
                <w:lang w:val="en-AU"/>
              </w:rPr>
            </w:pPr>
            <w:r w:rsidRPr="005F62F4">
              <w:rPr>
                <w:szCs w:val="18"/>
                <w:lang w:val="en-AU"/>
              </w:rPr>
              <w:t>2015</w:t>
            </w:r>
            <w:r w:rsidRPr="005F62F4">
              <w:rPr>
                <w:szCs w:val="18"/>
                <w:lang w:val="en-AU" w:eastAsia="en-AU"/>
              </w:rPr>
              <w:t>–</w:t>
            </w:r>
            <w:r w:rsidRPr="005F62F4">
              <w:rPr>
                <w:szCs w:val="18"/>
                <w:lang w:val="en-AU"/>
              </w:rPr>
              <w:t>16</w:t>
            </w:r>
          </w:p>
        </w:tc>
        <w:tc>
          <w:tcPr>
            <w:tcW w:w="545" w:type="pct"/>
          </w:tcPr>
          <w:p w14:paraId="4F576657" w14:textId="5210BB34" w:rsidR="00A50DD2" w:rsidRPr="005F62F4" w:rsidRDefault="00A50DD2" w:rsidP="0053204F">
            <w:pPr>
              <w:pStyle w:val="TableTextRight"/>
              <w:rPr>
                <w:szCs w:val="18"/>
                <w:lang w:val="en-AU"/>
              </w:rPr>
            </w:pPr>
            <w:r w:rsidRPr="005F62F4">
              <w:rPr>
                <w:szCs w:val="18"/>
                <w:lang w:val="en-AU"/>
              </w:rPr>
              <w:t>2016</w:t>
            </w:r>
            <w:r w:rsidRPr="005F62F4">
              <w:rPr>
                <w:szCs w:val="18"/>
                <w:lang w:val="en-AU" w:eastAsia="en-AU"/>
              </w:rPr>
              <w:t>–</w:t>
            </w:r>
            <w:r w:rsidRPr="005F62F4">
              <w:rPr>
                <w:szCs w:val="18"/>
                <w:lang w:val="en-AU"/>
              </w:rPr>
              <w:t>17</w:t>
            </w:r>
          </w:p>
        </w:tc>
        <w:tc>
          <w:tcPr>
            <w:tcW w:w="545" w:type="pct"/>
          </w:tcPr>
          <w:p w14:paraId="66FDF231" w14:textId="4F7A46E2" w:rsidR="00A50DD2" w:rsidRPr="005F62F4" w:rsidRDefault="00A50DD2" w:rsidP="0053204F">
            <w:pPr>
              <w:pStyle w:val="TableTextRight"/>
              <w:rPr>
                <w:szCs w:val="18"/>
                <w:lang w:val="en-AU"/>
              </w:rPr>
            </w:pPr>
            <w:r w:rsidRPr="005F62F4">
              <w:rPr>
                <w:szCs w:val="18"/>
                <w:lang w:val="en-AU"/>
              </w:rPr>
              <w:t>2017</w:t>
            </w:r>
            <w:r w:rsidRPr="005F62F4">
              <w:rPr>
                <w:szCs w:val="18"/>
                <w:lang w:val="en-AU" w:eastAsia="en-AU"/>
              </w:rPr>
              <w:t>–</w:t>
            </w:r>
            <w:r w:rsidRPr="005F62F4">
              <w:rPr>
                <w:szCs w:val="18"/>
                <w:lang w:val="en-AU"/>
              </w:rPr>
              <w:t>18</w:t>
            </w:r>
          </w:p>
        </w:tc>
        <w:tc>
          <w:tcPr>
            <w:tcW w:w="545" w:type="pct"/>
          </w:tcPr>
          <w:p w14:paraId="374132CB" w14:textId="50392946" w:rsidR="00A50DD2" w:rsidRPr="005F62F4" w:rsidRDefault="00A50DD2" w:rsidP="0053204F">
            <w:pPr>
              <w:pStyle w:val="TableTextRight"/>
              <w:rPr>
                <w:szCs w:val="18"/>
                <w:lang w:val="en-AU"/>
              </w:rPr>
            </w:pPr>
            <w:r w:rsidRPr="005F62F4">
              <w:rPr>
                <w:szCs w:val="18"/>
                <w:lang w:val="en-AU"/>
              </w:rPr>
              <w:t>2018</w:t>
            </w:r>
            <w:r w:rsidRPr="005F62F4">
              <w:rPr>
                <w:szCs w:val="18"/>
                <w:lang w:val="en-AU" w:eastAsia="en-AU"/>
              </w:rPr>
              <w:t>–</w:t>
            </w:r>
            <w:r w:rsidRPr="005F62F4">
              <w:rPr>
                <w:szCs w:val="18"/>
                <w:lang w:val="en-AU"/>
              </w:rPr>
              <w:t>19</w:t>
            </w:r>
          </w:p>
        </w:tc>
        <w:tc>
          <w:tcPr>
            <w:tcW w:w="545" w:type="pct"/>
          </w:tcPr>
          <w:p w14:paraId="5B466C49" w14:textId="338D531D" w:rsidR="00A50DD2" w:rsidRPr="005F62F4" w:rsidRDefault="00A50DD2" w:rsidP="0053204F">
            <w:pPr>
              <w:pStyle w:val="TableTextRight"/>
              <w:rPr>
                <w:szCs w:val="18"/>
                <w:lang w:val="en-AU"/>
              </w:rPr>
            </w:pPr>
            <w:r w:rsidRPr="005F62F4">
              <w:rPr>
                <w:szCs w:val="18"/>
                <w:lang w:val="en-AU"/>
              </w:rPr>
              <w:t>2019</w:t>
            </w:r>
            <w:r w:rsidRPr="005F62F4">
              <w:rPr>
                <w:szCs w:val="18"/>
                <w:lang w:val="en-AU" w:eastAsia="en-AU"/>
              </w:rPr>
              <w:t>–</w:t>
            </w:r>
            <w:r w:rsidRPr="005F62F4">
              <w:rPr>
                <w:szCs w:val="18"/>
                <w:lang w:val="en-AU"/>
              </w:rPr>
              <w:t>20</w:t>
            </w:r>
          </w:p>
        </w:tc>
        <w:tc>
          <w:tcPr>
            <w:tcW w:w="546" w:type="pct"/>
          </w:tcPr>
          <w:p w14:paraId="37B524DB" w14:textId="3B59C5AB" w:rsidR="00A50DD2" w:rsidRPr="005F62F4" w:rsidRDefault="00A50DD2" w:rsidP="0053204F">
            <w:pPr>
              <w:pStyle w:val="TableTextRight"/>
              <w:rPr>
                <w:szCs w:val="18"/>
                <w:lang w:val="en-AU"/>
              </w:rPr>
            </w:pPr>
            <w:r w:rsidRPr="005F62F4">
              <w:rPr>
                <w:szCs w:val="18"/>
                <w:lang w:val="en-AU"/>
              </w:rPr>
              <w:t>2020</w:t>
            </w:r>
            <w:r w:rsidRPr="005F62F4">
              <w:rPr>
                <w:szCs w:val="18"/>
                <w:lang w:val="en-AU" w:eastAsia="en-AU"/>
              </w:rPr>
              <w:t>–</w:t>
            </w:r>
            <w:r w:rsidRPr="005F62F4">
              <w:rPr>
                <w:szCs w:val="18"/>
                <w:lang w:val="en-AU"/>
              </w:rPr>
              <w:t>21</w:t>
            </w:r>
          </w:p>
        </w:tc>
      </w:tr>
      <w:bookmarkEnd w:id="217"/>
      <w:tr w:rsidR="001E0BD0" w:rsidRPr="005F62F4" w14:paraId="673E2AFA" w14:textId="77777777" w:rsidTr="003F1523">
        <w:trPr>
          <w:trHeight w:val="170"/>
        </w:trPr>
        <w:tc>
          <w:tcPr>
            <w:tcW w:w="636" w:type="pct"/>
          </w:tcPr>
          <w:p w14:paraId="153ED09C" w14:textId="0ACA63C6" w:rsidR="001E0BD0" w:rsidRPr="005F62F4" w:rsidRDefault="001E0BD0" w:rsidP="001E0BD0">
            <w:pPr>
              <w:pStyle w:val="Tabletextkeep"/>
              <w:rPr>
                <w:bCs/>
              </w:rPr>
            </w:pPr>
            <w:r w:rsidRPr="001E5E40">
              <w:rPr>
                <w:sz w:val="17"/>
                <w:szCs w:val="17"/>
              </w:rPr>
              <w:t>[redacted]</w:t>
            </w:r>
          </w:p>
        </w:tc>
        <w:tc>
          <w:tcPr>
            <w:tcW w:w="545" w:type="pct"/>
          </w:tcPr>
          <w:p w14:paraId="25D5BDED" w14:textId="4A227398" w:rsidR="001E0BD0" w:rsidRPr="005F62F4" w:rsidRDefault="001E0BD0" w:rsidP="001E0BD0">
            <w:pPr>
              <w:pStyle w:val="TableTextRight"/>
              <w:rPr>
                <w:rFonts w:cstheme="minorHAnsi"/>
                <w:szCs w:val="18"/>
                <w:lang w:val="en-AU"/>
              </w:rPr>
            </w:pPr>
            <w:r w:rsidRPr="001E5E40">
              <w:rPr>
                <w:sz w:val="17"/>
                <w:szCs w:val="17"/>
              </w:rPr>
              <w:t>[redacted]</w:t>
            </w:r>
          </w:p>
        </w:tc>
        <w:tc>
          <w:tcPr>
            <w:tcW w:w="545" w:type="pct"/>
          </w:tcPr>
          <w:p w14:paraId="13E3EAFE" w14:textId="2F7594AB" w:rsidR="001E0BD0" w:rsidRPr="005F62F4" w:rsidRDefault="001E0BD0" w:rsidP="001E0BD0">
            <w:pPr>
              <w:pStyle w:val="TableTextRight"/>
              <w:rPr>
                <w:rFonts w:cstheme="minorHAnsi"/>
                <w:szCs w:val="18"/>
                <w:lang w:val="en-AU"/>
              </w:rPr>
            </w:pPr>
            <w:r w:rsidRPr="001E5E40">
              <w:rPr>
                <w:sz w:val="17"/>
                <w:szCs w:val="17"/>
              </w:rPr>
              <w:t>[redacted]</w:t>
            </w:r>
          </w:p>
        </w:tc>
        <w:tc>
          <w:tcPr>
            <w:tcW w:w="545" w:type="pct"/>
          </w:tcPr>
          <w:p w14:paraId="29BAC719" w14:textId="2AF640B5" w:rsidR="001E0BD0" w:rsidRPr="005F62F4" w:rsidRDefault="001E0BD0" w:rsidP="001E0BD0">
            <w:pPr>
              <w:pStyle w:val="TableTextRight"/>
              <w:rPr>
                <w:rFonts w:cstheme="minorHAnsi"/>
                <w:szCs w:val="18"/>
                <w:lang w:val="en-AU"/>
              </w:rPr>
            </w:pPr>
            <w:r w:rsidRPr="001E5E40">
              <w:rPr>
                <w:sz w:val="17"/>
                <w:szCs w:val="17"/>
              </w:rPr>
              <w:t>[redacted]</w:t>
            </w:r>
          </w:p>
        </w:tc>
        <w:tc>
          <w:tcPr>
            <w:tcW w:w="545" w:type="pct"/>
          </w:tcPr>
          <w:p w14:paraId="7D74E617" w14:textId="2B88A3D2" w:rsidR="001E0BD0" w:rsidRPr="005F62F4" w:rsidRDefault="001E0BD0" w:rsidP="001E0BD0">
            <w:pPr>
              <w:pStyle w:val="TableTextRight"/>
              <w:rPr>
                <w:rFonts w:cstheme="minorHAnsi"/>
                <w:szCs w:val="18"/>
                <w:lang w:val="en-AU"/>
              </w:rPr>
            </w:pPr>
            <w:r w:rsidRPr="001E5E40">
              <w:rPr>
                <w:sz w:val="17"/>
                <w:szCs w:val="17"/>
              </w:rPr>
              <w:t>[redacted]</w:t>
            </w:r>
          </w:p>
        </w:tc>
        <w:tc>
          <w:tcPr>
            <w:tcW w:w="545" w:type="pct"/>
          </w:tcPr>
          <w:p w14:paraId="08AC02A9" w14:textId="38B77704" w:rsidR="001E0BD0" w:rsidRPr="005F62F4" w:rsidRDefault="001E0BD0" w:rsidP="001E0BD0">
            <w:pPr>
              <w:pStyle w:val="TableTextRight"/>
              <w:rPr>
                <w:rFonts w:cstheme="minorHAnsi"/>
                <w:szCs w:val="18"/>
                <w:lang w:val="en-AU"/>
              </w:rPr>
            </w:pPr>
            <w:r w:rsidRPr="001E5E40">
              <w:rPr>
                <w:sz w:val="17"/>
                <w:szCs w:val="17"/>
              </w:rPr>
              <w:t>[redacted]</w:t>
            </w:r>
          </w:p>
        </w:tc>
        <w:tc>
          <w:tcPr>
            <w:tcW w:w="545" w:type="pct"/>
          </w:tcPr>
          <w:p w14:paraId="49EEBC13" w14:textId="3172EABD" w:rsidR="001E0BD0" w:rsidRPr="005F62F4" w:rsidRDefault="001E0BD0" w:rsidP="001E0BD0">
            <w:pPr>
              <w:pStyle w:val="TableTextRight"/>
              <w:rPr>
                <w:rFonts w:cstheme="minorHAnsi"/>
                <w:szCs w:val="18"/>
                <w:lang w:val="en-AU"/>
              </w:rPr>
            </w:pPr>
            <w:r w:rsidRPr="001E5E40">
              <w:rPr>
                <w:sz w:val="17"/>
                <w:szCs w:val="17"/>
              </w:rPr>
              <w:t>[redacted]</w:t>
            </w:r>
          </w:p>
        </w:tc>
        <w:tc>
          <w:tcPr>
            <w:tcW w:w="545" w:type="pct"/>
          </w:tcPr>
          <w:p w14:paraId="66B204F5" w14:textId="549601CF" w:rsidR="001E0BD0" w:rsidRPr="005F62F4" w:rsidRDefault="001E0BD0" w:rsidP="001E0BD0">
            <w:pPr>
              <w:pStyle w:val="TableTextRight"/>
              <w:rPr>
                <w:rFonts w:cstheme="minorHAnsi"/>
                <w:szCs w:val="18"/>
                <w:lang w:val="en-AU"/>
              </w:rPr>
            </w:pPr>
            <w:r w:rsidRPr="001E5E40">
              <w:rPr>
                <w:sz w:val="17"/>
                <w:szCs w:val="17"/>
              </w:rPr>
              <w:t>[redacted]</w:t>
            </w:r>
          </w:p>
        </w:tc>
        <w:tc>
          <w:tcPr>
            <w:tcW w:w="546" w:type="pct"/>
          </w:tcPr>
          <w:p w14:paraId="567525F6" w14:textId="6861F1D9" w:rsidR="001E0BD0" w:rsidRPr="005F62F4" w:rsidRDefault="001E0BD0" w:rsidP="001E0BD0">
            <w:pPr>
              <w:pStyle w:val="TableTextRight"/>
              <w:rPr>
                <w:rFonts w:cstheme="minorHAnsi"/>
                <w:bCs/>
                <w:szCs w:val="18"/>
                <w:lang w:val="en-AU"/>
              </w:rPr>
            </w:pPr>
            <w:r w:rsidRPr="001E5E40">
              <w:rPr>
                <w:sz w:val="17"/>
                <w:szCs w:val="17"/>
              </w:rPr>
              <w:t>[redacted]</w:t>
            </w:r>
          </w:p>
        </w:tc>
      </w:tr>
      <w:tr w:rsidR="001E0BD0" w:rsidRPr="005F62F4" w14:paraId="28D3AC0B" w14:textId="77777777" w:rsidTr="003F1523">
        <w:trPr>
          <w:cnfStyle w:val="000000010000" w:firstRow="0" w:lastRow="0" w:firstColumn="0" w:lastColumn="0" w:oddVBand="0" w:evenVBand="0" w:oddHBand="0" w:evenHBand="1" w:firstRowFirstColumn="0" w:firstRowLastColumn="0" w:lastRowFirstColumn="0" w:lastRowLastColumn="0"/>
          <w:trHeight w:val="170"/>
        </w:trPr>
        <w:tc>
          <w:tcPr>
            <w:tcW w:w="636" w:type="pct"/>
          </w:tcPr>
          <w:p w14:paraId="5703A624" w14:textId="074E664A" w:rsidR="001E0BD0" w:rsidRPr="005F62F4" w:rsidRDefault="001E0BD0" w:rsidP="001E0BD0">
            <w:pPr>
              <w:pStyle w:val="Tabletextkeep"/>
              <w:rPr>
                <w:bCs/>
              </w:rPr>
            </w:pPr>
            <w:r w:rsidRPr="001E5E40">
              <w:rPr>
                <w:sz w:val="17"/>
                <w:szCs w:val="17"/>
              </w:rPr>
              <w:t>[redacted]</w:t>
            </w:r>
          </w:p>
        </w:tc>
        <w:tc>
          <w:tcPr>
            <w:tcW w:w="545" w:type="pct"/>
          </w:tcPr>
          <w:p w14:paraId="42098D71" w14:textId="762AF6F6" w:rsidR="001E0BD0" w:rsidRPr="005F62F4" w:rsidRDefault="001E0BD0" w:rsidP="001E0BD0">
            <w:pPr>
              <w:pStyle w:val="TableTextRight"/>
              <w:rPr>
                <w:rFonts w:cstheme="minorHAnsi"/>
                <w:szCs w:val="18"/>
                <w:lang w:val="en-AU"/>
              </w:rPr>
            </w:pPr>
          </w:p>
        </w:tc>
        <w:tc>
          <w:tcPr>
            <w:tcW w:w="545" w:type="pct"/>
          </w:tcPr>
          <w:p w14:paraId="03840424" w14:textId="4C5BBB3D" w:rsidR="001E0BD0" w:rsidRPr="005F62F4" w:rsidRDefault="001E0BD0" w:rsidP="001E0BD0">
            <w:pPr>
              <w:pStyle w:val="TableTextRight"/>
              <w:rPr>
                <w:rFonts w:cstheme="minorHAnsi"/>
                <w:szCs w:val="18"/>
                <w:lang w:val="en-AU"/>
              </w:rPr>
            </w:pPr>
          </w:p>
        </w:tc>
        <w:tc>
          <w:tcPr>
            <w:tcW w:w="545" w:type="pct"/>
          </w:tcPr>
          <w:p w14:paraId="7A9F959E" w14:textId="335E8687" w:rsidR="001E0BD0" w:rsidRPr="005F62F4" w:rsidRDefault="001E0BD0" w:rsidP="001E0BD0">
            <w:pPr>
              <w:pStyle w:val="TableTextRight"/>
              <w:rPr>
                <w:rFonts w:cstheme="minorHAnsi"/>
                <w:szCs w:val="18"/>
                <w:lang w:val="en-AU"/>
              </w:rPr>
            </w:pPr>
          </w:p>
        </w:tc>
        <w:tc>
          <w:tcPr>
            <w:tcW w:w="545" w:type="pct"/>
          </w:tcPr>
          <w:p w14:paraId="573BC59C" w14:textId="71E9DA09" w:rsidR="001E0BD0" w:rsidRPr="005F62F4" w:rsidRDefault="001E0BD0" w:rsidP="001E0BD0">
            <w:pPr>
              <w:pStyle w:val="TableTextRight"/>
              <w:rPr>
                <w:rFonts w:cstheme="minorHAnsi"/>
                <w:szCs w:val="18"/>
                <w:lang w:val="en-AU"/>
              </w:rPr>
            </w:pPr>
          </w:p>
        </w:tc>
        <w:tc>
          <w:tcPr>
            <w:tcW w:w="545" w:type="pct"/>
          </w:tcPr>
          <w:p w14:paraId="2B18CB36" w14:textId="6B420935" w:rsidR="001E0BD0" w:rsidRPr="005F62F4" w:rsidRDefault="001E0BD0" w:rsidP="001E0BD0">
            <w:pPr>
              <w:pStyle w:val="TableTextRight"/>
              <w:rPr>
                <w:rFonts w:cstheme="minorHAnsi"/>
                <w:szCs w:val="18"/>
                <w:lang w:val="en-AU"/>
              </w:rPr>
            </w:pPr>
            <w:r w:rsidRPr="001E5E40">
              <w:rPr>
                <w:sz w:val="17"/>
                <w:szCs w:val="17"/>
              </w:rPr>
              <w:t>[redacted]</w:t>
            </w:r>
          </w:p>
        </w:tc>
        <w:tc>
          <w:tcPr>
            <w:tcW w:w="545" w:type="pct"/>
          </w:tcPr>
          <w:p w14:paraId="7138B2C7" w14:textId="3B4320BB" w:rsidR="001E0BD0" w:rsidRPr="005F62F4" w:rsidRDefault="001E0BD0" w:rsidP="001E0BD0">
            <w:pPr>
              <w:pStyle w:val="TableTextRight"/>
              <w:rPr>
                <w:rFonts w:cstheme="minorHAnsi"/>
                <w:szCs w:val="18"/>
                <w:lang w:val="en-AU"/>
              </w:rPr>
            </w:pPr>
            <w:r w:rsidRPr="001E5E40">
              <w:rPr>
                <w:sz w:val="17"/>
                <w:szCs w:val="17"/>
              </w:rPr>
              <w:t>[redacted]</w:t>
            </w:r>
          </w:p>
        </w:tc>
        <w:tc>
          <w:tcPr>
            <w:tcW w:w="545" w:type="pct"/>
          </w:tcPr>
          <w:p w14:paraId="272F662B" w14:textId="025D2A7E" w:rsidR="001E0BD0" w:rsidRPr="005F62F4" w:rsidRDefault="001E0BD0" w:rsidP="001E0BD0">
            <w:pPr>
              <w:pStyle w:val="TableTextRight"/>
              <w:rPr>
                <w:rFonts w:cstheme="minorHAnsi"/>
                <w:szCs w:val="18"/>
                <w:lang w:val="en-AU"/>
              </w:rPr>
            </w:pPr>
            <w:r w:rsidRPr="001E5E40">
              <w:rPr>
                <w:sz w:val="17"/>
                <w:szCs w:val="17"/>
              </w:rPr>
              <w:t>[redacted]</w:t>
            </w:r>
          </w:p>
        </w:tc>
        <w:tc>
          <w:tcPr>
            <w:tcW w:w="546" w:type="pct"/>
          </w:tcPr>
          <w:p w14:paraId="606F4C6C" w14:textId="1CA4FD25" w:rsidR="001E0BD0" w:rsidRPr="005F62F4" w:rsidRDefault="001E0BD0" w:rsidP="001E0BD0">
            <w:pPr>
              <w:pStyle w:val="TableTextRight"/>
              <w:rPr>
                <w:rFonts w:cstheme="minorHAnsi"/>
                <w:bCs/>
                <w:szCs w:val="18"/>
                <w:lang w:val="en-AU"/>
              </w:rPr>
            </w:pPr>
            <w:r w:rsidRPr="001E5E40">
              <w:rPr>
                <w:sz w:val="17"/>
                <w:szCs w:val="17"/>
              </w:rPr>
              <w:t>[redacted]</w:t>
            </w:r>
          </w:p>
        </w:tc>
      </w:tr>
      <w:tr w:rsidR="001E0BD0" w:rsidRPr="005F62F4" w14:paraId="5DB33591" w14:textId="77777777" w:rsidTr="003F1523">
        <w:trPr>
          <w:trHeight w:val="170"/>
        </w:trPr>
        <w:tc>
          <w:tcPr>
            <w:tcW w:w="636" w:type="pct"/>
          </w:tcPr>
          <w:p w14:paraId="5B7BEF8C" w14:textId="3329AC80" w:rsidR="001E0BD0" w:rsidRPr="005F62F4" w:rsidRDefault="001E0BD0" w:rsidP="001E0BD0">
            <w:pPr>
              <w:pStyle w:val="Tabletextkeep"/>
              <w:rPr>
                <w:bCs/>
              </w:rPr>
            </w:pPr>
            <w:r w:rsidRPr="001E5E40">
              <w:rPr>
                <w:sz w:val="17"/>
                <w:szCs w:val="17"/>
              </w:rPr>
              <w:t>[redacted]</w:t>
            </w:r>
          </w:p>
        </w:tc>
        <w:tc>
          <w:tcPr>
            <w:tcW w:w="545" w:type="pct"/>
          </w:tcPr>
          <w:p w14:paraId="3CA1A7A0" w14:textId="77777777" w:rsidR="001E0BD0" w:rsidRPr="005F62F4" w:rsidRDefault="001E0BD0" w:rsidP="001E0BD0">
            <w:pPr>
              <w:pStyle w:val="TableTextRight"/>
              <w:rPr>
                <w:rFonts w:cstheme="minorHAnsi"/>
                <w:szCs w:val="18"/>
                <w:lang w:val="en-AU"/>
              </w:rPr>
            </w:pPr>
          </w:p>
        </w:tc>
        <w:tc>
          <w:tcPr>
            <w:tcW w:w="545" w:type="pct"/>
          </w:tcPr>
          <w:p w14:paraId="20A86FD5" w14:textId="77777777" w:rsidR="001E0BD0" w:rsidRPr="005F62F4" w:rsidRDefault="001E0BD0" w:rsidP="001E0BD0">
            <w:pPr>
              <w:pStyle w:val="TableTextRight"/>
              <w:rPr>
                <w:rFonts w:cstheme="minorHAnsi"/>
                <w:szCs w:val="18"/>
                <w:lang w:val="en-AU"/>
              </w:rPr>
            </w:pPr>
          </w:p>
        </w:tc>
        <w:tc>
          <w:tcPr>
            <w:tcW w:w="545" w:type="pct"/>
          </w:tcPr>
          <w:p w14:paraId="78D6F586" w14:textId="77777777" w:rsidR="001E0BD0" w:rsidRPr="005F62F4" w:rsidRDefault="001E0BD0" w:rsidP="001E0BD0">
            <w:pPr>
              <w:pStyle w:val="TableTextRight"/>
              <w:rPr>
                <w:rFonts w:cstheme="minorHAnsi"/>
                <w:szCs w:val="18"/>
                <w:lang w:val="en-AU"/>
              </w:rPr>
            </w:pPr>
          </w:p>
        </w:tc>
        <w:tc>
          <w:tcPr>
            <w:tcW w:w="545" w:type="pct"/>
          </w:tcPr>
          <w:p w14:paraId="699609E4" w14:textId="77777777" w:rsidR="001E0BD0" w:rsidRPr="005F62F4" w:rsidRDefault="001E0BD0" w:rsidP="001E0BD0">
            <w:pPr>
              <w:pStyle w:val="TableTextRight"/>
              <w:rPr>
                <w:rFonts w:cstheme="minorHAnsi"/>
                <w:szCs w:val="18"/>
                <w:lang w:val="en-AU"/>
              </w:rPr>
            </w:pPr>
          </w:p>
        </w:tc>
        <w:tc>
          <w:tcPr>
            <w:tcW w:w="545" w:type="pct"/>
          </w:tcPr>
          <w:p w14:paraId="3C06658B" w14:textId="77777777" w:rsidR="001E0BD0" w:rsidRPr="005F62F4" w:rsidRDefault="001E0BD0" w:rsidP="001E0BD0">
            <w:pPr>
              <w:pStyle w:val="TableTextRight"/>
              <w:rPr>
                <w:rFonts w:cstheme="minorHAnsi"/>
                <w:color w:val="000000"/>
                <w:szCs w:val="18"/>
                <w:lang w:val="en-AU"/>
              </w:rPr>
            </w:pPr>
          </w:p>
        </w:tc>
        <w:tc>
          <w:tcPr>
            <w:tcW w:w="545" w:type="pct"/>
          </w:tcPr>
          <w:p w14:paraId="5C7246AF" w14:textId="77777777" w:rsidR="001E0BD0" w:rsidRPr="005F62F4" w:rsidRDefault="001E0BD0" w:rsidP="001E0BD0">
            <w:pPr>
              <w:pStyle w:val="TableTextRight"/>
              <w:rPr>
                <w:rFonts w:cstheme="minorHAnsi"/>
                <w:color w:val="000000"/>
                <w:szCs w:val="18"/>
                <w:lang w:val="en-AU"/>
              </w:rPr>
            </w:pPr>
          </w:p>
        </w:tc>
        <w:tc>
          <w:tcPr>
            <w:tcW w:w="545" w:type="pct"/>
          </w:tcPr>
          <w:p w14:paraId="270E8277" w14:textId="2D65B418" w:rsidR="001E0BD0" w:rsidRPr="005F62F4" w:rsidRDefault="001E0BD0" w:rsidP="001E0BD0">
            <w:pPr>
              <w:pStyle w:val="TableTextRight"/>
              <w:rPr>
                <w:rFonts w:cstheme="minorHAnsi"/>
                <w:color w:val="000000"/>
                <w:szCs w:val="18"/>
                <w:lang w:val="en-AU"/>
              </w:rPr>
            </w:pPr>
            <w:r w:rsidRPr="001E5E40">
              <w:rPr>
                <w:sz w:val="17"/>
                <w:szCs w:val="17"/>
              </w:rPr>
              <w:t>[redacted]</w:t>
            </w:r>
          </w:p>
        </w:tc>
        <w:tc>
          <w:tcPr>
            <w:tcW w:w="546" w:type="pct"/>
          </w:tcPr>
          <w:p w14:paraId="72AFCF5E" w14:textId="63C98B88" w:rsidR="001E0BD0" w:rsidRPr="005F62F4" w:rsidRDefault="001E0BD0" w:rsidP="001E0BD0">
            <w:pPr>
              <w:pStyle w:val="TableTextRight"/>
              <w:rPr>
                <w:rFonts w:cstheme="minorHAnsi"/>
                <w:bCs/>
                <w:color w:val="000000"/>
                <w:szCs w:val="18"/>
                <w:lang w:val="en-AU"/>
              </w:rPr>
            </w:pPr>
            <w:r w:rsidRPr="001E5E40">
              <w:rPr>
                <w:sz w:val="17"/>
                <w:szCs w:val="17"/>
              </w:rPr>
              <w:t>[redacted]</w:t>
            </w:r>
          </w:p>
        </w:tc>
      </w:tr>
      <w:tr w:rsidR="001E0BD0" w:rsidRPr="005F62F4" w14:paraId="1424D19C" w14:textId="77777777" w:rsidTr="003F1523">
        <w:trPr>
          <w:cnfStyle w:val="000000010000" w:firstRow="0" w:lastRow="0" w:firstColumn="0" w:lastColumn="0" w:oddVBand="0" w:evenVBand="0" w:oddHBand="0" w:evenHBand="1" w:firstRowFirstColumn="0" w:firstRowLastColumn="0" w:lastRowFirstColumn="0" w:lastRowLastColumn="0"/>
          <w:trHeight w:val="170"/>
        </w:trPr>
        <w:tc>
          <w:tcPr>
            <w:tcW w:w="636" w:type="pct"/>
          </w:tcPr>
          <w:p w14:paraId="3F1AF596" w14:textId="77CF4FBC" w:rsidR="001E0BD0" w:rsidRPr="005F62F4" w:rsidRDefault="001E0BD0" w:rsidP="001E0BD0">
            <w:pPr>
              <w:pStyle w:val="Tabletextkeep"/>
              <w:rPr>
                <w:bCs/>
              </w:rPr>
            </w:pPr>
            <w:r w:rsidRPr="001E5E40">
              <w:rPr>
                <w:sz w:val="17"/>
                <w:szCs w:val="17"/>
              </w:rPr>
              <w:t>[redacted]</w:t>
            </w:r>
          </w:p>
        </w:tc>
        <w:tc>
          <w:tcPr>
            <w:tcW w:w="545" w:type="pct"/>
          </w:tcPr>
          <w:p w14:paraId="084C4347" w14:textId="77777777" w:rsidR="001E0BD0" w:rsidRPr="005F62F4" w:rsidRDefault="001E0BD0" w:rsidP="001E0BD0">
            <w:pPr>
              <w:pStyle w:val="TableTextRight"/>
              <w:rPr>
                <w:rFonts w:cstheme="minorHAnsi"/>
                <w:szCs w:val="18"/>
                <w:lang w:val="en-AU"/>
              </w:rPr>
            </w:pPr>
          </w:p>
        </w:tc>
        <w:tc>
          <w:tcPr>
            <w:tcW w:w="545" w:type="pct"/>
          </w:tcPr>
          <w:p w14:paraId="70BDAEB7" w14:textId="77777777" w:rsidR="001E0BD0" w:rsidRPr="005F62F4" w:rsidRDefault="001E0BD0" w:rsidP="001E0BD0">
            <w:pPr>
              <w:pStyle w:val="TableTextRight"/>
              <w:rPr>
                <w:rFonts w:cstheme="minorHAnsi"/>
                <w:szCs w:val="18"/>
                <w:lang w:val="en-AU"/>
              </w:rPr>
            </w:pPr>
          </w:p>
        </w:tc>
        <w:tc>
          <w:tcPr>
            <w:tcW w:w="545" w:type="pct"/>
          </w:tcPr>
          <w:p w14:paraId="37E49DF7" w14:textId="3AB573F7" w:rsidR="001E0BD0" w:rsidRPr="005F62F4" w:rsidRDefault="001E0BD0" w:rsidP="001E0BD0">
            <w:pPr>
              <w:pStyle w:val="TableTextRight"/>
              <w:rPr>
                <w:rFonts w:cstheme="minorHAnsi"/>
                <w:szCs w:val="18"/>
                <w:lang w:val="en-AU"/>
              </w:rPr>
            </w:pPr>
          </w:p>
        </w:tc>
        <w:tc>
          <w:tcPr>
            <w:tcW w:w="545" w:type="pct"/>
          </w:tcPr>
          <w:p w14:paraId="588CCD64" w14:textId="381FE588" w:rsidR="001E0BD0" w:rsidRPr="005F62F4" w:rsidRDefault="001E0BD0" w:rsidP="001E0BD0">
            <w:pPr>
              <w:pStyle w:val="TableTextRight"/>
              <w:rPr>
                <w:rFonts w:cstheme="minorHAnsi"/>
                <w:szCs w:val="18"/>
                <w:lang w:val="en-AU"/>
              </w:rPr>
            </w:pPr>
          </w:p>
        </w:tc>
        <w:tc>
          <w:tcPr>
            <w:tcW w:w="545" w:type="pct"/>
          </w:tcPr>
          <w:p w14:paraId="2CB06C2A" w14:textId="0C9E834D" w:rsidR="001E0BD0" w:rsidRPr="005F62F4" w:rsidRDefault="001E0BD0" w:rsidP="001E0BD0">
            <w:pPr>
              <w:pStyle w:val="TableTextRight"/>
              <w:rPr>
                <w:rFonts w:cstheme="minorHAnsi"/>
                <w:color w:val="000000"/>
                <w:szCs w:val="18"/>
                <w:lang w:val="en-AU"/>
              </w:rPr>
            </w:pPr>
          </w:p>
        </w:tc>
        <w:tc>
          <w:tcPr>
            <w:tcW w:w="545" w:type="pct"/>
          </w:tcPr>
          <w:p w14:paraId="0732643F" w14:textId="18BC5891" w:rsidR="001E0BD0" w:rsidRPr="005F62F4" w:rsidRDefault="001E0BD0" w:rsidP="001E0BD0">
            <w:pPr>
              <w:pStyle w:val="TableTextRight"/>
              <w:rPr>
                <w:rFonts w:cstheme="minorHAnsi"/>
                <w:color w:val="000000"/>
                <w:szCs w:val="18"/>
                <w:lang w:val="en-AU"/>
              </w:rPr>
            </w:pPr>
          </w:p>
        </w:tc>
        <w:tc>
          <w:tcPr>
            <w:tcW w:w="545" w:type="pct"/>
          </w:tcPr>
          <w:p w14:paraId="333C8853" w14:textId="3F7CEC69" w:rsidR="001E0BD0" w:rsidRPr="005F62F4" w:rsidRDefault="001E0BD0" w:rsidP="001E0BD0">
            <w:pPr>
              <w:pStyle w:val="TableTextRight"/>
              <w:rPr>
                <w:rFonts w:cstheme="minorHAnsi"/>
                <w:color w:val="000000"/>
                <w:szCs w:val="18"/>
                <w:lang w:val="en-AU"/>
              </w:rPr>
            </w:pPr>
            <w:r w:rsidRPr="001E5E40">
              <w:rPr>
                <w:sz w:val="17"/>
                <w:szCs w:val="17"/>
              </w:rPr>
              <w:t>[redacted]</w:t>
            </w:r>
          </w:p>
        </w:tc>
        <w:tc>
          <w:tcPr>
            <w:tcW w:w="546" w:type="pct"/>
          </w:tcPr>
          <w:p w14:paraId="34469DE9" w14:textId="5B48D39B" w:rsidR="001E0BD0" w:rsidRPr="005F62F4" w:rsidRDefault="001E0BD0" w:rsidP="001E0BD0">
            <w:pPr>
              <w:pStyle w:val="TableTextRight"/>
              <w:rPr>
                <w:rFonts w:cstheme="minorHAnsi"/>
                <w:bCs/>
                <w:color w:val="000000"/>
                <w:szCs w:val="18"/>
                <w:lang w:val="en-AU"/>
              </w:rPr>
            </w:pPr>
            <w:r w:rsidRPr="001E5E40">
              <w:rPr>
                <w:sz w:val="17"/>
                <w:szCs w:val="17"/>
              </w:rPr>
              <w:t>[redacted]</w:t>
            </w:r>
          </w:p>
        </w:tc>
      </w:tr>
      <w:tr w:rsidR="001E0BD0" w:rsidRPr="005F62F4" w14:paraId="20706609" w14:textId="77777777" w:rsidTr="003F1523">
        <w:trPr>
          <w:trHeight w:val="170"/>
        </w:trPr>
        <w:tc>
          <w:tcPr>
            <w:tcW w:w="636" w:type="pct"/>
          </w:tcPr>
          <w:p w14:paraId="6389F89B" w14:textId="256D268F" w:rsidR="001E0BD0" w:rsidRPr="005F62F4" w:rsidRDefault="001E0BD0" w:rsidP="001E0BD0">
            <w:pPr>
              <w:pStyle w:val="Tabletextkeep"/>
              <w:rPr>
                <w:bCs/>
              </w:rPr>
            </w:pPr>
            <w:r w:rsidRPr="001E5E40">
              <w:rPr>
                <w:sz w:val="17"/>
                <w:szCs w:val="17"/>
              </w:rPr>
              <w:t>[redacted]</w:t>
            </w:r>
          </w:p>
        </w:tc>
        <w:tc>
          <w:tcPr>
            <w:tcW w:w="545" w:type="pct"/>
          </w:tcPr>
          <w:p w14:paraId="3F132F38" w14:textId="77777777" w:rsidR="001E0BD0" w:rsidRPr="005F62F4" w:rsidRDefault="001E0BD0" w:rsidP="001E0BD0">
            <w:pPr>
              <w:pStyle w:val="TableTextRight"/>
              <w:rPr>
                <w:rFonts w:cstheme="minorHAnsi"/>
                <w:color w:val="000000"/>
                <w:szCs w:val="18"/>
                <w:lang w:val="en-AU"/>
              </w:rPr>
            </w:pPr>
          </w:p>
        </w:tc>
        <w:tc>
          <w:tcPr>
            <w:tcW w:w="545" w:type="pct"/>
          </w:tcPr>
          <w:p w14:paraId="5E075A2C" w14:textId="77777777" w:rsidR="001E0BD0" w:rsidRPr="005F62F4" w:rsidRDefault="001E0BD0" w:rsidP="001E0BD0">
            <w:pPr>
              <w:pStyle w:val="TableTextRight"/>
              <w:rPr>
                <w:rFonts w:cstheme="minorHAnsi"/>
                <w:color w:val="000000"/>
                <w:szCs w:val="18"/>
                <w:lang w:val="en-AU"/>
              </w:rPr>
            </w:pPr>
          </w:p>
        </w:tc>
        <w:tc>
          <w:tcPr>
            <w:tcW w:w="545" w:type="pct"/>
          </w:tcPr>
          <w:p w14:paraId="5B1B3A3A" w14:textId="77777777" w:rsidR="001E0BD0" w:rsidRPr="005F62F4" w:rsidRDefault="001E0BD0" w:rsidP="001E0BD0">
            <w:pPr>
              <w:pStyle w:val="TableTextRight"/>
              <w:rPr>
                <w:rFonts w:cstheme="minorHAnsi"/>
                <w:color w:val="000000"/>
                <w:szCs w:val="18"/>
                <w:lang w:val="en-AU"/>
              </w:rPr>
            </w:pPr>
          </w:p>
        </w:tc>
        <w:tc>
          <w:tcPr>
            <w:tcW w:w="545" w:type="pct"/>
          </w:tcPr>
          <w:p w14:paraId="3E95A0A8" w14:textId="07152613" w:rsidR="001E0BD0" w:rsidRPr="005F62F4" w:rsidRDefault="001E0BD0" w:rsidP="001E0BD0">
            <w:pPr>
              <w:pStyle w:val="TableTextRight"/>
              <w:rPr>
                <w:rFonts w:cstheme="minorHAnsi"/>
                <w:color w:val="000000"/>
                <w:szCs w:val="18"/>
                <w:lang w:val="en-AU"/>
              </w:rPr>
            </w:pPr>
            <w:r w:rsidRPr="001E5E40">
              <w:rPr>
                <w:sz w:val="17"/>
                <w:szCs w:val="17"/>
              </w:rPr>
              <w:t>[redacted]</w:t>
            </w:r>
          </w:p>
        </w:tc>
        <w:tc>
          <w:tcPr>
            <w:tcW w:w="545" w:type="pct"/>
          </w:tcPr>
          <w:p w14:paraId="0D4121DA" w14:textId="44BC3236" w:rsidR="001E0BD0" w:rsidRPr="005F62F4" w:rsidRDefault="001E0BD0" w:rsidP="001E0BD0">
            <w:pPr>
              <w:pStyle w:val="TableTextRight"/>
              <w:rPr>
                <w:rFonts w:cstheme="minorHAnsi"/>
                <w:color w:val="000000"/>
                <w:szCs w:val="18"/>
                <w:lang w:val="en-AU"/>
              </w:rPr>
            </w:pPr>
            <w:r w:rsidRPr="001E5E40">
              <w:rPr>
                <w:sz w:val="17"/>
                <w:szCs w:val="17"/>
              </w:rPr>
              <w:t>[redacted]</w:t>
            </w:r>
          </w:p>
        </w:tc>
        <w:tc>
          <w:tcPr>
            <w:tcW w:w="545" w:type="pct"/>
          </w:tcPr>
          <w:p w14:paraId="16BC735A" w14:textId="466EEF2E" w:rsidR="001E0BD0" w:rsidRPr="005F62F4" w:rsidRDefault="001E0BD0" w:rsidP="001E0BD0">
            <w:pPr>
              <w:pStyle w:val="TableTextRight"/>
              <w:rPr>
                <w:rFonts w:cstheme="minorHAnsi"/>
                <w:color w:val="000000"/>
                <w:szCs w:val="18"/>
                <w:lang w:val="en-AU"/>
              </w:rPr>
            </w:pPr>
            <w:r w:rsidRPr="001E5E40">
              <w:rPr>
                <w:sz w:val="17"/>
                <w:szCs w:val="17"/>
              </w:rPr>
              <w:t>[redacted]</w:t>
            </w:r>
          </w:p>
        </w:tc>
        <w:tc>
          <w:tcPr>
            <w:tcW w:w="545" w:type="pct"/>
          </w:tcPr>
          <w:p w14:paraId="56A1FE4A" w14:textId="66563CA4" w:rsidR="001E0BD0" w:rsidRPr="005F62F4" w:rsidRDefault="001E0BD0" w:rsidP="001E0BD0">
            <w:pPr>
              <w:pStyle w:val="TableTextRight"/>
              <w:rPr>
                <w:rFonts w:cstheme="minorHAnsi"/>
                <w:color w:val="000000"/>
                <w:szCs w:val="18"/>
                <w:lang w:val="en-AU"/>
              </w:rPr>
            </w:pPr>
            <w:r w:rsidRPr="001E5E40">
              <w:rPr>
                <w:sz w:val="17"/>
                <w:szCs w:val="17"/>
              </w:rPr>
              <w:t>[redacted]</w:t>
            </w:r>
          </w:p>
        </w:tc>
        <w:tc>
          <w:tcPr>
            <w:tcW w:w="546" w:type="pct"/>
          </w:tcPr>
          <w:p w14:paraId="1FA5385F" w14:textId="5353D0F3" w:rsidR="001E0BD0" w:rsidRPr="005F62F4" w:rsidRDefault="001E0BD0" w:rsidP="001E0BD0">
            <w:pPr>
              <w:pStyle w:val="TableTextRight"/>
              <w:rPr>
                <w:rFonts w:cstheme="minorHAnsi"/>
                <w:bCs/>
                <w:color w:val="000000"/>
                <w:szCs w:val="18"/>
                <w:lang w:val="en-AU"/>
              </w:rPr>
            </w:pPr>
            <w:r w:rsidRPr="001E5E40">
              <w:rPr>
                <w:sz w:val="17"/>
                <w:szCs w:val="17"/>
              </w:rPr>
              <w:t>[redacted]</w:t>
            </w:r>
          </w:p>
        </w:tc>
      </w:tr>
      <w:tr w:rsidR="001E0BD0" w:rsidRPr="005F62F4" w14:paraId="46450479" w14:textId="77777777" w:rsidTr="003F1523">
        <w:trPr>
          <w:cnfStyle w:val="000000010000" w:firstRow="0" w:lastRow="0" w:firstColumn="0" w:lastColumn="0" w:oddVBand="0" w:evenVBand="0" w:oddHBand="0" w:evenHBand="1" w:firstRowFirstColumn="0" w:firstRowLastColumn="0" w:lastRowFirstColumn="0" w:lastRowLastColumn="0"/>
          <w:trHeight w:val="170"/>
        </w:trPr>
        <w:tc>
          <w:tcPr>
            <w:tcW w:w="636" w:type="pct"/>
          </w:tcPr>
          <w:p w14:paraId="130732BA" w14:textId="596097D0" w:rsidR="001E0BD0" w:rsidRPr="005F62F4" w:rsidRDefault="001E0BD0" w:rsidP="001E0BD0">
            <w:pPr>
              <w:pStyle w:val="Tabletextkeep"/>
              <w:rPr>
                <w:bCs/>
              </w:rPr>
            </w:pPr>
            <w:r w:rsidRPr="001E5E40">
              <w:rPr>
                <w:sz w:val="17"/>
                <w:szCs w:val="17"/>
              </w:rPr>
              <w:t>[redacted]</w:t>
            </w:r>
          </w:p>
        </w:tc>
        <w:tc>
          <w:tcPr>
            <w:tcW w:w="545" w:type="pct"/>
          </w:tcPr>
          <w:p w14:paraId="1631B9AD" w14:textId="77777777" w:rsidR="001E0BD0" w:rsidRPr="005F62F4" w:rsidRDefault="001E0BD0" w:rsidP="001E0BD0">
            <w:pPr>
              <w:pStyle w:val="TableTextRight"/>
              <w:rPr>
                <w:rFonts w:cstheme="minorHAnsi"/>
                <w:color w:val="000000"/>
                <w:szCs w:val="18"/>
                <w:lang w:val="en-AU"/>
              </w:rPr>
            </w:pPr>
          </w:p>
        </w:tc>
        <w:tc>
          <w:tcPr>
            <w:tcW w:w="545" w:type="pct"/>
          </w:tcPr>
          <w:p w14:paraId="0CACECDB" w14:textId="77777777" w:rsidR="001E0BD0" w:rsidRPr="005F62F4" w:rsidRDefault="001E0BD0" w:rsidP="001E0BD0">
            <w:pPr>
              <w:pStyle w:val="TableTextRight"/>
              <w:rPr>
                <w:rFonts w:cstheme="minorHAnsi"/>
                <w:color w:val="000000"/>
                <w:szCs w:val="18"/>
                <w:lang w:val="en-AU"/>
              </w:rPr>
            </w:pPr>
          </w:p>
        </w:tc>
        <w:tc>
          <w:tcPr>
            <w:tcW w:w="545" w:type="pct"/>
          </w:tcPr>
          <w:p w14:paraId="61073A37" w14:textId="77777777" w:rsidR="001E0BD0" w:rsidRPr="005F62F4" w:rsidRDefault="001E0BD0" w:rsidP="001E0BD0">
            <w:pPr>
              <w:pStyle w:val="TableTextRight"/>
              <w:rPr>
                <w:rFonts w:cstheme="minorHAnsi"/>
                <w:color w:val="000000"/>
                <w:szCs w:val="18"/>
                <w:lang w:val="en-AU"/>
              </w:rPr>
            </w:pPr>
          </w:p>
        </w:tc>
        <w:tc>
          <w:tcPr>
            <w:tcW w:w="545" w:type="pct"/>
          </w:tcPr>
          <w:p w14:paraId="6D5133B5" w14:textId="28F47324" w:rsidR="001E0BD0" w:rsidRPr="005F62F4" w:rsidRDefault="001E0BD0" w:rsidP="001E0BD0">
            <w:pPr>
              <w:pStyle w:val="TableTextRight"/>
              <w:rPr>
                <w:rFonts w:cstheme="minorHAnsi"/>
                <w:color w:val="000000"/>
                <w:szCs w:val="18"/>
                <w:lang w:val="en-AU"/>
              </w:rPr>
            </w:pPr>
            <w:r w:rsidRPr="001E5E40">
              <w:rPr>
                <w:sz w:val="17"/>
                <w:szCs w:val="17"/>
              </w:rPr>
              <w:t>[redacted]</w:t>
            </w:r>
          </w:p>
        </w:tc>
        <w:tc>
          <w:tcPr>
            <w:tcW w:w="545" w:type="pct"/>
          </w:tcPr>
          <w:p w14:paraId="5F399DE3" w14:textId="21992FC8" w:rsidR="001E0BD0" w:rsidRPr="005F62F4" w:rsidRDefault="001E0BD0" w:rsidP="001E0BD0">
            <w:pPr>
              <w:pStyle w:val="TableTextRight"/>
              <w:rPr>
                <w:rFonts w:cstheme="minorHAnsi"/>
                <w:color w:val="000000"/>
                <w:szCs w:val="18"/>
                <w:lang w:val="en-AU"/>
              </w:rPr>
            </w:pPr>
            <w:r w:rsidRPr="001E5E40">
              <w:rPr>
                <w:sz w:val="17"/>
                <w:szCs w:val="17"/>
              </w:rPr>
              <w:t>[redacted]</w:t>
            </w:r>
          </w:p>
        </w:tc>
        <w:tc>
          <w:tcPr>
            <w:tcW w:w="545" w:type="pct"/>
          </w:tcPr>
          <w:p w14:paraId="406B0679" w14:textId="5DC4D6F7" w:rsidR="001E0BD0" w:rsidRPr="005F62F4" w:rsidRDefault="001E0BD0" w:rsidP="001E0BD0">
            <w:pPr>
              <w:pStyle w:val="TableTextRight"/>
              <w:rPr>
                <w:rFonts w:cstheme="minorHAnsi"/>
                <w:color w:val="000000"/>
                <w:szCs w:val="18"/>
                <w:lang w:val="en-AU"/>
              </w:rPr>
            </w:pPr>
            <w:r w:rsidRPr="001E5E40">
              <w:rPr>
                <w:sz w:val="17"/>
                <w:szCs w:val="17"/>
              </w:rPr>
              <w:t>[redacted]</w:t>
            </w:r>
          </w:p>
        </w:tc>
        <w:tc>
          <w:tcPr>
            <w:tcW w:w="545" w:type="pct"/>
          </w:tcPr>
          <w:p w14:paraId="64E43735" w14:textId="7F167C04" w:rsidR="001E0BD0" w:rsidRPr="005F62F4" w:rsidRDefault="001E0BD0" w:rsidP="001E0BD0">
            <w:pPr>
              <w:pStyle w:val="TableTextRight"/>
              <w:rPr>
                <w:rFonts w:cstheme="minorHAnsi"/>
                <w:color w:val="000000"/>
                <w:szCs w:val="18"/>
                <w:lang w:val="en-AU"/>
              </w:rPr>
            </w:pPr>
            <w:r w:rsidRPr="001E5E40">
              <w:rPr>
                <w:sz w:val="17"/>
                <w:szCs w:val="17"/>
              </w:rPr>
              <w:t>[redacted]</w:t>
            </w:r>
          </w:p>
        </w:tc>
        <w:tc>
          <w:tcPr>
            <w:tcW w:w="546" w:type="pct"/>
          </w:tcPr>
          <w:p w14:paraId="2226D1A2" w14:textId="5B811E72" w:rsidR="001E0BD0" w:rsidRPr="005F62F4" w:rsidRDefault="001E0BD0" w:rsidP="001E0BD0">
            <w:pPr>
              <w:pStyle w:val="TableTextRight"/>
              <w:rPr>
                <w:rFonts w:cstheme="minorHAnsi"/>
                <w:bCs/>
                <w:color w:val="000000"/>
                <w:szCs w:val="18"/>
                <w:lang w:val="en-AU"/>
              </w:rPr>
            </w:pPr>
            <w:r w:rsidRPr="001E5E40">
              <w:rPr>
                <w:sz w:val="17"/>
                <w:szCs w:val="17"/>
              </w:rPr>
              <w:t>[redacted]</w:t>
            </w:r>
          </w:p>
        </w:tc>
      </w:tr>
      <w:tr w:rsidR="001E0BD0" w:rsidRPr="005F62F4" w14:paraId="0D6127AF" w14:textId="77777777" w:rsidTr="003F1523">
        <w:trPr>
          <w:trHeight w:val="170"/>
        </w:trPr>
        <w:tc>
          <w:tcPr>
            <w:tcW w:w="636" w:type="pct"/>
          </w:tcPr>
          <w:p w14:paraId="60C980E1" w14:textId="27DC0495" w:rsidR="001E0BD0" w:rsidRPr="005F62F4" w:rsidRDefault="001E0BD0" w:rsidP="001E0BD0">
            <w:pPr>
              <w:pStyle w:val="Tabletextkeep"/>
              <w:rPr>
                <w:bCs/>
              </w:rPr>
            </w:pPr>
            <w:r w:rsidRPr="001E5E40">
              <w:rPr>
                <w:sz w:val="17"/>
                <w:szCs w:val="17"/>
              </w:rPr>
              <w:t>[redacted]</w:t>
            </w:r>
          </w:p>
        </w:tc>
        <w:tc>
          <w:tcPr>
            <w:tcW w:w="545" w:type="pct"/>
          </w:tcPr>
          <w:p w14:paraId="2D62194C" w14:textId="77777777" w:rsidR="001E0BD0" w:rsidRPr="005F62F4" w:rsidRDefault="001E0BD0" w:rsidP="001E0BD0">
            <w:pPr>
              <w:pStyle w:val="TableTextRight"/>
              <w:rPr>
                <w:rFonts w:cstheme="minorHAnsi"/>
                <w:szCs w:val="18"/>
                <w:lang w:val="en-AU"/>
              </w:rPr>
            </w:pPr>
          </w:p>
        </w:tc>
        <w:tc>
          <w:tcPr>
            <w:tcW w:w="545" w:type="pct"/>
          </w:tcPr>
          <w:p w14:paraId="27713F1E" w14:textId="77777777" w:rsidR="001E0BD0" w:rsidRPr="005F62F4" w:rsidRDefault="001E0BD0" w:rsidP="001E0BD0">
            <w:pPr>
              <w:pStyle w:val="TableTextRight"/>
              <w:rPr>
                <w:rFonts w:cstheme="minorHAnsi"/>
                <w:szCs w:val="18"/>
                <w:lang w:val="en-AU"/>
              </w:rPr>
            </w:pPr>
          </w:p>
        </w:tc>
        <w:tc>
          <w:tcPr>
            <w:tcW w:w="545" w:type="pct"/>
          </w:tcPr>
          <w:p w14:paraId="3E8F38D1" w14:textId="77777777" w:rsidR="001E0BD0" w:rsidRPr="005F62F4" w:rsidRDefault="001E0BD0" w:rsidP="001E0BD0">
            <w:pPr>
              <w:pStyle w:val="TableTextRight"/>
              <w:rPr>
                <w:rFonts w:cstheme="minorHAnsi"/>
                <w:szCs w:val="18"/>
                <w:lang w:val="en-AU"/>
              </w:rPr>
            </w:pPr>
          </w:p>
        </w:tc>
        <w:tc>
          <w:tcPr>
            <w:tcW w:w="545" w:type="pct"/>
          </w:tcPr>
          <w:p w14:paraId="17837861" w14:textId="77777777" w:rsidR="001E0BD0" w:rsidRPr="005F62F4" w:rsidRDefault="001E0BD0" w:rsidP="001E0BD0">
            <w:pPr>
              <w:pStyle w:val="TableTextRight"/>
              <w:rPr>
                <w:rFonts w:cstheme="minorHAnsi"/>
                <w:szCs w:val="18"/>
                <w:lang w:val="en-AU"/>
              </w:rPr>
            </w:pPr>
          </w:p>
        </w:tc>
        <w:tc>
          <w:tcPr>
            <w:tcW w:w="545" w:type="pct"/>
          </w:tcPr>
          <w:p w14:paraId="29ADDB89" w14:textId="7C85B4D1" w:rsidR="001E0BD0" w:rsidRPr="005F62F4" w:rsidRDefault="001E0BD0" w:rsidP="001E0BD0">
            <w:pPr>
              <w:pStyle w:val="TableTextRight"/>
              <w:rPr>
                <w:rFonts w:cstheme="minorHAnsi"/>
                <w:szCs w:val="18"/>
                <w:lang w:val="en-AU"/>
              </w:rPr>
            </w:pPr>
          </w:p>
        </w:tc>
        <w:tc>
          <w:tcPr>
            <w:tcW w:w="545" w:type="pct"/>
          </w:tcPr>
          <w:p w14:paraId="0DCBD663" w14:textId="3DA171D5" w:rsidR="001E0BD0" w:rsidRPr="005F62F4" w:rsidRDefault="001E0BD0" w:rsidP="001E0BD0">
            <w:pPr>
              <w:pStyle w:val="TableTextRight"/>
              <w:rPr>
                <w:rFonts w:cstheme="minorHAnsi"/>
                <w:szCs w:val="18"/>
                <w:lang w:val="en-AU"/>
              </w:rPr>
            </w:pPr>
            <w:r w:rsidRPr="001E5E40">
              <w:rPr>
                <w:sz w:val="17"/>
                <w:szCs w:val="17"/>
              </w:rPr>
              <w:t>[redacted]</w:t>
            </w:r>
          </w:p>
        </w:tc>
        <w:tc>
          <w:tcPr>
            <w:tcW w:w="545" w:type="pct"/>
          </w:tcPr>
          <w:p w14:paraId="5FEC4F9B" w14:textId="0315FC66" w:rsidR="001E0BD0" w:rsidRPr="005F62F4" w:rsidRDefault="001E0BD0" w:rsidP="001E0BD0">
            <w:pPr>
              <w:pStyle w:val="TableTextRight"/>
              <w:rPr>
                <w:rFonts w:cstheme="minorHAnsi"/>
                <w:szCs w:val="18"/>
                <w:lang w:val="en-AU"/>
              </w:rPr>
            </w:pPr>
            <w:r w:rsidRPr="001E5E40">
              <w:rPr>
                <w:sz w:val="17"/>
                <w:szCs w:val="17"/>
              </w:rPr>
              <w:t>[redacted]</w:t>
            </w:r>
          </w:p>
        </w:tc>
        <w:tc>
          <w:tcPr>
            <w:tcW w:w="546" w:type="pct"/>
          </w:tcPr>
          <w:p w14:paraId="07B6DDA1" w14:textId="46EB9C1D" w:rsidR="001E0BD0" w:rsidRPr="005F62F4" w:rsidRDefault="001E0BD0" w:rsidP="001E0BD0">
            <w:pPr>
              <w:pStyle w:val="TableTextRight"/>
              <w:rPr>
                <w:rFonts w:cstheme="minorHAnsi"/>
                <w:bCs/>
                <w:szCs w:val="18"/>
                <w:lang w:val="en-AU"/>
              </w:rPr>
            </w:pPr>
            <w:r w:rsidRPr="001E5E40">
              <w:rPr>
                <w:sz w:val="17"/>
                <w:szCs w:val="17"/>
              </w:rPr>
              <w:t>[redacted]</w:t>
            </w:r>
          </w:p>
        </w:tc>
      </w:tr>
      <w:tr w:rsidR="001E0BD0" w:rsidRPr="005F62F4" w14:paraId="6048FFE1" w14:textId="77777777" w:rsidTr="003F1523">
        <w:trPr>
          <w:cnfStyle w:val="000000010000" w:firstRow="0" w:lastRow="0" w:firstColumn="0" w:lastColumn="0" w:oddVBand="0" w:evenVBand="0" w:oddHBand="0" w:evenHBand="1" w:firstRowFirstColumn="0" w:firstRowLastColumn="0" w:lastRowFirstColumn="0" w:lastRowLastColumn="0"/>
          <w:trHeight w:val="170"/>
        </w:trPr>
        <w:tc>
          <w:tcPr>
            <w:tcW w:w="636" w:type="pct"/>
          </w:tcPr>
          <w:p w14:paraId="20261A99" w14:textId="65B6A023" w:rsidR="001E0BD0" w:rsidRPr="005F62F4" w:rsidRDefault="001E0BD0" w:rsidP="001E0BD0">
            <w:pPr>
              <w:pStyle w:val="TableText"/>
              <w:rPr>
                <w:rFonts w:cstheme="minorHAnsi"/>
                <w:bCs/>
                <w:szCs w:val="18"/>
              </w:rPr>
            </w:pPr>
            <w:r w:rsidRPr="001E5E40">
              <w:rPr>
                <w:sz w:val="17"/>
                <w:szCs w:val="17"/>
              </w:rPr>
              <w:t>[redacted]</w:t>
            </w:r>
          </w:p>
        </w:tc>
        <w:tc>
          <w:tcPr>
            <w:tcW w:w="545" w:type="pct"/>
          </w:tcPr>
          <w:p w14:paraId="70D71F58" w14:textId="77777777" w:rsidR="001E0BD0" w:rsidRPr="005F62F4" w:rsidRDefault="001E0BD0" w:rsidP="001E0BD0">
            <w:pPr>
              <w:pStyle w:val="TableTextRight"/>
              <w:rPr>
                <w:rFonts w:cstheme="minorHAnsi"/>
                <w:szCs w:val="18"/>
                <w:lang w:val="en-AU"/>
              </w:rPr>
            </w:pPr>
          </w:p>
        </w:tc>
        <w:tc>
          <w:tcPr>
            <w:tcW w:w="545" w:type="pct"/>
          </w:tcPr>
          <w:p w14:paraId="07DA62EA" w14:textId="77777777" w:rsidR="001E0BD0" w:rsidRPr="005F62F4" w:rsidRDefault="001E0BD0" w:rsidP="001E0BD0">
            <w:pPr>
              <w:pStyle w:val="TableTextRight"/>
              <w:rPr>
                <w:rFonts w:cstheme="minorHAnsi"/>
                <w:szCs w:val="18"/>
                <w:lang w:val="en-AU"/>
              </w:rPr>
            </w:pPr>
          </w:p>
        </w:tc>
        <w:tc>
          <w:tcPr>
            <w:tcW w:w="545" w:type="pct"/>
          </w:tcPr>
          <w:p w14:paraId="60116CDE" w14:textId="77777777" w:rsidR="001E0BD0" w:rsidRPr="005F62F4" w:rsidRDefault="001E0BD0" w:rsidP="001E0BD0">
            <w:pPr>
              <w:pStyle w:val="TableTextRight"/>
              <w:rPr>
                <w:rFonts w:cstheme="minorHAnsi"/>
                <w:szCs w:val="18"/>
                <w:lang w:val="en-AU"/>
              </w:rPr>
            </w:pPr>
          </w:p>
        </w:tc>
        <w:tc>
          <w:tcPr>
            <w:tcW w:w="545" w:type="pct"/>
          </w:tcPr>
          <w:p w14:paraId="178A73E4" w14:textId="77777777" w:rsidR="001E0BD0" w:rsidRPr="005F62F4" w:rsidRDefault="001E0BD0" w:rsidP="001E0BD0">
            <w:pPr>
              <w:pStyle w:val="TableTextRight"/>
              <w:rPr>
                <w:rFonts w:cstheme="minorHAnsi"/>
                <w:szCs w:val="18"/>
                <w:lang w:val="en-AU"/>
              </w:rPr>
            </w:pPr>
          </w:p>
        </w:tc>
        <w:tc>
          <w:tcPr>
            <w:tcW w:w="545" w:type="pct"/>
          </w:tcPr>
          <w:p w14:paraId="358CB33E" w14:textId="6410E6F2" w:rsidR="001E0BD0" w:rsidRPr="005F62F4" w:rsidRDefault="001E0BD0" w:rsidP="001E0BD0">
            <w:pPr>
              <w:pStyle w:val="TableTextRight"/>
              <w:rPr>
                <w:rFonts w:cstheme="minorHAnsi"/>
                <w:szCs w:val="18"/>
                <w:lang w:val="en-AU"/>
              </w:rPr>
            </w:pPr>
            <w:r w:rsidRPr="001E5E40">
              <w:rPr>
                <w:sz w:val="17"/>
                <w:szCs w:val="17"/>
              </w:rPr>
              <w:t>[redacted]</w:t>
            </w:r>
          </w:p>
        </w:tc>
        <w:tc>
          <w:tcPr>
            <w:tcW w:w="545" w:type="pct"/>
          </w:tcPr>
          <w:p w14:paraId="71C51AF3" w14:textId="0584FCCE" w:rsidR="001E0BD0" w:rsidRPr="005F62F4" w:rsidRDefault="001E0BD0" w:rsidP="001E0BD0">
            <w:pPr>
              <w:pStyle w:val="TableTextRight"/>
              <w:rPr>
                <w:rFonts w:cstheme="minorHAnsi"/>
                <w:szCs w:val="18"/>
                <w:lang w:val="en-AU"/>
              </w:rPr>
            </w:pPr>
            <w:r w:rsidRPr="001E5E40">
              <w:rPr>
                <w:sz w:val="17"/>
                <w:szCs w:val="17"/>
              </w:rPr>
              <w:t>[redacted]</w:t>
            </w:r>
          </w:p>
        </w:tc>
        <w:tc>
          <w:tcPr>
            <w:tcW w:w="545" w:type="pct"/>
          </w:tcPr>
          <w:p w14:paraId="31A7DCC8" w14:textId="7AACA21C" w:rsidR="001E0BD0" w:rsidRPr="005F62F4" w:rsidRDefault="001E0BD0" w:rsidP="001E0BD0">
            <w:pPr>
              <w:pStyle w:val="TableTextRight"/>
              <w:rPr>
                <w:rFonts w:cstheme="minorHAnsi"/>
                <w:szCs w:val="18"/>
                <w:lang w:val="en-AU"/>
              </w:rPr>
            </w:pPr>
            <w:r w:rsidRPr="001E5E40">
              <w:rPr>
                <w:sz w:val="17"/>
                <w:szCs w:val="17"/>
              </w:rPr>
              <w:t>[redacted]</w:t>
            </w:r>
          </w:p>
        </w:tc>
        <w:tc>
          <w:tcPr>
            <w:tcW w:w="546" w:type="pct"/>
          </w:tcPr>
          <w:p w14:paraId="0FCDABEB" w14:textId="1E287070" w:rsidR="001E0BD0" w:rsidRPr="005F62F4" w:rsidRDefault="001E0BD0" w:rsidP="001E0BD0">
            <w:pPr>
              <w:pStyle w:val="TableTextRight"/>
              <w:keepNext/>
              <w:rPr>
                <w:rFonts w:cstheme="minorHAnsi"/>
                <w:bCs/>
                <w:szCs w:val="18"/>
                <w:lang w:val="en-AU"/>
              </w:rPr>
            </w:pPr>
            <w:r w:rsidRPr="001E5E40">
              <w:rPr>
                <w:sz w:val="17"/>
                <w:szCs w:val="17"/>
              </w:rPr>
              <w:t>[redacted]</w:t>
            </w:r>
          </w:p>
        </w:tc>
      </w:tr>
    </w:tbl>
    <w:p w14:paraId="247BD21D" w14:textId="77777777" w:rsidR="004F7C35" w:rsidRPr="005F62F4" w:rsidRDefault="004F7C35" w:rsidP="00820063">
      <w:bookmarkStart w:id="219" w:name="_Toc388453130"/>
      <w:bookmarkEnd w:id="218"/>
    </w:p>
    <w:p w14:paraId="643EFCC6" w14:textId="1DC4DDC0" w:rsidR="00697966" w:rsidRPr="005F62F4" w:rsidRDefault="00697966" w:rsidP="00820063">
      <w:pPr>
        <w:sectPr w:rsidR="00697966" w:rsidRPr="005F62F4" w:rsidSect="00175E6E">
          <w:pgSz w:w="11906" w:h="16838"/>
          <w:pgMar w:top="1134" w:right="1134" w:bottom="1134" w:left="1440" w:header="708" w:footer="708" w:gutter="0"/>
          <w:cols w:space="708"/>
          <w:titlePg/>
          <w:docGrid w:linePitch="360"/>
        </w:sectPr>
      </w:pPr>
    </w:p>
    <w:p w14:paraId="3BD52767" w14:textId="75F360A3" w:rsidR="00E12102" w:rsidRPr="005F62F4" w:rsidRDefault="00E12102" w:rsidP="004F2931">
      <w:pPr>
        <w:pStyle w:val="Heading1"/>
      </w:pPr>
      <w:bookmarkStart w:id="220" w:name="_Ref119344810"/>
      <w:bookmarkStart w:id="221" w:name="_Toc120178325"/>
      <w:bookmarkStart w:id="222" w:name="_Toc129954612"/>
      <w:r w:rsidRPr="005F62F4">
        <w:lastRenderedPageBreak/>
        <w:t xml:space="preserve">: </w:t>
      </w:r>
      <w:proofErr w:type="spellStart"/>
      <w:r w:rsidRPr="005F62F4">
        <w:t>ToR</w:t>
      </w:r>
      <w:proofErr w:type="spellEnd"/>
      <w:r w:rsidRPr="005F62F4">
        <w:t xml:space="preserve"> 4</w:t>
      </w:r>
      <w:r w:rsidR="00873286" w:rsidRPr="005F62F4">
        <w:t xml:space="preserve"> </w:t>
      </w:r>
      <w:r w:rsidR="00A75B83" w:rsidRPr="005F62F4">
        <w:t>– P</w:t>
      </w:r>
      <w:r w:rsidR="00A625FA" w:rsidRPr="005F62F4">
        <w:t>roduct</w:t>
      </w:r>
      <w:r w:rsidR="00204C6B" w:rsidRPr="005F62F4">
        <w:t xml:space="preserve"> e</w:t>
      </w:r>
      <w:r w:rsidR="009F665E" w:rsidRPr="005F62F4">
        <w:t xml:space="preserve">ligibility </w:t>
      </w:r>
      <w:r w:rsidR="0051393F" w:rsidRPr="005F62F4">
        <w:t xml:space="preserve">for PL </w:t>
      </w:r>
      <w:r w:rsidR="003A5A3D" w:rsidRPr="005F62F4">
        <w:t>listing</w:t>
      </w:r>
      <w:bookmarkEnd w:id="220"/>
      <w:bookmarkEnd w:id="221"/>
      <w:bookmarkEnd w:id="222"/>
    </w:p>
    <w:p w14:paraId="7B556EDC" w14:textId="5353EA4D" w:rsidR="00E12102" w:rsidRPr="005F62F4" w:rsidRDefault="00BC1DC3" w:rsidP="008E1775">
      <w:pPr>
        <w:pStyle w:val="Boxed"/>
      </w:pPr>
      <w:r w:rsidRPr="005F62F4">
        <w:t xml:space="preserve">4. </w:t>
      </w:r>
      <w:r w:rsidR="00275212" w:rsidRPr="005F62F4">
        <w:t xml:space="preserve">Based on the findings of </w:t>
      </w:r>
      <w:proofErr w:type="spellStart"/>
      <w:r w:rsidR="00275212" w:rsidRPr="005F62F4">
        <w:t>T</w:t>
      </w:r>
      <w:r w:rsidR="000A6EBE" w:rsidRPr="005F62F4">
        <w:t>o</w:t>
      </w:r>
      <w:r w:rsidR="00275212" w:rsidRPr="005F62F4">
        <w:t>R</w:t>
      </w:r>
      <w:proofErr w:type="spellEnd"/>
      <w:r w:rsidR="00275212" w:rsidRPr="005F62F4">
        <w:t xml:space="preserve"> 1, 2 and 3, advise if surgical guides and </w:t>
      </w:r>
      <w:proofErr w:type="spellStart"/>
      <w:r w:rsidR="00275212" w:rsidRPr="005F62F4">
        <w:t>biomodels</w:t>
      </w:r>
      <w:proofErr w:type="spellEnd"/>
      <w:r w:rsidR="00275212" w:rsidRPr="005F62F4">
        <w:t xml:space="preserve"> meet the eligibility criteria for listing on the PL. Findings regarding eligibility may differ between products and clinical circumstances.</w:t>
      </w:r>
    </w:p>
    <w:p w14:paraId="3BEE9350" w14:textId="68776C88" w:rsidR="00E12102" w:rsidRPr="005F62F4" w:rsidRDefault="00E12102" w:rsidP="004F2931">
      <w:pPr>
        <w:pStyle w:val="Heading2"/>
      </w:pPr>
      <w:bookmarkStart w:id="223" w:name="_Toc120178326"/>
      <w:bookmarkStart w:id="224" w:name="_Toc129954613"/>
      <w:r w:rsidRPr="005F62F4">
        <w:t xml:space="preserve">Key findings for </w:t>
      </w:r>
      <w:proofErr w:type="spellStart"/>
      <w:r w:rsidRPr="005F62F4">
        <w:t>ToR</w:t>
      </w:r>
      <w:proofErr w:type="spellEnd"/>
      <w:r w:rsidRPr="005F62F4">
        <w:t xml:space="preserve"> 4</w:t>
      </w:r>
      <w:bookmarkEnd w:id="223"/>
      <w:bookmarkEnd w:id="224"/>
    </w:p>
    <w:p w14:paraId="25F7EB18" w14:textId="68D0428E" w:rsidR="009D4EF9" w:rsidRPr="005F62F4" w:rsidRDefault="009D4EF9" w:rsidP="009D4EF9">
      <w:pPr>
        <w:pStyle w:val="Bullet1"/>
        <w:numPr>
          <w:ilvl w:val="0"/>
          <w:numId w:val="0"/>
        </w:numPr>
      </w:pPr>
      <w:r w:rsidRPr="005F62F4">
        <w:t xml:space="preserve">We used information from </w:t>
      </w:r>
      <w:proofErr w:type="spellStart"/>
      <w:r w:rsidRPr="005F62F4">
        <w:t>ToR</w:t>
      </w:r>
      <w:proofErr w:type="spellEnd"/>
      <w:r w:rsidRPr="005F62F4">
        <w:t xml:space="preserve"> 1,</w:t>
      </w:r>
      <w:r w:rsidR="00184FDD" w:rsidRPr="005F62F4">
        <w:t xml:space="preserve"> </w:t>
      </w:r>
      <w:r w:rsidRPr="005F62F4">
        <w:t xml:space="preserve">2 and 3 to inform whether </w:t>
      </w:r>
      <w:r w:rsidR="00CE0499" w:rsidRPr="005F62F4">
        <w:t xml:space="preserve">the listed </w:t>
      </w:r>
      <w:r w:rsidRPr="005F62F4">
        <w:t xml:space="preserve">surgical guides and </w:t>
      </w:r>
      <w:proofErr w:type="spellStart"/>
      <w:r w:rsidRPr="005F62F4">
        <w:t>biomodels</w:t>
      </w:r>
      <w:proofErr w:type="spellEnd"/>
      <w:r w:rsidRPr="005F62F4">
        <w:t xml:space="preserve"> meet the eligibility criteria.</w:t>
      </w:r>
      <w:r w:rsidR="00F16F6F" w:rsidRPr="005F62F4">
        <w:t xml:space="preserve"> In relation to the 5 eligibility criteria</w:t>
      </w:r>
      <w:r w:rsidR="00421474" w:rsidRPr="005F62F4">
        <w:t>,</w:t>
      </w:r>
      <w:r w:rsidR="00F16F6F" w:rsidRPr="005F62F4">
        <w:t xml:space="preserve"> we </w:t>
      </w:r>
      <w:r w:rsidR="00A45CD7" w:rsidRPr="005F62F4">
        <w:t>made</w:t>
      </w:r>
      <w:r w:rsidR="00F16F6F" w:rsidRPr="005F62F4">
        <w:t xml:space="preserve"> </w:t>
      </w:r>
      <w:r w:rsidR="00F51E0E" w:rsidRPr="005F62F4">
        <w:t>the</w:t>
      </w:r>
      <w:r w:rsidR="00F16F6F" w:rsidRPr="005F62F4">
        <w:t xml:space="preserve"> </w:t>
      </w:r>
      <w:r w:rsidR="00A45CD7" w:rsidRPr="005F62F4">
        <w:t>following findings</w:t>
      </w:r>
      <w:r w:rsidR="00603830" w:rsidRPr="005F62F4">
        <w:t>.</w:t>
      </w:r>
    </w:p>
    <w:p w14:paraId="4906016F" w14:textId="5D4EE1E7" w:rsidR="00653A7E" w:rsidRPr="005F62F4" w:rsidRDefault="00D26D23" w:rsidP="004F2931">
      <w:pPr>
        <w:pStyle w:val="Heading3"/>
      </w:pPr>
      <w:r w:rsidRPr="005F62F4">
        <w:t xml:space="preserve">Criterion 1: </w:t>
      </w:r>
      <w:r w:rsidR="001D74CA" w:rsidRPr="005F62F4">
        <w:t xml:space="preserve">The product must be entered and current on the </w:t>
      </w:r>
      <w:r w:rsidRPr="005F62F4">
        <w:t>Australian Register of T</w:t>
      </w:r>
      <w:r w:rsidR="00653A7E" w:rsidRPr="005F62F4">
        <w:t>herapeutic Goods</w:t>
      </w:r>
    </w:p>
    <w:p w14:paraId="006DBEBB" w14:textId="32252B88" w:rsidR="009231E4" w:rsidRPr="005F62F4" w:rsidRDefault="00653A7E" w:rsidP="00C415EE">
      <w:pPr>
        <w:pStyle w:val="Para"/>
      </w:pPr>
      <w:r w:rsidRPr="005F62F4">
        <w:t>Of the 32 products</w:t>
      </w:r>
      <w:r w:rsidR="009231E4" w:rsidRPr="005F62F4">
        <w:t xml:space="preserve"> in</w:t>
      </w:r>
      <w:r w:rsidR="00E124DE">
        <w:t xml:space="preserve"> </w:t>
      </w:r>
      <w:r w:rsidR="009231E4" w:rsidRPr="005F62F4">
        <w:t>scope for this review</w:t>
      </w:r>
      <w:r w:rsidRPr="005F62F4">
        <w:t xml:space="preserve">, 30 products are </w:t>
      </w:r>
      <w:r w:rsidR="004677FD" w:rsidRPr="005F62F4">
        <w:t xml:space="preserve">entered and current </w:t>
      </w:r>
      <w:r w:rsidRPr="005F62F4">
        <w:t>on the ARTG and the remaining 2 products are registered under transition arrangements</w:t>
      </w:r>
      <w:r w:rsidR="006F19B9" w:rsidRPr="005F62F4">
        <w:t>.</w:t>
      </w:r>
      <w:r w:rsidRPr="005F62F4">
        <w:t xml:space="preserve"> </w:t>
      </w:r>
      <w:r w:rsidR="006F19B9" w:rsidRPr="005F62F4">
        <w:t>T</w:t>
      </w:r>
      <w:r w:rsidRPr="005F62F4">
        <w:t xml:space="preserve">his criterion is </w:t>
      </w:r>
      <w:r w:rsidR="006F19B9" w:rsidRPr="005F62F4">
        <w:t xml:space="preserve">therefore </w:t>
      </w:r>
      <w:r w:rsidRPr="005F62F4">
        <w:rPr>
          <w:rStyle w:val="Strong"/>
        </w:rPr>
        <w:t>met</w:t>
      </w:r>
      <w:r w:rsidRPr="005F62F4">
        <w:t>.</w:t>
      </w:r>
    </w:p>
    <w:p w14:paraId="35B0B932" w14:textId="22647E9D" w:rsidR="00653A7E" w:rsidRPr="005F62F4" w:rsidRDefault="00653A7E" w:rsidP="004F2931">
      <w:pPr>
        <w:pStyle w:val="Heading3"/>
      </w:pPr>
      <w:r w:rsidRPr="005F62F4">
        <w:t xml:space="preserve">Criterion 2: </w:t>
      </w:r>
      <w:r w:rsidR="007F1658" w:rsidRPr="005F62F4">
        <w:t>The product must be provided to a person as part of an episode of hospital treatment or hospital-substitute treatment</w:t>
      </w:r>
    </w:p>
    <w:p w14:paraId="1F7ABF5F" w14:textId="6F20E3CE" w:rsidR="00653A7E" w:rsidRPr="005F62F4" w:rsidRDefault="00653A7E" w:rsidP="00C415EE">
      <w:pPr>
        <w:pStyle w:val="Para"/>
      </w:pPr>
      <w:r w:rsidRPr="005F62F4">
        <w:t xml:space="preserve">Based on the data we have </w:t>
      </w:r>
      <w:proofErr w:type="gramStart"/>
      <w:r w:rsidRPr="005F62F4">
        <w:t>reviewed,</w:t>
      </w:r>
      <w:proofErr w:type="gramEnd"/>
      <w:r w:rsidRPr="005F62F4">
        <w:t xml:space="preserve"> we understand all products </w:t>
      </w:r>
      <w:r w:rsidR="004677FD" w:rsidRPr="005F62F4">
        <w:t>have been provided to a person as part of an episode of hospital treatment or hospital-substitute treatment</w:t>
      </w:r>
      <w:r w:rsidR="003F242F" w:rsidRPr="005F62F4">
        <w:t>.</w:t>
      </w:r>
      <w:r w:rsidRPr="005F62F4">
        <w:t xml:space="preserve"> </w:t>
      </w:r>
      <w:r w:rsidR="003F242F" w:rsidRPr="005F62F4">
        <w:t>T</w:t>
      </w:r>
      <w:r w:rsidRPr="005F62F4">
        <w:t xml:space="preserve">his criterion is </w:t>
      </w:r>
      <w:r w:rsidR="003F242F" w:rsidRPr="005F62F4">
        <w:t>therefore</w:t>
      </w:r>
      <w:r w:rsidRPr="005F62F4">
        <w:t xml:space="preserve"> </w:t>
      </w:r>
      <w:r w:rsidRPr="005F62F4">
        <w:rPr>
          <w:rStyle w:val="Strong"/>
        </w:rPr>
        <w:t>met</w:t>
      </w:r>
      <w:r w:rsidRPr="005F62F4">
        <w:t>.</w:t>
      </w:r>
    </w:p>
    <w:p w14:paraId="4BC2F701" w14:textId="6B071785" w:rsidR="00653A7E" w:rsidRPr="005F62F4" w:rsidRDefault="00653A7E" w:rsidP="004F2931">
      <w:pPr>
        <w:pStyle w:val="Heading3"/>
      </w:pPr>
      <w:r w:rsidRPr="005F62F4">
        <w:t xml:space="preserve">Criterion 3: </w:t>
      </w:r>
      <w:r w:rsidR="007F1658" w:rsidRPr="005F62F4">
        <w:t>A Medicare benefit must be payable in respect of the professional service associated with the provision of the product (or the provision of the product is associated with podiatric treatment by an accredited podiatrist)</w:t>
      </w:r>
    </w:p>
    <w:p w14:paraId="74B1F9A8" w14:textId="4785D09C" w:rsidR="00815DA9" w:rsidRPr="005F62F4" w:rsidRDefault="00815DA9" w:rsidP="00603830">
      <w:pPr>
        <w:pStyle w:val="ParaKeep"/>
      </w:pPr>
      <w:r w:rsidRPr="005F62F4">
        <w:t xml:space="preserve">Based on the data </w:t>
      </w:r>
      <w:r w:rsidR="00F01216" w:rsidRPr="005F62F4">
        <w:t xml:space="preserve">available, we </w:t>
      </w:r>
      <w:r w:rsidR="00C81E75" w:rsidRPr="005F62F4">
        <w:t xml:space="preserve">understand that </w:t>
      </w:r>
      <w:r w:rsidR="002E6AD8" w:rsidRPr="005F62F4">
        <w:t>Medicare benefits were payable for all instances where</w:t>
      </w:r>
      <w:r w:rsidR="00C81E75" w:rsidRPr="005F62F4">
        <w:t xml:space="preserve"> </w:t>
      </w:r>
      <w:r w:rsidR="00F654FE" w:rsidRPr="005F62F4">
        <w:t xml:space="preserve">benefits for </w:t>
      </w:r>
      <w:r w:rsidR="00C81E75" w:rsidRPr="005F62F4">
        <w:t>the listed</w:t>
      </w:r>
      <w:r w:rsidR="002E6AD8" w:rsidRPr="005F62F4">
        <w:t xml:space="preserve"> surgical guides and </w:t>
      </w:r>
      <w:proofErr w:type="spellStart"/>
      <w:r w:rsidR="002E6AD8" w:rsidRPr="005F62F4">
        <w:t>biomodels</w:t>
      </w:r>
      <w:proofErr w:type="spellEnd"/>
      <w:r w:rsidR="002E6AD8" w:rsidRPr="005F62F4">
        <w:t xml:space="preserve"> were </w:t>
      </w:r>
      <w:r w:rsidR="00F654FE" w:rsidRPr="005F62F4">
        <w:t xml:space="preserve">paid. This criterion is therefore </w:t>
      </w:r>
      <w:r w:rsidR="00F654FE" w:rsidRPr="005F62F4">
        <w:rPr>
          <w:b/>
          <w:bCs/>
        </w:rPr>
        <w:t>met</w:t>
      </w:r>
      <w:r w:rsidR="00350741" w:rsidRPr="005F62F4">
        <w:t>.</w:t>
      </w:r>
    </w:p>
    <w:p w14:paraId="27847074" w14:textId="5580CCAA" w:rsidR="00B51D26" w:rsidRPr="005F62F4" w:rsidRDefault="00B51D26" w:rsidP="00B51D26">
      <w:pPr>
        <w:pStyle w:val="Para"/>
      </w:pPr>
      <w:r w:rsidRPr="005F62F4">
        <w:t xml:space="preserve">However, it is difficult to determine the extent to which PL benefits paid for listed surgical guides and </w:t>
      </w:r>
      <w:proofErr w:type="spellStart"/>
      <w:r w:rsidRPr="005F62F4">
        <w:t>biomodels</w:t>
      </w:r>
      <w:proofErr w:type="spellEnd"/>
      <w:r w:rsidRPr="005F62F4">
        <w:t xml:space="preserve"> may be attributed to ‘inappropriate’ MBS item numbers</w:t>
      </w:r>
      <w:r w:rsidR="00715CF8" w:rsidRPr="005F62F4">
        <w:t xml:space="preserve"> (</w:t>
      </w:r>
      <w:proofErr w:type="gramStart"/>
      <w:r w:rsidR="00715CF8" w:rsidRPr="005F62F4">
        <w:t>i.e.</w:t>
      </w:r>
      <w:proofErr w:type="gramEnd"/>
      <w:r w:rsidR="00715CF8" w:rsidRPr="005F62F4">
        <w:t xml:space="preserve"> where the item number </w:t>
      </w:r>
      <w:r w:rsidR="00B97F9A" w:rsidRPr="005F62F4">
        <w:t xml:space="preserve">is not </w:t>
      </w:r>
      <w:r w:rsidR="008F205D" w:rsidRPr="005F62F4">
        <w:t xml:space="preserve">specific to the procedure in </w:t>
      </w:r>
      <w:r w:rsidR="002D0DCA" w:rsidRPr="005F62F4">
        <w:t xml:space="preserve">which the </w:t>
      </w:r>
      <w:r w:rsidR="00D42534" w:rsidRPr="005F62F4">
        <w:t>prosthesis is delivered)</w:t>
      </w:r>
      <w:r w:rsidR="002B23EF" w:rsidRPr="005F62F4">
        <w:t>,</w:t>
      </w:r>
      <w:r w:rsidRPr="005F62F4">
        <w:t xml:space="preserve"> </w:t>
      </w:r>
      <w:r w:rsidR="002B23EF" w:rsidRPr="005F62F4">
        <w:t>and</w:t>
      </w:r>
      <w:r w:rsidRPr="005F62F4">
        <w:t xml:space="preserve"> this issue warrants further</w:t>
      </w:r>
      <w:r w:rsidR="00A47A92" w:rsidRPr="005F62F4">
        <w:t xml:space="preserve"> investigation.</w:t>
      </w:r>
    </w:p>
    <w:p w14:paraId="79AF5215" w14:textId="078577B9" w:rsidR="00C351B8" w:rsidRPr="005F62F4" w:rsidRDefault="00C351B8" w:rsidP="004F2931">
      <w:pPr>
        <w:pStyle w:val="Heading3"/>
      </w:pPr>
      <w:r w:rsidRPr="005F62F4">
        <w:lastRenderedPageBreak/>
        <w:t xml:space="preserve">Criterion </w:t>
      </w:r>
      <w:r w:rsidR="006645D0" w:rsidRPr="005F62F4">
        <w:t>4</w:t>
      </w:r>
      <w:r w:rsidRPr="005F62F4">
        <w:t xml:space="preserve">: </w:t>
      </w:r>
      <w:r w:rsidR="006645D0" w:rsidRPr="005F62F4">
        <w:t>Essential</w:t>
      </w:r>
      <w:r w:rsidR="00520FB1" w:rsidRPr="005F62F4">
        <w:t xml:space="preserve"> to, and specifically designed as an integral </w:t>
      </w:r>
      <w:r w:rsidR="00F554DA" w:rsidRPr="005F62F4">
        <w:t>single-use aid for implanting a product</w:t>
      </w:r>
    </w:p>
    <w:p w14:paraId="37FE1C05" w14:textId="6F1CAD3A" w:rsidR="00AE5EB1" w:rsidRPr="005F62F4" w:rsidRDefault="00ED1CD9" w:rsidP="004D1801">
      <w:pPr>
        <w:pStyle w:val="Para"/>
        <w:spacing w:before="120"/>
      </w:pPr>
      <w:r w:rsidRPr="005F62F4">
        <w:t xml:space="preserve">The clinical uses of listed surgical guides and </w:t>
      </w:r>
      <w:proofErr w:type="spellStart"/>
      <w:r w:rsidRPr="005F62F4">
        <w:t>biomodels</w:t>
      </w:r>
      <w:proofErr w:type="spellEnd"/>
      <w:r w:rsidRPr="005F62F4">
        <w:t xml:space="preserve"> was found to vary considerably, </w:t>
      </w:r>
      <w:r w:rsidR="00EC5C90" w:rsidRPr="005F62F4">
        <w:t>which</w:t>
      </w:r>
      <w:r w:rsidRPr="005F62F4">
        <w:t xml:space="preserve">, combined with a lack of clarity in the definition of </w:t>
      </w:r>
      <w:r w:rsidR="00DB39F1" w:rsidRPr="005F62F4">
        <w:t xml:space="preserve">several </w:t>
      </w:r>
      <w:r w:rsidRPr="005F62F4">
        <w:t>key terms (particularly ‘essential’ and ‘integral’) makes assessment of this criterion difficult.</w:t>
      </w:r>
    </w:p>
    <w:p w14:paraId="5B58913C" w14:textId="21314279" w:rsidR="004053E3" w:rsidRPr="005F62F4" w:rsidRDefault="004053E3" w:rsidP="004053E3">
      <w:pPr>
        <w:pStyle w:val="ParaKeep"/>
      </w:pPr>
      <w:r w:rsidRPr="005F62F4">
        <w:t>Based on analysis, we have found that this criterion is:</w:t>
      </w:r>
    </w:p>
    <w:p w14:paraId="70766242" w14:textId="2B216CCA" w:rsidR="004053E3" w:rsidRPr="005F62F4" w:rsidRDefault="00797972" w:rsidP="003327A6">
      <w:pPr>
        <w:pStyle w:val="Bullet1"/>
      </w:pPr>
      <w:r w:rsidRPr="005F62F4">
        <w:rPr>
          <w:b/>
          <w:lang w:val="en-US"/>
        </w:rPr>
        <w:t>not met</w:t>
      </w:r>
      <w:r w:rsidRPr="005F62F4">
        <w:rPr>
          <w:lang w:val="en-US"/>
        </w:rPr>
        <w:t xml:space="preserve"> for surgical guides or </w:t>
      </w:r>
      <w:proofErr w:type="spellStart"/>
      <w:r w:rsidRPr="005F62F4">
        <w:rPr>
          <w:lang w:val="en-US"/>
        </w:rPr>
        <w:t>biomodels</w:t>
      </w:r>
      <w:proofErr w:type="spellEnd"/>
      <w:r w:rsidRPr="005F62F4">
        <w:rPr>
          <w:lang w:val="en-US"/>
        </w:rPr>
        <w:t xml:space="preserve"> when used in </w:t>
      </w:r>
      <w:r w:rsidRPr="005F62F4">
        <w:rPr>
          <w:rStyle w:val="Emphasis"/>
        </w:rPr>
        <w:t>procedures that do not involve implantation</w:t>
      </w:r>
      <w:r w:rsidRPr="005F62F4">
        <w:rPr>
          <w:lang w:val="en-US"/>
        </w:rPr>
        <w:t xml:space="preserve"> of a </w:t>
      </w:r>
      <w:proofErr w:type="gramStart"/>
      <w:r w:rsidR="003A1779" w:rsidRPr="005F62F4">
        <w:rPr>
          <w:lang w:val="en-US"/>
        </w:rPr>
        <w:t>prosthesis</w:t>
      </w:r>
      <w:proofErr w:type="gramEnd"/>
    </w:p>
    <w:p w14:paraId="10772840" w14:textId="46F594E1" w:rsidR="00693D92" w:rsidRPr="005F62F4" w:rsidRDefault="00693D92" w:rsidP="00693D92">
      <w:pPr>
        <w:pStyle w:val="Bullet1"/>
      </w:pPr>
      <w:r w:rsidRPr="005F62F4">
        <w:rPr>
          <w:rStyle w:val="Strong"/>
        </w:rPr>
        <w:t xml:space="preserve">met </w:t>
      </w:r>
      <w:r w:rsidRPr="005F62F4">
        <w:t xml:space="preserve">for surgical guides and </w:t>
      </w:r>
      <w:proofErr w:type="spellStart"/>
      <w:r w:rsidRPr="005F62F4">
        <w:t>biomodels</w:t>
      </w:r>
      <w:proofErr w:type="spellEnd"/>
      <w:r w:rsidRPr="005F62F4">
        <w:t xml:space="preserve"> used for </w:t>
      </w:r>
      <w:r w:rsidRPr="005F62F4">
        <w:rPr>
          <w:rStyle w:val="Emphasis"/>
        </w:rPr>
        <w:t>complex CMF procedures</w:t>
      </w:r>
    </w:p>
    <w:p w14:paraId="1188BB0F" w14:textId="5C8E57F0" w:rsidR="0003354F" w:rsidRPr="005F62F4" w:rsidRDefault="00693D92" w:rsidP="00693D92">
      <w:pPr>
        <w:pStyle w:val="Bullet1Keep"/>
      </w:pPr>
      <w:r w:rsidRPr="005F62F4">
        <w:rPr>
          <w:rStyle w:val="Strong"/>
        </w:rPr>
        <w:t>not met</w:t>
      </w:r>
      <w:r w:rsidRPr="005F62F4">
        <w:t xml:space="preserve"> for surgical guides or </w:t>
      </w:r>
      <w:proofErr w:type="spellStart"/>
      <w:r w:rsidRPr="005F62F4">
        <w:t>biomodels</w:t>
      </w:r>
      <w:proofErr w:type="spellEnd"/>
      <w:r w:rsidRPr="005F62F4">
        <w:t xml:space="preserve"> for </w:t>
      </w:r>
      <w:r w:rsidRPr="005F62F4">
        <w:rPr>
          <w:rStyle w:val="Emphasis"/>
        </w:rPr>
        <w:t>simpler procedures</w:t>
      </w:r>
      <w:r w:rsidR="0003354F" w:rsidRPr="005F62F4">
        <w:t>.</w:t>
      </w:r>
    </w:p>
    <w:p w14:paraId="52E139E7" w14:textId="499949AD" w:rsidR="00B015AA" w:rsidRPr="005F62F4" w:rsidRDefault="0077580F" w:rsidP="00CC2268">
      <w:pPr>
        <w:pStyle w:val="Para"/>
        <w:rPr>
          <w:lang w:val="en-US"/>
        </w:rPr>
      </w:pPr>
      <w:r w:rsidRPr="005F62F4">
        <w:t xml:space="preserve">Examples of </w:t>
      </w:r>
      <w:r w:rsidR="00C9071D" w:rsidRPr="005F62F4">
        <w:t xml:space="preserve">procedures that surgeons generally considered complex or simple are provided in </w:t>
      </w:r>
      <w:r w:rsidR="00A37CE6" w:rsidRPr="005F62F4">
        <w:t>Section </w:t>
      </w:r>
      <w:r w:rsidR="000F5235" w:rsidRPr="005F62F4">
        <w:fldChar w:fldCharType="begin"/>
      </w:r>
      <w:r w:rsidR="000F5235" w:rsidRPr="005F62F4">
        <w:instrText xml:space="preserve"> REF _Ref128655932 \n \h </w:instrText>
      </w:r>
      <w:r w:rsidR="005F62F4">
        <w:instrText xml:space="preserve"> \* MERGEFORMAT </w:instrText>
      </w:r>
      <w:r w:rsidR="000F5235" w:rsidRPr="005F62F4">
        <w:fldChar w:fldCharType="separate"/>
      </w:r>
      <w:r w:rsidR="005606BF">
        <w:t>1.2</w:t>
      </w:r>
      <w:r w:rsidR="000F5235" w:rsidRPr="005F62F4">
        <w:fldChar w:fldCharType="end"/>
      </w:r>
      <w:r w:rsidR="00A37CE6" w:rsidRPr="005F62F4">
        <w:t xml:space="preserve"> and Section </w:t>
      </w:r>
      <w:r w:rsidR="000F5235" w:rsidRPr="005F62F4">
        <w:fldChar w:fldCharType="begin"/>
      </w:r>
      <w:r w:rsidR="000F5235" w:rsidRPr="005F62F4">
        <w:instrText xml:space="preserve"> REF _Ref128756022 \n \h </w:instrText>
      </w:r>
      <w:r w:rsidR="005F62F4">
        <w:instrText xml:space="preserve"> \* MERGEFORMAT </w:instrText>
      </w:r>
      <w:r w:rsidR="000F5235" w:rsidRPr="005F62F4">
        <w:fldChar w:fldCharType="separate"/>
      </w:r>
      <w:r w:rsidR="005606BF">
        <w:t>4.2</w:t>
      </w:r>
      <w:r w:rsidR="000F5235" w:rsidRPr="005F62F4">
        <w:fldChar w:fldCharType="end"/>
      </w:r>
      <w:r w:rsidR="00A37CE6" w:rsidRPr="005F62F4">
        <w:t xml:space="preserve">. </w:t>
      </w:r>
      <w:r w:rsidR="00693D92" w:rsidRPr="005F62F4">
        <w:rPr>
          <w:lang w:val="en-US"/>
        </w:rPr>
        <w:t>However, surgeons cautioned against blanket assumptions about the complexity of a given procedure type (as this depends on individual clinical circumstances</w:t>
      </w:r>
      <w:proofErr w:type="gramStart"/>
      <w:r w:rsidR="00693D92" w:rsidRPr="005F62F4">
        <w:rPr>
          <w:lang w:val="en-US"/>
        </w:rPr>
        <w:t>), and</w:t>
      </w:r>
      <w:proofErr w:type="gramEnd"/>
      <w:r w:rsidR="00693D92" w:rsidRPr="005F62F4">
        <w:rPr>
          <w:lang w:val="en-US"/>
        </w:rPr>
        <w:t xml:space="preserve"> highlighted the need for appropriate definitions of ‘simple’ and complex’ procedures.</w:t>
      </w:r>
    </w:p>
    <w:p w14:paraId="633710FA" w14:textId="0A0FB319" w:rsidR="00FD1592" w:rsidRPr="005F62F4" w:rsidRDefault="00FD1592" w:rsidP="00603830">
      <w:pPr>
        <w:pStyle w:val="Heading03"/>
      </w:pPr>
      <w:r w:rsidRPr="005F62F4">
        <w:t>Criterion 5: Clinical effectiveness</w:t>
      </w:r>
      <w:r w:rsidR="008F1D2B" w:rsidRPr="005F62F4">
        <w:t xml:space="preserve"> </w:t>
      </w:r>
      <w:r w:rsidRPr="005F62F4">
        <w:t>and cost</w:t>
      </w:r>
      <w:r w:rsidR="008F1D2B" w:rsidRPr="005F62F4">
        <w:t>s</w:t>
      </w:r>
    </w:p>
    <w:p w14:paraId="141EAE60" w14:textId="79058A97" w:rsidR="00F34210" w:rsidRPr="005F62F4" w:rsidRDefault="00F34210" w:rsidP="00F34210">
      <w:pPr>
        <w:pStyle w:val="Para"/>
      </w:pPr>
      <w:r w:rsidRPr="005F62F4">
        <w:t xml:space="preserve">There is a paucity of high-quality evidence on the comparative clinical effectiveness or the cost effectiveness of the in-scope products. However, </w:t>
      </w:r>
      <w:r w:rsidR="00992AFA" w:rsidRPr="005F62F4">
        <w:t xml:space="preserve">while the broader literature notes similar limitations, </w:t>
      </w:r>
      <w:r w:rsidRPr="005F62F4">
        <w:t xml:space="preserve">this review found support for the clinical effectiveness of surgical guides and </w:t>
      </w:r>
      <w:proofErr w:type="spellStart"/>
      <w:r w:rsidRPr="005F62F4">
        <w:t>biomodels</w:t>
      </w:r>
      <w:proofErr w:type="spellEnd"/>
      <w:r w:rsidRPr="005F62F4">
        <w:t xml:space="preserve"> </w:t>
      </w:r>
      <w:r w:rsidRPr="005F62F4">
        <w:rPr>
          <w:i/>
          <w:iCs/>
        </w:rPr>
        <w:t>in general</w:t>
      </w:r>
      <w:r w:rsidRPr="005F62F4">
        <w:t>, at least in the context of complex CMF surgeries.</w:t>
      </w:r>
    </w:p>
    <w:p w14:paraId="45EEE8F8" w14:textId="18C66C65" w:rsidR="00604175" w:rsidRPr="005F62F4" w:rsidRDefault="00B528B6" w:rsidP="00373120">
      <w:pPr>
        <w:pStyle w:val="Para"/>
      </w:pPr>
      <w:r w:rsidRPr="005F62F4">
        <w:t>As such</w:t>
      </w:r>
      <w:r w:rsidR="00C11C0E" w:rsidRPr="005F62F4">
        <w:t>,</w:t>
      </w:r>
      <w:r w:rsidR="00917324" w:rsidRPr="005F62F4">
        <w:t xml:space="preserve"> there is currently </w:t>
      </w:r>
      <w:r w:rsidR="00917324" w:rsidRPr="005F62F4">
        <w:rPr>
          <w:rStyle w:val="Strong"/>
        </w:rPr>
        <w:t>insufficient evidence</w:t>
      </w:r>
      <w:r w:rsidR="00917324" w:rsidRPr="005F62F4">
        <w:t xml:space="preserve"> to determine if criterion 5(</w:t>
      </w:r>
      <w:proofErr w:type="spellStart"/>
      <w:r w:rsidR="00917324" w:rsidRPr="005F62F4">
        <w:t>i</w:t>
      </w:r>
      <w:proofErr w:type="spellEnd"/>
      <w:r w:rsidR="00917324" w:rsidRPr="005F62F4">
        <w:t>) or 5(ii) is met.</w:t>
      </w:r>
    </w:p>
    <w:p w14:paraId="687B4E42" w14:textId="500D1E46" w:rsidR="005F03A9" w:rsidRPr="005F62F4" w:rsidRDefault="00971814" w:rsidP="004F2931">
      <w:pPr>
        <w:pStyle w:val="Heading3"/>
      </w:pPr>
      <w:r w:rsidRPr="005F62F4">
        <w:t>Stakeholder suggestions</w:t>
      </w:r>
    </w:p>
    <w:p w14:paraId="4344F9ED" w14:textId="38F6B35C" w:rsidR="006D055B" w:rsidRPr="005F62F4" w:rsidRDefault="006D055B" w:rsidP="00603830">
      <w:pPr>
        <w:pStyle w:val="Para"/>
      </w:pPr>
      <w:r w:rsidRPr="005F62F4">
        <w:t xml:space="preserve">Stakeholders suggested </w:t>
      </w:r>
      <w:proofErr w:type="gramStart"/>
      <w:r w:rsidRPr="005F62F4">
        <w:t>a number of</w:t>
      </w:r>
      <w:proofErr w:type="gramEnd"/>
      <w:r w:rsidRPr="005F62F4">
        <w:t xml:space="preserve"> </w:t>
      </w:r>
      <w:r w:rsidRPr="005F62F4">
        <w:rPr>
          <w:rStyle w:val="Strong"/>
        </w:rPr>
        <w:t>improvements</w:t>
      </w:r>
      <w:r w:rsidR="000F22E5" w:rsidRPr="005F62F4">
        <w:rPr>
          <w:rStyle w:val="Strong"/>
        </w:rPr>
        <w:t xml:space="preserve"> to the PL</w:t>
      </w:r>
      <w:r w:rsidR="000F22E5" w:rsidRPr="005F62F4">
        <w:t xml:space="preserve"> with respect to surgical guides and </w:t>
      </w:r>
      <w:proofErr w:type="spellStart"/>
      <w:r w:rsidR="000F22E5" w:rsidRPr="005F62F4">
        <w:t>biomodel</w:t>
      </w:r>
      <w:r w:rsidR="00AC724D" w:rsidRPr="005F62F4">
        <w:t>s</w:t>
      </w:r>
      <w:proofErr w:type="spellEnd"/>
      <w:r w:rsidR="00AC724D" w:rsidRPr="005F62F4">
        <w:t xml:space="preserve">. These included: </w:t>
      </w:r>
      <w:r w:rsidR="000F22E5" w:rsidRPr="005F62F4">
        <w:t>clarif</w:t>
      </w:r>
      <w:r w:rsidR="00284BB0" w:rsidRPr="005F62F4">
        <w:t xml:space="preserve">ying eligibility criteria; reviewing and revising PL sub-categories and product groups; </w:t>
      </w:r>
      <w:r w:rsidR="00010A98" w:rsidRPr="005F62F4">
        <w:t>restricting circumstances in which</w:t>
      </w:r>
      <w:r w:rsidR="00284BB0" w:rsidRPr="005F62F4">
        <w:t xml:space="preserve"> benefits </w:t>
      </w:r>
      <w:r w:rsidR="00010A98" w:rsidRPr="005F62F4">
        <w:t xml:space="preserve">are </w:t>
      </w:r>
      <w:r w:rsidR="00284BB0" w:rsidRPr="005F62F4">
        <w:t>payable</w:t>
      </w:r>
      <w:r w:rsidR="00051374" w:rsidRPr="005F62F4">
        <w:t>;</w:t>
      </w:r>
      <w:r w:rsidR="00284BB0" w:rsidRPr="005F62F4">
        <w:t xml:space="preserve"> reviewing benefits and claims arrangements</w:t>
      </w:r>
      <w:r w:rsidR="0032039A" w:rsidRPr="005F62F4">
        <w:t>;</w:t>
      </w:r>
      <w:r w:rsidR="00284BB0" w:rsidRPr="005F62F4">
        <w:t xml:space="preserve"> </w:t>
      </w:r>
      <w:r w:rsidR="00F51E0E" w:rsidRPr="005F62F4">
        <w:t>reviewing costs</w:t>
      </w:r>
      <w:r w:rsidR="006D5FC8" w:rsidRPr="005F62F4">
        <w:t>; considering the need for further and stronger evidence; and reviewing governance arrangements</w:t>
      </w:r>
      <w:r w:rsidR="000F22E5" w:rsidRPr="005F62F4">
        <w:t>.</w:t>
      </w:r>
    </w:p>
    <w:p w14:paraId="78987B7D" w14:textId="77777777" w:rsidR="003965EF" w:rsidRPr="005F62F4" w:rsidRDefault="003965EF" w:rsidP="002254E0">
      <w:bookmarkStart w:id="225" w:name="_Toc120178328"/>
      <w:r w:rsidRPr="005F62F4">
        <w:br w:type="page"/>
      </w:r>
    </w:p>
    <w:p w14:paraId="543FD473" w14:textId="6A23C063" w:rsidR="002F6FE8" w:rsidRPr="005F62F4" w:rsidRDefault="002C0A3E" w:rsidP="004F2931">
      <w:pPr>
        <w:pStyle w:val="Heading2"/>
      </w:pPr>
      <w:bookmarkStart w:id="226" w:name="_Ref128756022"/>
      <w:bookmarkStart w:id="227" w:name="_Ref128758077"/>
      <w:bookmarkStart w:id="228" w:name="_Toc129954614"/>
      <w:r w:rsidRPr="005F62F4">
        <w:lastRenderedPageBreak/>
        <w:t>Product</w:t>
      </w:r>
      <w:r w:rsidR="005E5CE8" w:rsidRPr="005F62F4">
        <w:t xml:space="preserve"> alignment with </w:t>
      </w:r>
      <w:r w:rsidR="002F6FE8" w:rsidRPr="005F62F4">
        <w:t>PL criteria</w:t>
      </w:r>
      <w:bookmarkEnd w:id="225"/>
      <w:bookmarkEnd w:id="226"/>
      <w:bookmarkEnd w:id="227"/>
      <w:bookmarkEnd w:id="228"/>
    </w:p>
    <w:p w14:paraId="75146C1F" w14:textId="242B58C2" w:rsidR="00C3223C" w:rsidRPr="005F62F4" w:rsidRDefault="00EF2F1B" w:rsidP="001B04CD">
      <w:pPr>
        <w:pStyle w:val="Para"/>
      </w:pPr>
      <w:r w:rsidRPr="005F62F4">
        <w:rPr>
          <w:lang w:eastAsia="en-AU"/>
        </w:rPr>
        <w:t xml:space="preserve">The PL </w:t>
      </w:r>
      <w:r w:rsidR="002E3A7A" w:rsidRPr="005F62F4">
        <w:rPr>
          <w:lang w:eastAsia="en-AU"/>
        </w:rPr>
        <w:t>g</w:t>
      </w:r>
      <w:r w:rsidR="0010584F" w:rsidRPr="005F62F4">
        <w:rPr>
          <w:lang w:eastAsia="en-AU"/>
        </w:rPr>
        <w:t>uide outlines 5 </w:t>
      </w:r>
      <w:r w:rsidRPr="005F62F4">
        <w:rPr>
          <w:lang w:eastAsia="en-AU"/>
        </w:rPr>
        <w:t xml:space="preserve">criteria </w:t>
      </w:r>
      <w:r w:rsidR="003708FC" w:rsidRPr="005F62F4">
        <w:rPr>
          <w:lang w:eastAsia="en-AU"/>
        </w:rPr>
        <w:t>that</w:t>
      </w:r>
      <w:r w:rsidR="003B627C" w:rsidRPr="005F62F4">
        <w:rPr>
          <w:lang w:eastAsia="en-AU"/>
        </w:rPr>
        <w:t xml:space="preserve"> products </w:t>
      </w:r>
      <w:r w:rsidR="003708FC" w:rsidRPr="005F62F4">
        <w:rPr>
          <w:lang w:eastAsia="en-AU"/>
        </w:rPr>
        <w:t xml:space="preserve">must meet </w:t>
      </w:r>
      <w:proofErr w:type="gramStart"/>
      <w:r w:rsidR="003708FC" w:rsidRPr="005F62F4">
        <w:rPr>
          <w:lang w:eastAsia="en-AU"/>
        </w:rPr>
        <w:t>in order to</w:t>
      </w:r>
      <w:proofErr w:type="gramEnd"/>
      <w:r w:rsidR="003708FC" w:rsidRPr="005F62F4">
        <w:rPr>
          <w:lang w:eastAsia="en-AU"/>
        </w:rPr>
        <w:t xml:space="preserve"> be added to</w:t>
      </w:r>
      <w:r w:rsidR="003B627C" w:rsidRPr="005F62F4">
        <w:rPr>
          <w:lang w:eastAsia="en-AU"/>
        </w:rPr>
        <w:t xml:space="preserve"> PL</w:t>
      </w:r>
      <w:r w:rsidR="00121540" w:rsidRPr="005F62F4">
        <w:rPr>
          <w:lang w:eastAsia="en-AU"/>
        </w:rPr>
        <w:t xml:space="preserve"> (detailed in</w:t>
      </w:r>
      <w:r w:rsidRPr="005F62F4">
        <w:rPr>
          <w:lang w:eastAsia="en-AU"/>
        </w:rPr>
        <w:t xml:space="preserve"> </w:t>
      </w:r>
      <w:r w:rsidR="00121540" w:rsidRPr="005F62F4">
        <w:rPr>
          <w:lang w:eastAsia="en-AU"/>
        </w:rPr>
        <w:fldChar w:fldCharType="begin"/>
      </w:r>
      <w:r w:rsidR="00121540" w:rsidRPr="005F62F4">
        <w:rPr>
          <w:lang w:eastAsia="en-AU"/>
        </w:rPr>
        <w:instrText xml:space="preserve"> REF _Ref119672886 \r \h </w:instrText>
      </w:r>
      <w:r w:rsidR="005F62F4">
        <w:rPr>
          <w:lang w:eastAsia="en-AU"/>
        </w:rPr>
        <w:instrText xml:space="preserve"> \* MERGEFORMAT </w:instrText>
      </w:r>
      <w:r w:rsidR="00121540" w:rsidRPr="005F62F4">
        <w:rPr>
          <w:lang w:eastAsia="en-AU"/>
        </w:rPr>
      </w:r>
      <w:r w:rsidR="00121540" w:rsidRPr="005F62F4">
        <w:rPr>
          <w:lang w:eastAsia="en-AU"/>
        </w:rPr>
        <w:fldChar w:fldCharType="separate"/>
      </w:r>
      <w:r w:rsidR="005606BF">
        <w:rPr>
          <w:lang w:eastAsia="en-AU"/>
        </w:rPr>
        <w:t>Appendix G</w:t>
      </w:r>
      <w:r w:rsidR="00121540" w:rsidRPr="005F62F4">
        <w:rPr>
          <w:lang w:eastAsia="en-AU"/>
        </w:rPr>
        <w:fldChar w:fldCharType="end"/>
      </w:r>
      <w:r w:rsidR="00121540" w:rsidRPr="005F62F4">
        <w:rPr>
          <w:lang w:eastAsia="en-AU"/>
        </w:rPr>
        <w:t>)</w:t>
      </w:r>
      <w:r w:rsidR="001B04CD" w:rsidRPr="005F62F4">
        <w:rPr>
          <w:lang w:eastAsia="en-AU"/>
        </w:rPr>
        <w:t>.</w:t>
      </w:r>
      <w:r w:rsidRPr="005F62F4">
        <w:rPr>
          <w:lang w:eastAsia="en-AU"/>
        </w:rPr>
        <w:t xml:space="preserve"> </w:t>
      </w:r>
      <w:r w:rsidR="0018309F" w:rsidRPr="005F62F4">
        <w:t xml:space="preserve">Many of the </w:t>
      </w:r>
      <w:r w:rsidR="006B5B5D" w:rsidRPr="005F62F4">
        <w:t xml:space="preserve">listed products cannot be categorised as only a surgical guide or </w:t>
      </w:r>
      <w:proofErr w:type="spellStart"/>
      <w:r w:rsidR="006B5B5D" w:rsidRPr="005F62F4">
        <w:t>biomodel</w:t>
      </w:r>
      <w:proofErr w:type="spellEnd"/>
      <w:r w:rsidR="0063630A" w:rsidRPr="005F62F4">
        <w:t>, as they form part of</w:t>
      </w:r>
      <w:r w:rsidR="00A653D4" w:rsidRPr="005F62F4">
        <w:t xml:space="preserve"> a kit that includes </w:t>
      </w:r>
      <w:proofErr w:type="spellStart"/>
      <w:r w:rsidR="005C2013" w:rsidRPr="005F62F4">
        <w:t>biomodel</w:t>
      </w:r>
      <w:r w:rsidR="009E72DF" w:rsidRPr="005F62F4">
        <w:t>s</w:t>
      </w:r>
      <w:proofErr w:type="spellEnd"/>
      <w:r w:rsidR="009E72DF" w:rsidRPr="005F62F4">
        <w:t xml:space="preserve">, </w:t>
      </w:r>
      <w:r w:rsidR="001737BF" w:rsidRPr="005F62F4">
        <w:t xml:space="preserve">surgical guides, </w:t>
      </w:r>
      <w:r w:rsidR="00E867FB" w:rsidRPr="005F62F4">
        <w:t xml:space="preserve">and other items such as </w:t>
      </w:r>
      <w:r w:rsidR="00126547" w:rsidRPr="005F62F4">
        <w:t>fixation</w:t>
      </w:r>
      <w:r w:rsidR="00E867FB" w:rsidRPr="005F62F4">
        <w:t xml:space="preserve"> plates</w:t>
      </w:r>
      <w:r w:rsidR="00126547" w:rsidRPr="005F62F4">
        <w:t>, screws and implants</w:t>
      </w:r>
      <w:r w:rsidR="00E867FB" w:rsidRPr="005F62F4">
        <w:t>.</w:t>
      </w:r>
      <w:r w:rsidR="0059004F" w:rsidRPr="005F62F4" w:rsidDel="00A653D4">
        <w:t xml:space="preserve"> </w:t>
      </w:r>
      <w:r w:rsidR="00274F38" w:rsidRPr="005F62F4">
        <w:t xml:space="preserve">In the following discussion, </w:t>
      </w:r>
      <w:r w:rsidR="0026048B" w:rsidRPr="005F62F4">
        <w:t xml:space="preserve">we consider whether the surgical guides and </w:t>
      </w:r>
      <w:proofErr w:type="spellStart"/>
      <w:r w:rsidR="0026048B" w:rsidRPr="005F62F4">
        <w:t>biomodel</w:t>
      </w:r>
      <w:proofErr w:type="spellEnd"/>
      <w:r w:rsidR="00A12F00" w:rsidRPr="005F62F4">
        <w:t xml:space="preserve"> components of the listed products meet each criterion.</w:t>
      </w:r>
    </w:p>
    <w:p w14:paraId="1F35C0C5" w14:textId="165435CB" w:rsidR="002E56F5" w:rsidRPr="005F62F4" w:rsidRDefault="002E56F5" w:rsidP="00865AA8">
      <w:pPr>
        <w:pStyle w:val="Heading03"/>
      </w:pPr>
      <w:bookmarkStart w:id="229" w:name="_Toc120178329"/>
      <w:r w:rsidRPr="005F62F4">
        <w:t>Criter</w:t>
      </w:r>
      <w:r w:rsidR="00A63885" w:rsidRPr="005F62F4">
        <w:t>ion</w:t>
      </w:r>
      <w:r w:rsidRPr="005F62F4">
        <w:t xml:space="preserve"> </w:t>
      </w:r>
      <w:r w:rsidR="00954A50" w:rsidRPr="005F62F4">
        <w:t>1: Australian Register of Ther</w:t>
      </w:r>
      <w:r w:rsidR="00253DFB" w:rsidRPr="005F62F4">
        <w:t>apeutic Goods</w:t>
      </w:r>
      <w:bookmarkEnd w:id="229"/>
    </w:p>
    <w:p w14:paraId="605A7C1C" w14:textId="7DDC4BAE" w:rsidR="00CE64D8" w:rsidRPr="005F62F4" w:rsidRDefault="00CE64D8" w:rsidP="00CE64D8">
      <w:pPr>
        <w:pStyle w:val="Boxed"/>
      </w:pPr>
      <w:r w:rsidRPr="005F62F4">
        <w:t>1. The product must be entered and current on the Australian Register of Therapeutic Goods</w:t>
      </w:r>
      <w:r w:rsidR="00A939FD" w:rsidRPr="005F62F4">
        <w:t xml:space="preserve"> (ARTG).</w:t>
      </w:r>
    </w:p>
    <w:p w14:paraId="4E06F9DC" w14:textId="70E13602" w:rsidR="00D5022C" w:rsidRPr="005F62F4" w:rsidRDefault="00723965" w:rsidP="00723965">
      <w:pPr>
        <w:pStyle w:val="Para"/>
      </w:pPr>
      <w:r w:rsidRPr="005F62F4">
        <w:t>Of the 32</w:t>
      </w:r>
      <w:r w:rsidR="006E58C2" w:rsidRPr="005F62F4">
        <w:t> </w:t>
      </w:r>
      <w:r w:rsidRPr="005F62F4">
        <w:t xml:space="preserve">products in this review, </w:t>
      </w:r>
      <w:r w:rsidR="00122C2E" w:rsidRPr="005F62F4">
        <w:t>30 products</w:t>
      </w:r>
      <w:r w:rsidR="00ED261E" w:rsidRPr="005F62F4">
        <w:t xml:space="preserve"> </w:t>
      </w:r>
      <w:r w:rsidRPr="005F62F4">
        <w:t xml:space="preserve">are listed on the </w:t>
      </w:r>
      <w:proofErr w:type="gramStart"/>
      <w:r w:rsidRPr="005F62F4">
        <w:t>ARTG</w:t>
      </w:r>
      <w:proofErr w:type="gramEnd"/>
      <w:r w:rsidR="00122C2E" w:rsidRPr="005F62F4">
        <w:t xml:space="preserve"> and the remaining 2 products </w:t>
      </w:r>
      <w:r w:rsidRPr="005F62F4">
        <w:t xml:space="preserve">are registered </w:t>
      </w:r>
      <w:r w:rsidR="00AB4875" w:rsidRPr="005F62F4">
        <w:t>under</w:t>
      </w:r>
      <w:r w:rsidRPr="005F62F4">
        <w:t xml:space="preserve"> transition</w:t>
      </w:r>
      <w:r w:rsidR="00FE1C31" w:rsidRPr="005F62F4">
        <w:t xml:space="preserve"> </w:t>
      </w:r>
      <w:r w:rsidRPr="005F62F4">
        <w:t>arrangements</w:t>
      </w:r>
      <w:r w:rsidR="008F1078" w:rsidRPr="005F62F4">
        <w:t>.</w:t>
      </w:r>
      <w:r w:rsidR="002F1627" w:rsidRPr="005F62F4">
        <w:t xml:space="preserve"> </w:t>
      </w:r>
      <w:r w:rsidR="008F1078" w:rsidRPr="005F62F4">
        <w:t>T</w:t>
      </w:r>
      <w:r w:rsidR="00625555" w:rsidRPr="005F62F4">
        <w:t xml:space="preserve">his criterion is </w:t>
      </w:r>
      <w:r w:rsidR="008F1078" w:rsidRPr="005F62F4">
        <w:t xml:space="preserve">therefore </w:t>
      </w:r>
      <w:r w:rsidR="00625555" w:rsidRPr="005F62F4">
        <w:rPr>
          <w:rStyle w:val="Strong"/>
        </w:rPr>
        <w:t>met</w:t>
      </w:r>
      <w:r w:rsidRPr="005F62F4">
        <w:t>.</w:t>
      </w:r>
    </w:p>
    <w:p w14:paraId="70DA3EF5" w14:textId="01ED726C" w:rsidR="00723965" w:rsidRPr="005F62F4" w:rsidRDefault="00A939FD" w:rsidP="00723965">
      <w:pPr>
        <w:pStyle w:val="Para"/>
      </w:pPr>
      <w:r w:rsidRPr="005F62F4">
        <w:t>The 2 </w:t>
      </w:r>
      <w:r w:rsidR="00282E6B" w:rsidRPr="005F62F4">
        <w:t xml:space="preserve">products </w:t>
      </w:r>
      <w:r w:rsidRPr="005F62F4">
        <w:t>under transition arrangements are both sponsored by KLS Martin (UNIQOS Patient Specific Surgical Guides and the U</w:t>
      </w:r>
      <w:r w:rsidR="005074EC" w:rsidRPr="005F62F4">
        <w:t>N</w:t>
      </w:r>
      <w:r w:rsidRPr="005F62F4">
        <w:t xml:space="preserve">IQOS Patient Specific Anatomical </w:t>
      </w:r>
      <w:proofErr w:type="spellStart"/>
      <w:r w:rsidRPr="005F62F4">
        <w:t>Biomodel</w:t>
      </w:r>
      <w:proofErr w:type="spellEnd"/>
      <w:r w:rsidRPr="005F62F4">
        <w:t>).</w:t>
      </w:r>
      <w:r w:rsidR="00262062" w:rsidRPr="005F62F4">
        <w:rPr>
          <w:rStyle w:val="FootnoteReference"/>
        </w:rPr>
        <w:footnoteReference w:id="16"/>
      </w:r>
      <w:r w:rsidR="00D5022C" w:rsidRPr="005F62F4">
        <w:t xml:space="preserve"> </w:t>
      </w:r>
      <w:r w:rsidR="00723965" w:rsidRPr="005F62F4">
        <w:t>Should approval not be provided by the TG</w:t>
      </w:r>
      <w:r w:rsidR="009D1F9B" w:rsidRPr="005F62F4">
        <w:t>A</w:t>
      </w:r>
      <w:r w:rsidR="00723965" w:rsidRPr="005F62F4">
        <w:t xml:space="preserve">, </w:t>
      </w:r>
      <w:r w:rsidR="00F907E8" w:rsidRPr="005F62F4">
        <w:t>the</w:t>
      </w:r>
      <w:r w:rsidR="0085217C" w:rsidRPr="005F62F4">
        <w:t>se</w:t>
      </w:r>
      <w:r w:rsidR="0071079A" w:rsidRPr="005F62F4">
        <w:t xml:space="preserve"> </w:t>
      </w:r>
      <w:r w:rsidR="00723965" w:rsidRPr="005F62F4">
        <w:t>products will not be eligible for the PL.</w:t>
      </w:r>
    </w:p>
    <w:p w14:paraId="66DD7BBD" w14:textId="3EF47944" w:rsidR="00954983" w:rsidRPr="005F62F4" w:rsidRDefault="00996AB0" w:rsidP="00AA50CF">
      <w:pPr>
        <w:pStyle w:val="Para"/>
      </w:pPr>
      <w:r w:rsidRPr="005F62F4">
        <w:fldChar w:fldCharType="begin"/>
      </w:r>
      <w:r w:rsidRPr="005F62F4">
        <w:instrText xml:space="preserve"> REF _Ref119605250 \n \h </w:instrText>
      </w:r>
      <w:r w:rsidR="005F62F4">
        <w:instrText xml:space="preserve"> \* MERGEFORMAT </w:instrText>
      </w:r>
      <w:r w:rsidRPr="005F62F4">
        <w:fldChar w:fldCharType="separate"/>
      </w:r>
      <w:r w:rsidR="005606BF">
        <w:t>Appendix B</w:t>
      </w:r>
      <w:r w:rsidRPr="005F62F4">
        <w:fldChar w:fldCharType="end"/>
      </w:r>
      <w:r w:rsidR="00954983" w:rsidRPr="005F62F4">
        <w:t xml:space="preserve"> details the ARTG status for each product</w:t>
      </w:r>
      <w:r w:rsidR="00684AEB" w:rsidRPr="005F62F4">
        <w:t xml:space="preserve">, </w:t>
      </w:r>
      <w:r w:rsidR="00597C28" w:rsidRPr="005F62F4">
        <w:t xml:space="preserve">along with </w:t>
      </w:r>
      <w:r w:rsidR="00E67FC2" w:rsidRPr="005F62F4">
        <w:t>the</w:t>
      </w:r>
      <w:r w:rsidR="00597C28" w:rsidRPr="005F62F4">
        <w:t xml:space="preserve"> </w:t>
      </w:r>
      <w:r w:rsidR="008B3AEB" w:rsidRPr="005F62F4">
        <w:t xml:space="preserve">identification numbers, </w:t>
      </w:r>
      <w:r w:rsidR="00954983" w:rsidRPr="005F62F4">
        <w:t>intended purpose</w:t>
      </w:r>
      <w:r w:rsidR="00367A56" w:rsidRPr="005F62F4">
        <w:t xml:space="preserve">, whether implants are included, </w:t>
      </w:r>
      <w:r w:rsidR="008B3AEB" w:rsidRPr="005F62F4" w:rsidDel="00367A56">
        <w:t xml:space="preserve">and </w:t>
      </w:r>
      <w:r w:rsidR="00367A56" w:rsidRPr="005F62F4">
        <w:t>the</w:t>
      </w:r>
      <w:r w:rsidR="008B3AEB" w:rsidRPr="005F62F4">
        <w:t xml:space="preserve"> benefits payable</w:t>
      </w:r>
      <w:r w:rsidR="00954983" w:rsidRPr="005F62F4">
        <w:t>.</w:t>
      </w:r>
    </w:p>
    <w:p w14:paraId="67DF6569" w14:textId="77777777" w:rsidR="004D1801" w:rsidRPr="005F62F4" w:rsidRDefault="004D1801" w:rsidP="004D1801">
      <w:bookmarkStart w:id="230" w:name="_Toc120178330"/>
      <w:r w:rsidRPr="005F62F4">
        <w:br w:type="page"/>
      </w:r>
    </w:p>
    <w:p w14:paraId="691A5517" w14:textId="1680D7B1" w:rsidR="003F3A81" w:rsidRPr="005F62F4" w:rsidRDefault="00253DFB" w:rsidP="004F2931">
      <w:pPr>
        <w:pStyle w:val="Heading3"/>
      </w:pPr>
      <w:r w:rsidRPr="005F62F4">
        <w:lastRenderedPageBreak/>
        <w:t>Criteri</w:t>
      </w:r>
      <w:r w:rsidR="00A63885" w:rsidRPr="005F62F4">
        <w:t>on</w:t>
      </w:r>
      <w:r w:rsidRPr="005F62F4">
        <w:t xml:space="preserve"> 2: Hospital or hospital</w:t>
      </w:r>
      <w:r w:rsidR="00D25682" w:rsidRPr="005F62F4">
        <w:t>-substitute</w:t>
      </w:r>
      <w:r w:rsidRPr="005F62F4">
        <w:t xml:space="preserve"> treatment</w:t>
      </w:r>
      <w:bookmarkEnd w:id="230"/>
    </w:p>
    <w:p w14:paraId="33631425" w14:textId="1813F392" w:rsidR="00CE64D8" w:rsidRPr="005F62F4" w:rsidRDefault="00CE64D8" w:rsidP="00CE64D8">
      <w:pPr>
        <w:pStyle w:val="Boxed"/>
      </w:pPr>
      <w:r w:rsidRPr="005F62F4">
        <w:t>2. The product must be provided to a person as part of an episode of hospital treatment or</w:t>
      </w:r>
      <w:r w:rsidR="00AA50CF" w:rsidRPr="005F62F4">
        <w:t xml:space="preserve"> </w:t>
      </w:r>
      <w:r w:rsidRPr="005F62F4">
        <w:t>hospital-substitute treatment</w:t>
      </w:r>
      <w:r w:rsidR="00941FDD" w:rsidRPr="005F62F4">
        <w:t>.</w:t>
      </w:r>
    </w:p>
    <w:p w14:paraId="1318B6D1" w14:textId="1C4679BE" w:rsidR="00F16BA4" w:rsidRPr="005F62F4" w:rsidRDefault="001C00C8" w:rsidP="00BC27B7">
      <w:pPr>
        <w:pStyle w:val="Para"/>
      </w:pPr>
      <w:r w:rsidRPr="005F62F4">
        <w:t xml:space="preserve">Based on the data we have </w:t>
      </w:r>
      <w:proofErr w:type="gramStart"/>
      <w:r w:rsidRPr="005F62F4">
        <w:t>reviewed,</w:t>
      </w:r>
      <w:proofErr w:type="gramEnd"/>
      <w:r w:rsidRPr="005F62F4">
        <w:t xml:space="preserve"> we understand all </w:t>
      </w:r>
      <w:r w:rsidR="00863A50" w:rsidRPr="005F62F4">
        <w:t xml:space="preserve">products </w:t>
      </w:r>
      <w:r w:rsidR="00C93361" w:rsidRPr="005F62F4">
        <w:t>for which bene</w:t>
      </w:r>
      <w:r w:rsidR="00353328" w:rsidRPr="005F62F4">
        <w:t>fits have been paid</w:t>
      </w:r>
      <w:r w:rsidR="00863A50" w:rsidRPr="005F62F4">
        <w:t xml:space="preserve"> </w:t>
      </w:r>
      <w:r w:rsidR="00353328" w:rsidRPr="005F62F4">
        <w:t>have been</w:t>
      </w:r>
      <w:r w:rsidR="00863A50" w:rsidRPr="005F62F4">
        <w:t xml:space="preserve"> </w:t>
      </w:r>
      <w:r w:rsidR="00032837" w:rsidRPr="005F62F4">
        <w:t>used during</w:t>
      </w:r>
      <w:r w:rsidR="00863A50" w:rsidRPr="005F62F4">
        <w:t xml:space="preserve"> an episode of hospital treatment or hospital-substitute treatment</w:t>
      </w:r>
      <w:r w:rsidR="008F1078" w:rsidRPr="005F62F4">
        <w:t>.</w:t>
      </w:r>
      <w:r w:rsidR="00863A50" w:rsidRPr="005F62F4">
        <w:t xml:space="preserve"> </w:t>
      </w:r>
      <w:r w:rsidR="008F1078" w:rsidRPr="005F62F4">
        <w:t xml:space="preserve">This </w:t>
      </w:r>
      <w:r w:rsidR="00863A50" w:rsidRPr="005F62F4">
        <w:t>this criterion is</w:t>
      </w:r>
      <w:r w:rsidR="008F1078" w:rsidRPr="005F62F4">
        <w:t xml:space="preserve"> therefore</w:t>
      </w:r>
      <w:r w:rsidR="00863A50" w:rsidRPr="005F62F4">
        <w:t xml:space="preserve"> </w:t>
      </w:r>
      <w:r w:rsidR="00863A50" w:rsidRPr="005F62F4">
        <w:rPr>
          <w:rStyle w:val="Strong"/>
        </w:rPr>
        <w:t>met</w:t>
      </w:r>
      <w:r w:rsidR="00863A50" w:rsidRPr="005F62F4">
        <w:t>.</w:t>
      </w:r>
    </w:p>
    <w:p w14:paraId="786EA7D4" w14:textId="35E3158F" w:rsidR="00375DFC" w:rsidRPr="005F62F4" w:rsidRDefault="00A174E1" w:rsidP="00375DFC">
      <w:pPr>
        <w:pStyle w:val="Para"/>
      </w:pPr>
      <w:r w:rsidRPr="005F62F4">
        <w:t xml:space="preserve">However, </w:t>
      </w:r>
      <w:r w:rsidR="00DA2B91" w:rsidRPr="005F62F4">
        <w:t>private health insurers</w:t>
      </w:r>
      <w:r w:rsidR="003F35AC" w:rsidRPr="005F62F4">
        <w:t xml:space="preserve"> reported </w:t>
      </w:r>
      <w:r w:rsidR="00BC27B7" w:rsidRPr="005F62F4">
        <w:t xml:space="preserve">that </w:t>
      </w:r>
      <w:r w:rsidR="00B03293" w:rsidRPr="005F62F4">
        <w:t xml:space="preserve">they are seeing </w:t>
      </w:r>
      <w:r w:rsidR="00BC27B7" w:rsidRPr="005F62F4">
        <w:t>low</w:t>
      </w:r>
      <w:r w:rsidRPr="005F62F4">
        <w:t>-</w:t>
      </w:r>
      <w:r w:rsidR="00BC27B7" w:rsidRPr="005F62F4">
        <w:t xml:space="preserve">complexity surgical procedures </w:t>
      </w:r>
      <w:r w:rsidR="00DB35E6" w:rsidRPr="005F62F4">
        <w:t>–</w:t>
      </w:r>
      <w:r w:rsidR="00BC27B7" w:rsidRPr="005F62F4">
        <w:t xml:space="preserve"> such as denta</w:t>
      </w:r>
      <w:r w:rsidR="00BA0B55" w:rsidRPr="005F62F4">
        <w:t>l procedures</w:t>
      </w:r>
      <w:r w:rsidR="00BC27B7" w:rsidRPr="005F62F4">
        <w:t xml:space="preserve"> which can be </w:t>
      </w:r>
      <w:r w:rsidR="005648FB" w:rsidRPr="005F62F4">
        <w:t>undertaken</w:t>
      </w:r>
      <w:r w:rsidR="00BC27B7" w:rsidRPr="005F62F4">
        <w:t xml:space="preserve"> in an ambulatory or </w:t>
      </w:r>
      <w:r w:rsidR="00DC7E3F" w:rsidRPr="005F62F4">
        <w:t>non</w:t>
      </w:r>
      <w:r w:rsidR="00032837" w:rsidRPr="005F62F4">
        <w:noBreakHyphen/>
      </w:r>
      <w:r w:rsidR="00DC7E3F" w:rsidRPr="005F62F4">
        <w:t xml:space="preserve">hospital </w:t>
      </w:r>
      <w:r w:rsidR="00BC27B7" w:rsidRPr="005F62F4">
        <w:t xml:space="preserve">setting </w:t>
      </w:r>
      <w:r w:rsidR="00DB35E6" w:rsidRPr="005F62F4">
        <w:t>–</w:t>
      </w:r>
      <w:r w:rsidR="00BE073F" w:rsidRPr="005F62F4">
        <w:t xml:space="preserve"> </w:t>
      </w:r>
      <w:r w:rsidR="008072D3" w:rsidRPr="005F62F4">
        <w:t>occurring</w:t>
      </w:r>
      <w:r w:rsidR="00BC27B7" w:rsidRPr="005F62F4">
        <w:t xml:space="preserve"> in higher</w:t>
      </w:r>
      <w:r w:rsidR="00C25932" w:rsidRPr="005F62F4">
        <w:t>-</w:t>
      </w:r>
      <w:r w:rsidR="00BC27B7" w:rsidRPr="005F62F4">
        <w:t>cost settings such as day hospitals</w:t>
      </w:r>
      <w:r w:rsidR="00740902" w:rsidRPr="005F62F4">
        <w:t xml:space="preserve">. </w:t>
      </w:r>
      <w:r w:rsidR="00B03293" w:rsidRPr="005F62F4">
        <w:t>This</w:t>
      </w:r>
      <w:r w:rsidR="00CB7209" w:rsidRPr="005F62F4">
        <w:t xml:space="preserve"> </w:t>
      </w:r>
      <w:r w:rsidR="008A3D4C" w:rsidRPr="005F62F4">
        <w:t>enables</w:t>
      </w:r>
      <w:r w:rsidR="007F49BB" w:rsidRPr="005F62F4">
        <w:t xml:space="preserve"> PL benefits </w:t>
      </w:r>
      <w:r w:rsidR="008A3D4C" w:rsidRPr="005F62F4">
        <w:t xml:space="preserve">for use of surgical guides and </w:t>
      </w:r>
      <w:proofErr w:type="spellStart"/>
      <w:r w:rsidR="008A3D4C" w:rsidRPr="005F62F4">
        <w:t>biomodels</w:t>
      </w:r>
      <w:proofErr w:type="spellEnd"/>
      <w:r w:rsidR="008A3D4C" w:rsidRPr="005F62F4">
        <w:t xml:space="preserve"> to be claimed, which would not be possible if the procedure was undertaken </w:t>
      </w:r>
      <w:r w:rsidR="00792798" w:rsidRPr="005F62F4">
        <w:t>in general dental surgeries.</w:t>
      </w:r>
      <w:r w:rsidR="00374B3C" w:rsidRPr="005F62F4">
        <w:t xml:space="preserve"> We recommend the department investigates this issue.</w:t>
      </w:r>
    </w:p>
    <w:p w14:paraId="7CDE12AB" w14:textId="5703C3D1" w:rsidR="00D17A23" w:rsidRPr="005F62F4" w:rsidRDefault="009C4A87" w:rsidP="004F2931">
      <w:pPr>
        <w:pStyle w:val="Heading3"/>
      </w:pPr>
      <w:bookmarkStart w:id="231" w:name="_Toc120178331"/>
      <w:r w:rsidRPr="005F62F4">
        <w:t>Criteri</w:t>
      </w:r>
      <w:r w:rsidR="00A63885" w:rsidRPr="005F62F4">
        <w:t>on</w:t>
      </w:r>
      <w:r w:rsidRPr="005F62F4">
        <w:t xml:space="preserve"> </w:t>
      </w:r>
      <w:r w:rsidR="00D17A23" w:rsidRPr="005F62F4">
        <w:t>3: MBS eligibility</w:t>
      </w:r>
      <w:bookmarkEnd w:id="231"/>
    </w:p>
    <w:p w14:paraId="530CBF40" w14:textId="2AFF27BA" w:rsidR="00CE64D8" w:rsidRPr="005F62F4" w:rsidRDefault="00CE64D8" w:rsidP="00CE64D8">
      <w:pPr>
        <w:pStyle w:val="Boxed"/>
      </w:pPr>
      <w:r w:rsidRPr="005F62F4">
        <w:t>3. A Medicare benefit must be payable in respect of the professional service associated with</w:t>
      </w:r>
      <w:r w:rsidR="00B36D9A" w:rsidRPr="005F62F4">
        <w:t xml:space="preserve"> </w:t>
      </w:r>
      <w:r w:rsidRPr="005F62F4">
        <w:t>the provision of the product (or the provision of the product is associated with podiatric</w:t>
      </w:r>
      <w:r w:rsidR="00B36D9A" w:rsidRPr="005F62F4">
        <w:t xml:space="preserve"> </w:t>
      </w:r>
      <w:r w:rsidRPr="005F62F4">
        <w:t>treatment by an accredited podiatrist)</w:t>
      </w:r>
      <w:r w:rsidR="00941FDD" w:rsidRPr="005F62F4">
        <w:t>.</w:t>
      </w:r>
    </w:p>
    <w:p w14:paraId="05095893" w14:textId="3C653213" w:rsidR="00F654FE" w:rsidRPr="005F62F4" w:rsidRDefault="00F654FE" w:rsidP="00F84ACC">
      <w:pPr>
        <w:pStyle w:val="Para"/>
      </w:pPr>
      <w:r w:rsidRPr="005F62F4">
        <w:t xml:space="preserve">Based on the data available, we understand that Medicare benefits were payable for all instances where </w:t>
      </w:r>
      <w:r w:rsidR="00A07E6B" w:rsidRPr="005F62F4">
        <w:t xml:space="preserve">PL </w:t>
      </w:r>
      <w:r w:rsidRPr="005F62F4">
        <w:t xml:space="preserve">benefits for the listed surgical guides and </w:t>
      </w:r>
      <w:proofErr w:type="spellStart"/>
      <w:r w:rsidRPr="005F62F4">
        <w:t>biomodels</w:t>
      </w:r>
      <w:proofErr w:type="spellEnd"/>
      <w:r w:rsidRPr="005F62F4">
        <w:t xml:space="preserve"> were paid. This criterion is therefore </w:t>
      </w:r>
      <w:r w:rsidRPr="005F62F4">
        <w:rPr>
          <w:b/>
          <w:bCs/>
        </w:rPr>
        <w:t>met</w:t>
      </w:r>
      <w:r w:rsidRPr="005F62F4">
        <w:t>.</w:t>
      </w:r>
    </w:p>
    <w:p w14:paraId="40408EBB" w14:textId="01953835" w:rsidR="004945F9" w:rsidRPr="005F62F4" w:rsidRDefault="00B819A7" w:rsidP="00A9563E">
      <w:pPr>
        <w:pStyle w:val="Para"/>
      </w:pPr>
      <w:r w:rsidRPr="005F62F4">
        <w:t>However,</w:t>
      </w:r>
      <w:r w:rsidR="00CA678E" w:rsidRPr="005F62F4">
        <w:t xml:space="preserve"> </w:t>
      </w:r>
      <w:r w:rsidR="00D80C71" w:rsidRPr="005F62F4">
        <w:t>explanatory notes</w:t>
      </w:r>
      <w:r w:rsidR="00B82655" w:rsidRPr="005F62F4">
        <w:t xml:space="preserve"> on the rationale</w:t>
      </w:r>
      <w:r w:rsidR="00D80C71" w:rsidRPr="005F62F4">
        <w:t xml:space="preserve"> for criterion 3 stipulate that </w:t>
      </w:r>
      <w:r w:rsidR="00CA678E" w:rsidRPr="005F62F4">
        <w:t xml:space="preserve">the </w:t>
      </w:r>
      <w:r w:rsidR="00D80C71" w:rsidRPr="005F62F4">
        <w:t xml:space="preserve">Medicare benefit should be payable under an item that is specific to the procedure in which the product is </w:t>
      </w:r>
      <w:r w:rsidR="009514F6" w:rsidRPr="005F62F4">
        <w:t>‘</w:t>
      </w:r>
      <w:r w:rsidR="00D80C71" w:rsidRPr="005F62F4">
        <w:t>delivered</w:t>
      </w:r>
      <w:r w:rsidR="009514F6" w:rsidRPr="005F62F4">
        <w:t>’</w:t>
      </w:r>
      <w:r w:rsidR="00F43585" w:rsidRPr="005F62F4">
        <w:t xml:space="preserve"> </w:t>
      </w:r>
      <w:r w:rsidR="00F43585" w:rsidRPr="005F62F4">
        <w:fldChar w:fldCharType="begin" w:fldLock="1"/>
      </w:r>
      <w:r w:rsidR="00F43585" w:rsidRPr="005F62F4">
        <w:instrText>ADDIN CSL_CITATION {"citationItems":[{"id":"ITEM-1","itemData":{"ISBN":"9781760073077","author":[{"dropping-particle":"","family":"Department of Health","given":"","non-dropping-particle":"","parse-names":false,"suffix":""}],"id":"ITEM-1","issue":"February 2017","issued":{"date-parts":[["2017"]]},"publisher":"Commonwealth of Australia","title":"Prostheses List guide","type":"book"},"uris":["http://www.mendeley.com/documents/?uuid=8df7b192-cd82-4cdf-b6d6-fc4d6d6cb508"]}],"mendeley":{"formattedCitation":"(Department of Health 2017)","manualFormatting":"(Department of Health 2017, p. 14)","plainTextFormattedCitation":"(Department of Health 2017)","previouslyFormattedCitation":"(Department of Health 2017)"},"properties":{"noteIndex":0},"schema":"https://github.com/citation-style-language/schema/raw/master/csl-citation.json"}</w:instrText>
      </w:r>
      <w:r w:rsidR="00F43585" w:rsidRPr="005F62F4">
        <w:fldChar w:fldCharType="separate"/>
      </w:r>
      <w:r w:rsidR="00F43585" w:rsidRPr="005F62F4">
        <w:rPr>
          <w:noProof/>
        </w:rPr>
        <w:t>(Department of Health 2017, p. 14)</w:t>
      </w:r>
      <w:r w:rsidR="00F43585" w:rsidRPr="005F62F4">
        <w:fldChar w:fldCharType="end"/>
      </w:r>
      <w:r w:rsidR="00A0184B" w:rsidRPr="005F62F4">
        <w:t xml:space="preserve">. </w:t>
      </w:r>
      <w:r w:rsidR="0001506C" w:rsidRPr="005F62F4">
        <w:t xml:space="preserve">Conversely, </w:t>
      </w:r>
      <w:r w:rsidR="00A0184B" w:rsidRPr="005F62F4">
        <w:t xml:space="preserve">private health insurers are required </w:t>
      </w:r>
      <w:r w:rsidR="009C0883" w:rsidRPr="005F62F4">
        <w:t xml:space="preserve">by law </w:t>
      </w:r>
      <w:r w:rsidR="00DE4976" w:rsidRPr="005F62F4">
        <w:t xml:space="preserve">(under the </w:t>
      </w:r>
      <w:r w:rsidR="00DE4976" w:rsidRPr="005F62F4">
        <w:rPr>
          <w:rStyle w:val="BookTitle"/>
        </w:rPr>
        <w:t>Private Health Insurance (Prostheses) Rules</w:t>
      </w:r>
      <w:r w:rsidR="00DE4976" w:rsidRPr="005F62F4">
        <w:t xml:space="preserve">) </w:t>
      </w:r>
      <w:r w:rsidR="00A0184B" w:rsidRPr="005F62F4">
        <w:t xml:space="preserve">to pay benefits for PL products </w:t>
      </w:r>
      <w:r w:rsidR="00A0184B" w:rsidRPr="005F62F4">
        <w:rPr>
          <w:rStyle w:val="Emphasis"/>
        </w:rPr>
        <w:t>regardless</w:t>
      </w:r>
      <w:r w:rsidR="00A0184B" w:rsidRPr="005F62F4">
        <w:t xml:space="preserve"> of </w:t>
      </w:r>
      <w:r w:rsidR="007B6CB7" w:rsidRPr="005F62F4">
        <w:t>the type of procedures they are used for</w:t>
      </w:r>
      <w:r w:rsidR="00D80C71" w:rsidRPr="005F62F4">
        <w:t>.</w:t>
      </w:r>
    </w:p>
    <w:p w14:paraId="1395FF72" w14:textId="197CE256" w:rsidR="00CF2FFC" w:rsidRPr="005F62F4" w:rsidRDefault="00AF606F" w:rsidP="0025112A">
      <w:pPr>
        <w:pStyle w:val="Para"/>
      </w:pPr>
      <w:r w:rsidRPr="005F62F4">
        <w:t>Stakeholders – including private</w:t>
      </w:r>
      <w:r w:rsidR="00697530" w:rsidRPr="005F62F4">
        <w:t xml:space="preserve"> </w:t>
      </w:r>
      <w:r w:rsidR="00B819A7" w:rsidRPr="005F62F4">
        <w:t>health insurers</w:t>
      </w:r>
      <w:r w:rsidRPr="005F62F4">
        <w:t xml:space="preserve"> and sponsors </w:t>
      </w:r>
      <w:r w:rsidR="008010E7" w:rsidRPr="005F62F4">
        <w:t>–</w:t>
      </w:r>
      <w:r w:rsidR="00B819A7" w:rsidRPr="005F62F4">
        <w:t xml:space="preserve"> reported </w:t>
      </w:r>
      <w:proofErr w:type="gramStart"/>
      <w:r w:rsidR="00B819A7" w:rsidRPr="005F62F4">
        <w:t>a number of</w:t>
      </w:r>
      <w:proofErr w:type="gramEnd"/>
      <w:r w:rsidR="00B819A7" w:rsidRPr="005F62F4">
        <w:t xml:space="preserve"> instances where </w:t>
      </w:r>
      <w:r w:rsidR="00BD0330" w:rsidRPr="005F62F4">
        <w:t>MBS item numbers may be inappropriately used to enable payment of benefits through the PL</w:t>
      </w:r>
      <w:r w:rsidR="00697530" w:rsidRPr="005F62F4">
        <w:t>.</w:t>
      </w:r>
      <w:r w:rsidR="0051082B" w:rsidRPr="005F62F4">
        <w:t xml:space="preserve"> </w:t>
      </w:r>
      <w:r w:rsidR="00F837D1" w:rsidRPr="005F62F4">
        <w:t>For example</w:t>
      </w:r>
      <w:r w:rsidR="00A9563E" w:rsidRPr="005F62F4">
        <w:t>, we</w:t>
      </w:r>
      <w:r w:rsidR="00CF2FFC" w:rsidRPr="005F62F4">
        <w:t xml:space="preserve"> note from utilisation data that benefits have been paid for surgical guides and </w:t>
      </w:r>
      <w:proofErr w:type="spellStart"/>
      <w:r w:rsidR="00CF2FFC" w:rsidRPr="005F62F4">
        <w:t>biomodels</w:t>
      </w:r>
      <w:proofErr w:type="spellEnd"/>
      <w:r w:rsidR="00CF2FFC" w:rsidRPr="005F62F4">
        <w:t xml:space="preserve"> for TMJ arthroscopies</w:t>
      </w:r>
      <w:r w:rsidR="004C2F09" w:rsidRPr="005F62F4">
        <w:t xml:space="preserve"> </w:t>
      </w:r>
      <w:r w:rsidR="004C2F09" w:rsidRPr="005F62F4">
        <w:rPr>
          <w:bCs/>
        </w:rPr>
        <w:t>(</w:t>
      </w:r>
      <w:r w:rsidR="0085641C" w:rsidRPr="005F62F4">
        <w:rPr>
          <w:bCs/>
        </w:rPr>
        <w:t xml:space="preserve">MBS item number </w:t>
      </w:r>
      <w:r w:rsidR="004C2F09" w:rsidRPr="005F62F4">
        <w:rPr>
          <w:bCs/>
        </w:rPr>
        <w:t>45857)</w:t>
      </w:r>
      <w:r w:rsidR="00CF2FFC" w:rsidRPr="005F62F4">
        <w:t>, a procedure where the surgery does not appear to involve implantation of a device</w:t>
      </w:r>
      <w:r w:rsidR="00DE5B2B" w:rsidRPr="005F62F4">
        <w:t xml:space="preserve"> (</w:t>
      </w:r>
      <w:r w:rsidR="003C3586" w:rsidRPr="005F62F4">
        <w:t>therefore does not meet</w:t>
      </w:r>
      <w:r w:rsidR="00DE5B2B" w:rsidRPr="005F62F4">
        <w:t xml:space="preserve"> </w:t>
      </w:r>
      <w:r w:rsidR="00517EB2" w:rsidRPr="005F62F4">
        <w:t>Criterion 4</w:t>
      </w:r>
      <w:r w:rsidR="00DE5B2B" w:rsidRPr="005F62F4">
        <w:t>)</w:t>
      </w:r>
      <w:r w:rsidR="00CF2FFC" w:rsidRPr="005F62F4">
        <w:t>.</w:t>
      </w:r>
    </w:p>
    <w:p w14:paraId="03B5BEE1" w14:textId="268A7FB7" w:rsidR="00D427F0" w:rsidRPr="005F62F4" w:rsidRDefault="00A96A2D" w:rsidP="0071257B">
      <w:pPr>
        <w:pStyle w:val="ParaKeep"/>
        <w:ind w:right="-113"/>
      </w:pPr>
      <w:r w:rsidRPr="005F62F4">
        <w:lastRenderedPageBreak/>
        <w:t xml:space="preserve">We also heard that the MBS item number for </w:t>
      </w:r>
      <w:r w:rsidRPr="005F62F4">
        <w:rPr>
          <w:b/>
        </w:rPr>
        <w:t>alveolar ridge augmentation</w:t>
      </w:r>
      <w:r w:rsidRPr="005F62F4">
        <w:t xml:space="preserve"> (</w:t>
      </w:r>
      <w:r w:rsidR="00100BB9" w:rsidRPr="005F62F4">
        <w:t>45841)</w:t>
      </w:r>
      <w:r w:rsidR="00AA2828" w:rsidRPr="005F62F4">
        <w:t xml:space="preserve"> </w:t>
      </w:r>
      <w:r w:rsidR="00885956" w:rsidRPr="005F62F4">
        <w:t xml:space="preserve">may be used </w:t>
      </w:r>
      <w:r w:rsidR="00AA2828" w:rsidRPr="005F62F4">
        <w:t xml:space="preserve">to enable </w:t>
      </w:r>
      <w:r w:rsidR="00A07E6B" w:rsidRPr="005F62F4">
        <w:t>PL benefits</w:t>
      </w:r>
      <w:r w:rsidR="00885956" w:rsidRPr="005F62F4">
        <w:t xml:space="preserve"> </w:t>
      </w:r>
      <w:r w:rsidR="00AA2828" w:rsidRPr="005F62F4">
        <w:t xml:space="preserve">to </w:t>
      </w:r>
      <w:r w:rsidR="00885956" w:rsidRPr="005F62F4">
        <w:t>be claimed</w:t>
      </w:r>
      <w:r w:rsidR="00A07E6B" w:rsidRPr="005F62F4">
        <w:t xml:space="preserve"> for </w:t>
      </w:r>
      <w:r w:rsidR="00AA2828" w:rsidRPr="005F62F4">
        <w:t xml:space="preserve">surgical guides and </w:t>
      </w:r>
      <w:proofErr w:type="spellStart"/>
      <w:r w:rsidR="00AA2828" w:rsidRPr="005F62F4">
        <w:t>biomodels</w:t>
      </w:r>
      <w:proofErr w:type="spellEnd"/>
      <w:r w:rsidR="00AA2828" w:rsidRPr="005F62F4">
        <w:t xml:space="preserve"> for dental implants, which would not otherwise be possible because dental</w:t>
      </w:r>
      <w:r w:rsidR="00F43612" w:rsidRPr="005F62F4">
        <w:t xml:space="preserve"> </w:t>
      </w:r>
      <w:r w:rsidR="00C21A58" w:rsidRPr="005F62F4">
        <w:t>procedures are not covered by the MBS</w:t>
      </w:r>
      <w:r w:rsidR="007C0752" w:rsidRPr="005F62F4">
        <w:t>.</w:t>
      </w:r>
      <w:r w:rsidR="00C21A58" w:rsidRPr="005F62F4">
        <w:rPr>
          <w:rStyle w:val="FootnoteReference"/>
        </w:rPr>
        <w:footnoteReference w:id="17"/>
      </w:r>
    </w:p>
    <w:p w14:paraId="42D9030E" w14:textId="4888C989" w:rsidR="003C76D2" w:rsidRPr="005F62F4" w:rsidRDefault="003C76D2" w:rsidP="00994843">
      <w:pPr>
        <w:pStyle w:val="Pullquote"/>
      </w:pPr>
      <w:r w:rsidRPr="005F62F4">
        <w:t xml:space="preserve">Alveolar ridge augmentation is done essentially only for dental implants. So surgical guides and </w:t>
      </w:r>
      <w:proofErr w:type="spellStart"/>
      <w:r w:rsidRPr="005F62F4">
        <w:t>biomodels</w:t>
      </w:r>
      <w:proofErr w:type="spellEnd"/>
      <w:r w:rsidRPr="005F62F4">
        <w:t xml:space="preserve"> are being used in undertaking dental implant surgery (which can occur concurrently with an alveolar ridge augmentation). As dental implants do not qualify for the MBS, then the use of surgical guides or </w:t>
      </w:r>
      <w:proofErr w:type="spellStart"/>
      <w:r w:rsidRPr="005F62F4">
        <w:t>biomodels</w:t>
      </w:r>
      <w:proofErr w:type="spellEnd"/>
      <w:r w:rsidRPr="005F62F4">
        <w:t xml:space="preserve"> is being linked to the only other part of the procedure which attracts an MBS item number, which is the alveolar augmentation code 45841. (Surgeon)</w:t>
      </w:r>
    </w:p>
    <w:p w14:paraId="56E8D03E" w14:textId="4E0BCE40" w:rsidR="00037DDB" w:rsidRPr="005F62F4" w:rsidRDefault="00C2059A" w:rsidP="00037DDB">
      <w:pPr>
        <w:pStyle w:val="Para"/>
      </w:pPr>
      <w:r w:rsidRPr="005F62F4">
        <w:t xml:space="preserve">As noted in </w:t>
      </w:r>
      <w:r w:rsidRPr="005F62F4">
        <w:fldChar w:fldCharType="begin"/>
      </w:r>
      <w:r w:rsidRPr="005F62F4">
        <w:instrText xml:space="preserve"> REF _Ref119398618 \n \h </w:instrText>
      </w:r>
      <w:r w:rsidR="005F62F4">
        <w:instrText xml:space="preserve"> \* MERGEFORMAT </w:instrText>
      </w:r>
      <w:r w:rsidRPr="005F62F4">
        <w:fldChar w:fldCharType="separate"/>
      </w:r>
      <w:r w:rsidR="005606BF">
        <w:t>Section 3</w:t>
      </w:r>
      <w:r w:rsidRPr="005F62F4">
        <w:fldChar w:fldCharType="end"/>
      </w:r>
      <w:r w:rsidRPr="005F62F4">
        <w:t>,</w:t>
      </w:r>
      <w:r w:rsidR="00B82655" w:rsidRPr="005F62F4">
        <w:t xml:space="preserve"> </w:t>
      </w:r>
      <w:r w:rsidR="00A17295" w:rsidRPr="005F62F4">
        <w:t>th</w:t>
      </w:r>
      <w:r w:rsidR="001F3714" w:rsidRPr="005F62F4">
        <w:t>e</w:t>
      </w:r>
      <w:r w:rsidR="00A84C2F" w:rsidRPr="005F62F4">
        <w:t>re has been</w:t>
      </w:r>
      <w:r w:rsidR="002C5F06" w:rsidRPr="005F62F4">
        <w:t xml:space="preserve"> increasing</w:t>
      </w:r>
      <w:r w:rsidR="00A17295" w:rsidRPr="005F62F4">
        <w:t xml:space="preserve"> use of surgical guides and </w:t>
      </w:r>
      <w:proofErr w:type="spellStart"/>
      <w:r w:rsidR="00A17295" w:rsidRPr="005F62F4">
        <w:t>biomodels</w:t>
      </w:r>
      <w:proofErr w:type="spellEnd"/>
      <w:r w:rsidR="00A17295" w:rsidRPr="005F62F4">
        <w:t xml:space="preserve"> for MBS items outside the </w:t>
      </w:r>
      <w:r w:rsidR="002D7944" w:rsidRPr="005F62F4">
        <w:t>p</w:t>
      </w:r>
      <w:r w:rsidR="00A17295" w:rsidRPr="005F62F4">
        <w:t xml:space="preserve">lastic and </w:t>
      </w:r>
      <w:r w:rsidR="002D7944" w:rsidRPr="005F62F4">
        <w:t>r</w:t>
      </w:r>
      <w:r w:rsidR="00A17295" w:rsidRPr="005F62F4">
        <w:t xml:space="preserve">econstructive category </w:t>
      </w:r>
      <w:r w:rsidR="00D922B9" w:rsidRPr="005F62F4">
        <w:t>and</w:t>
      </w:r>
      <w:r w:rsidR="00B57E09" w:rsidRPr="005F62F4">
        <w:t xml:space="preserve"> where no MBS item is recorded </w:t>
      </w:r>
      <w:r w:rsidR="00A17295" w:rsidRPr="005F62F4">
        <w:t xml:space="preserve">(see </w:t>
      </w:r>
      <w:r w:rsidR="00EF40C5" w:rsidRPr="005F62F4">
        <w:fldChar w:fldCharType="begin"/>
      </w:r>
      <w:r w:rsidR="00EF40C5" w:rsidRPr="005F62F4">
        <w:instrText xml:space="preserve"> REF _Ref119871490 \h </w:instrText>
      </w:r>
      <w:r w:rsidR="005F62F4">
        <w:instrText xml:space="preserve"> \* MERGEFORMAT </w:instrText>
      </w:r>
      <w:r w:rsidR="00EF40C5" w:rsidRPr="005F62F4">
        <w:fldChar w:fldCharType="separate"/>
      </w:r>
      <w:r w:rsidR="005606BF" w:rsidRPr="005F62F4">
        <w:t>Table </w:t>
      </w:r>
      <w:r w:rsidR="005606BF">
        <w:t>16</w:t>
      </w:r>
      <w:r w:rsidR="00EF40C5" w:rsidRPr="005F62F4">
        <w:fldChar w:fldCharType="end"/>
      </w:r>
      <w:r w:rsidR="00256F3F" w:rsidRPr="005F62F4">
        <w:t xml:space="preserve"> </w:t>
      </w:r>
      <w:r w:rsidR="00A17295" w:rsidRPr="005F62F4">
        <w:t xml:space="preserve">in </w:t>
      </w:r>
      <w:r w:rsidR="006378E0" w:rsidRPr="005F62F4">
        <w:t>S</w:t>
      </w:r>
      <w:r w:rsidR="00A17295" w:rsidRPr="005F62F4">
        <w:t>ection 3).</w:t>
      </w:r>
      <w:r w:rsidR="00B57E09" w:rsidRPr="005F62F4">
        <w:t xml:space="preserve"> It is therefore difficult to determine the extent to which </w:t>
      </w:r>
      <w:r w:rsidR="001C4B29" w:rsidRPr="005F62F4">
        <w:t xml:space="preserve">PL benefits paid </w:t>
      </w:r>
      <w:r w:rsidR="0009726E" w:rsidRPr="005F62F4">
        <w:t>for</w:t>
      </w:r>
      <w:r w:rsidR="001C4B29" w:rsidRPr="005F62F4">
        <w:t xml:space="preserve"> listed surgical guides and </w:t>
      </w:r>
      <w:proofErr w:type="spellStart"/>
      <w:r w:rsidR="001C4B29" w:rsidRPr="005F62F4">
        <w:t>biomodels</w:t>
      </w:r>
      <w:proofErr w:type="spellEnd"/>
      <w:r w:rsidR="001C4B29" w:rsidRPr="005F62F4">
        <w:t xml:space="preserve"> may be </w:t>
      </w:r>
      <w:r w:rsidR="0009726E" w:rsidRPr="005F62F4">
        <w:t xml:space="preserve">attributed to </w:t>
      </w:r>
      <w:r w:rsidR="00A134B9" w:rsidRPr="005F62F4">
        <w:t>‘</w:t>
      </w:r>
      <w:r w:rsidR="001C4B29" w:rsidRPr="005F62F4">
        <w:t>inappropriate</w:t>
      </w:r>
      <w:r w:rsidR="00A134B9" w:rsidRPr="005F62F4">
        <w:t>’</w:t>
      </w:r>
      <w:r w:rsidR="001C4B29" w:rsidRPr="005F62F4">
        <w:t xml:space="preserve"> </w:t>
      </w:r>
      <w:r w:rsidR="0009726E" w:rsidRPr="005F62F4">
        <w:t>MBS item numbers</w:t>
      </w:r>
      <w:r w:rsidR="00E33048" w:rsidRPr="005F62F4">
        <w:t>.</w:t>
      </w:r>
      <w:r w:rsidR="00157F01" w:rsidRPr="005F62F4">
        <w:t xml:space="preserve"> </w:t>
      </w:r>
      <w:r w:rsidR="003E3C5C" w:rsidRPr="005F62F4">
        <w:t>Further</w:t>
      </w:r>
      <w:r w:rsidR="00037DDB" w:rsidRPr="005F62F4">
        <w:t xml:space="preserve"> investigation is required to examine </w:t>
      </w:r>
      <w:r w:rsidR="00443B5F" w:rsidRPr="005F62F4">
        <w:t xml:space="preserve">PL </w:t>
      </w:r>
      <w:r w:rsidR="003B126D" w:rsidRPr="005F62F4">
        <w:t xml:space="preserve">claims </w:t>
      </w:r>
      <w:r w:rsidR="008A1B62" w:rsidRPr="005F62F4">
        <w:t xml:space="preserve">associated with </w:t>
      </w:r>
      <w:r w:rsidR="00037DDB" w:rsidRPr="005F62F4">
        <w:t xml:space="preserve">MBS </w:t>
      </w:r>
      <w:r w:rsidR="008A1B62" w:rsidRPr="005F62F4">
        <w:t xml:space="preserve">items </w:t>
      </w:r>
      <w:r w:rsidR="00037DDB" w:rsidRPr="005F62F4">
        <w:t>for TMJ arthroscopies, alveolar ridge augmentation</w:t>
      </w:r>
      <w:r w:rsidR="00237852" w:rsidRPr="005F62F4">
        <w:t xml:space="preserve"> </w:t>
      </w:r>
      <w:r w:rsidR="00A860AF" w:rsidRPr="005F62F4">
        <w:t xml:space="preserve">(where PL benefits are claimed for surgical guides and </w:t>
      </w:r>
      <w:proofErr w:type="spellStart"/>
      <w:r w:rsidR="00A860AF" w:rsidRPr="005F62F4">
        <w:t>biomodels</w:t>
      </w:r>
      <w:proofErr w:type="spellEnd"/>
      <w:r w:rsidR="00A860AF" w:rsidRPr="005F62F4">
        <w:t xml:space="preserve"> for dental implants)</w:t>
      </w:r>
      <w:r w:rsidR="00037DDB" w:rsidRPr="005F62F4">
        <w:t>, items outside the plastic and reconstructi</w:t>
      </w:r>
      <w:r w:rsidR="004B6EA5" w:rsidRPr="005F62F4">
        <w:t>ve</w:t>
      </w:r>
      <w:r w:rsidR="00037DDB" w:rsidRPr="005F62F4">
        <w:t xml:space="preserve"> categories, and where no MBS item is recorded, to ensure they are appropriately associated with the provision of surgical guides and </w:t>
      </w:r>
      <w:proofErr w:type="spellStart"/>
      <w:r w:rsidR="00037DDB" w:rsidRPr="005F62F4">
        <w:t>biomodels</w:t>
      </w:r>
      <w:proofErr w:type="spellEnd"/>
      <w:r w:rsidR="00037DDB" w:rsidRPr="005F62F4">
        <w:t xml:space="preserve"> </w:t>
      </w:r>
      <w:r w:rsidR="00F13613" w:rsidRPr="005F62F4">
        <w:t>to support</w:t>
      </w:r>
      <w:r w:rsidR="00037DDB" w:rsidRPr="005F62F4">
        <w:t xml:space="preserve"> implantation</w:t>
      </w:r>
      <w:r w:rsidR="00F85C59" w:rsidRPr="005F62F4">
        <w:t xml:space="preserve"> of prostheses</w:t>
      </w:r>
      <w:r w:rsidR="00037DDB" w:rsidRPr="005F62F4">
        <w:t>.</w:t>
      </w:r>
      <w:r w:rsidR="00BC637A" w:rsidRPr="005F62F4">
        <w:t xml:space="preserve"> </w:t>
      </w:r>
      <w:r w:rsidR="00827FA3" w:rsidRPr="005F62F4">
        <w:t xml:space="preserve">Interpretation of </w:t>
      </w:r>
      <w:r w:rsidR="005A1A45" w:rsidRPr="005F62F4">
        <w:t xml:space="preserve">this aspect of Criterion 3 may </w:t>
      </w:r>
      <w:r w:rsidR="00B00C81" w:rsidRPr="005F62F4">
        <w:t>affect the eligibility of</w:t>
      </w:r>
      <w:r w:rsidR="005A1A45" w:rsidRPr="005F62F4">
        <w:t xml:space="preserve"> </w:t>
      </w:r>
      <w:r w:rsidR="00522049" w:rsidRPr="005F62F4">
        <w:t xml:space="preserve">the listed surgical guides and </w:t>
      </w:r>
      <w:proofErr w:type="spellStart"/>
      <w:r w:rsidR="00522049" w:rsidRPr="005F62F4">
        <w:t>biomodels</w:t>
      </w:r>
      <w:proofErr w:type="spellEnd"/>
      <w:r w:rsidR="00522049" w:rsidRPr="005F62F4">
        <w:t xml:space="preserve"> </w:t>
      </w:r>
      <w:r w:rsidR="00B00C81" w:rsidRPr="005F62F4">
        <w:t>in some instances.</w:t>
      </w:r>
    </w:p>
    <w:p w14:paraId="73DC3FF8" w14:textId="76326CA7" w:rsidR="001C19FC" w:rsidRPr="005F62F4" w:rsidRDefault="001C19FC" w:rsidP="001C19FC">
      <w:r w:rsidRPr="005F62F4">
        <w:br w:type="page"/>
      </w:r>
    </w:p>
    <w:p w14:paraId="475CA926" w14:textId="4C60A765" w:rsidR="00D17A23" w:rsidRPr="005F62F4" w:rsidRDefault="00567196" w:rsidP="004F2931">
      <w:pPr>
        <w:pStyle w:val="Heading3"/>
      </w:pPr>
      <w:bookmarkStart w:id="232" w:name="_Toc120178332"/>
      <w:r w:rsidRPr="005F62F4">
        <w:lastRenderedPageBreak/>
        <w:t>Criteri</w:t>
      </w:r>
      <w:r w:rsidR="00A63885" w:rsidRPr="005F62F4">
        <w:t>on</w:t>
      </w:r>
      <w:r w:rsidRPr="005F62F4">
        <w:t xml:space="preserve"> 4</w:t>
      </w:r>
      <w:r w:rsidR="00045806" w:rsidRPr="005F62F4">
        <w:t>:</w:t>
      </w:r>
      <w:r w:rsidR="00412755" w:rsidRPr="005F62F4">
        <w:t xml:space="preserve"> Essential, integral, single</w:t>
      </w:r>
      <w:r w:rsidR="00CB5A33" w:rsidRPr="005F62F4">
        <w:t xml:space="preserve"> use</w:t>
      </w:r>
      <w:r w:rsidR="00412755" w:rsidRPr="005F62F4">
        <w:t>, patient</w:t>
      </w:r>
      <w:r w:rsidR="00CB12B9" w:rsidRPr="005F62F4">
        <w:t xml:space="preserve"> </w:t>
      </w:r>
      <w:r w:rsidR="00412755" w:rsidRPr="005F62F4">
        <w:t xml:space="preserve">specific and related to </w:t>
      </w:r>
      <w:r w:rsidR="00C601DA" w:rsidRPr="005F62F4">
        <w:t>implantation</w:t>
      </w:r>
      <w:bookmarkEnd w:id="232"/>
    </w:p>
    <w:p w14:paraId="3B2098D4" w14:textId="77777777" w:rsidR="00CE64D8" w:rsidRPr="005F62F4" w:rsidRDefault="00CE64D8" w:rsidP="00475707">
      <w:pPr>
        <w:pStyle w:val="Boxed"/>
        <w:spacing w:before="120" w:after="120"/>
      </w:pPr>
      <w:r w:rsidRPr="005F62F4">
        <w:t>4. A prosthesis should:</w:t>
      </w:r>
    </w:p>
    <w:p w14:paraId="6C93C804" w14:textId="197B08E2" w:rsidR="00CE64D8" w:rsidRPr="005F62F4" w:rsidRDefault="00445E31" w:rsidP="00992D90">
      <w:pPr>
        <w:pStyle w:val="Boxed"/>
        <w:tabs>
          <w:tab w:val="left" w:pos="284"/>
          <w:tab w:val="left" w:pos="567"/>
        </w:tabs>
        <w:spacing w:before="120" w:after="120"/>
        <w:ind w:left="284" w:hanging="284"/>
      </w:pPr>
      <w:r w:rsidRPr="005F62F4">
        <w:tab/>
      </w:r>
      <w:r w:rsidR="00CE64D8" w:rsidRPr="005F62F4">
        <w:t>(a)</w:t>
      </w:r>
      <w:r w:rsidR="0021339B" w:rsidRPr="005F62F4">
        <w:tab/>
      </w:r>
      <w:r w:rsidR="00CE64D8" w:rsidRPr="005F62F4">
        <w:t xml:space="preserve">be surgically implanted in the patient and be purposely designed </w:t>
      </w:r>
      <w:proofErr w:type="gramStart"/>
      <w:r w:rsidR="00CE64D8" w:rsidRPr="005F62F4">
        <w:t>in order to</w:t>
      </w:r>
      <w:proofErr w:type="gramEnd"/>
    </w:p>
    <w:p w14:paraId="7C6D3AD5" w14:textId="77777777" w:rsidR="00CE64D8" w:rsidRPr="005F62F4" w:rsidRDefault="00CE64D8" w:rsidP="00992D90">
      <w:pPr>
        <w:pStyle w:val="Boxed"/>
        <w:tabs>
          <w:tab w:val="left" w:pos="284"/>
          <w:tab w:val="left" w:pos="567"/>
        </w:tabs>
        <w:spacing w:before="120" w:after="120"/>
        <w:ind w:left="284" w:hanging="284"/>
      </w:pPr>
      <w:r w:rsidRPr="005F62F4">
        <w:tab/>
      </w:r>
      <w:r w:rsidRPr="005F62F4">
        <w:tab/>
        <w:t>(</w:t>
      </w:r>
      <w:proofErr w:type="spellStart"/>
      <w:r w:rsidRPr="005F62F4">
        <w:t>i</w:t>
      </w:r>
      <w:proofErr w:type="spellEnd"/>
      <w:r w:rsidRPr="005F62F4">
        <w:t>) replace an anatomical body part; or</w:t>
      </w:r>
    </w:p>
    <w:p w14:paraId="0577077A" w14:textId="02E42E98" w:rsidR="00CE64D8" w:rsidRPr="005F62F4" w:rsidRDefault="00CE64D8" w:rsidP="00992D90">
      <w:pPr>
        <w:pStyle w:val="Boxed"/>
        <w:tabs>
          <w:tab w:val="left" w:pos="284"/>
          <w:tab w:val="left" w:pos="567"/>
        </w:tabs>
        <w:spacing w:before="120" w:after="120"/>
        <w:ind w:left="284" w:hanging="284"/>
      </w:pPr>
      <w:r w:rsidRPr="005F62F4">
        <w:tab/>
      </w:r>
      <w:r w:rsidRPr="005F62F4">
        <w:tab/>
        <w:t>(ii) combat a pathological process; or</w:t>
      </w:r>
    </w:p>
    <w:p w14:paraId="42667DCE" w14:textId="77777777" w:rsidR="00CE64D8" w:rsidRPr="005F62F4" w:rsidRDefault="00CE64D8" w:rsidP="00992D90">
      <w:pPr>
        <w:pStyle w:val="Boxed"/>
        <w:tabs>
          <w:tab w:val="left" w:pos="284"/>
          <w:tab w:val="left" w:pos="567"/>
        </w:tabs>
        <w:spacing w:before="120" w:after="120"/>
        <w:ind w:left="284" w:hanging="284"/>
      </w:pPr>
      <w:r w:rsidRPr="005F62F4">
        <w:tab/>
      </w:r>
      <w:r w:rsidRPr="005F62F4">
        <w:tab/>
        <w:t xml:space="preserve">(iii) modulate a physiological </w:t>
      </w:r>
      <w:proofErr w:type="gramStart"/>
      <w:r w:rsidRPr="005F62F4">
        <w:t>process;</w:t>
      </w:r>
      <w:proofErr w:type="gramEnd"/>
    </w:p>
    <w:p w14:paraId="70F5214C" w14:textId="06DC3E1C" w:rsidR="00CE64D8" w:rsidRPr="005F62F4" w:rsidRDefault="00CE64D8" w:rsidP="00992D90">
      <w:pPr>
        <w:pStyle w:val="Boxed"/>
        <w:tabs>
          <w:tab w:val="left" w:pos="284"/>
          <w:tab w:val="left" w:pos="567"/>
        </w:tabs>
        <w:spacing w:before="120" w:after="120"/>
        <w:ind w:left="284" w:hanging="284"/>
      </w:pPr>
      <w:r w:rsidRPr="005F62F4">
        <w:tab/>
      </w:r>
      <w:r w:rsidR="00550697" w:rsidRPr="005F62F4">
        <w:t>o</w:t>
      </w:r>
      <w:r w:rsidRPr="005F62F4">
        <w:t>r</w:t>
      </w:r>
    </w:p>
    <w:p w14:paraId="070B5C2C" w14:textId="20109527" w:rsidR="00CE64D8" w:rsidRPr="005F62F4" w:rsidRDefault="00CE64D8" w:rsidP="00C741E6">
      <w:pPr>
        <w:pStyle w:val="Boxed"/>
        <w:tabs>
          <w:tab w:val="left" w:pos="284"/>
          <w:tab w:val="left" w:pos="567"/>
        </w:tabs>
        <w:spacing w:before="120" w:after="120"/>
        <w:ind w:left="567" w:hanging="567"/>
      </w:pPr>
      <w:r w:rsidRPr="005F62F4">
        <w:tab/>
        <w:t>(b)</w:t>
      </w:r>
      <w:r w:rsidR="0021339B" w:rsidRPr="005F62F4">
        <w:tab/>
      </w:r>
      <w:r w:rsidRPr="005F62F4">
        <w:t>be essential to and specifically designed as an integral single-use aid for implanting a product, described in (a) (</w:t>
      </w:r>
      <w:proofErr w:type="spellStart"/>
      <w:r w:rsidRPr="005F62F4">
        <w:t>i</w:t>
      </w:r>
      <w:proofErr w:type="spellEnd"/>
      <w:r w:rsidRPr="005F62F4">
        <w:t>), (ii) or (iii) above, which is only suitable for use with the patient in whom that product is implanted</w:t>
      </w:r>
    </w:p>
    <w:p w14:paraId="52BC32B2" w14:textId="53C08165" w:rsidR="00550697" w:rsidRPr="005F62F4" w:rsidRDefault="00550697" w:rsidP="00992D90">
      <w:pPr>
        <w:pStyle w:val="Boxed"/>
        <w:tabs>
          <w:tab w:val="left" w:pos="284"/>
          <w:tab w:val="left" w:pos="567"/>
        </w:tabs>
        <w:spacing w:before="120" w:after="120"/>
        <w:ind w:left="284" w:hanging="284"/>
      </w:pPr>
      <w:r w:rsidRPr="005F62F4">
        <w:tab/>
        <w:t>or</w:t>
      </w:r>
    </w:p>
    <w:p w14:paraId="79CF7767" w14:textId="3736C4D9" w:rsidR="00550697" w:rsidRPr="005F62F4" w:rsidRDefault="00550697" w:rsidP="00C741E6">
      <w:pPr>
        <w:pStyle w:val="Boxed"/>
        <w:tabs>
          <w:tab w:val="left" w:pos="284"/>
          <w:tab w:val="left" w:pos="567"/>
        </w:tabs>
        <w:spacing w:before="120" w:after="120"/>
        <w:ind w:left="567" w:hanging="567"/>
      </w:pPr>
      <w:r w:rsidRPr="005F62F4">
        <w:tab/>
        <w:t>(c)</w:t>
      </w:r>
      <w:r w:rsidR="0021339B" w:rsidRPr="005F62F4">
        <w:tab/>
      </w:r>
      <w:r w:rsidRPr="005F62F4">
        <w:t>be critical to the continuing function of the surgically implanted product to achieve (</w:t>
      </w:r>
      <w:proofErr w:type="spellStart"/>
      <w:r w:rsidRPr="005F62F4">
        <w:t>i</w:t>
      </w:r>
      <w:proofErr w:type="spellEnd"/>
      <w:r w:rsidRPr="005F62F4">
        <w:t>), (ii) or (iii) above and which is only suitable for use by the patient in whom that product is implanted</w:t>
      </w:r>
      <w:r w:rsidR="0037538D" w:rsidRPr="005F62F4">
        <w:t>.</w:t>
      </w:r>
    </w:p>
    <w:p w14:paraId="7FEC527B" w14:textId="4A477730" w:rsidR="00E6049E" w:rsidRPr="005F62F4" w:rsidRDefault="00176419" w:rsidP="00BF5E61">
      <w:pPr>
        <w:pStyle w:val="ParaKeep"/>
      </w:pPr>
      <w:r w:rsidRPr="005F62F4">
        <w:t>Part</w:t>
      </w:r>
      <w:r w:rsidR="00C66433" w:rsidRPr="005F62F4">
        <w:t xml:space="preserve"> </w:t>
      </w:r>
      <w:r w:rsidR="009F0E88" w:rsidRPr="005F62F4">
        <w:t>(</w:t>
      </w:r>
      <w:r w:rsidR="00633131" w:rsidRPr="005F62F4">
        <w:t xml:space="preserve">a) does not directly apply to surgical guides and </w:t>
      </w:r>
      <w:proofErr w:type="spellStart"/>
      <w:r w:rsidR="00633131" w:rsidRPr="005F62F4">
        <w:t>biomodels</w:t>
      </w:r>
      <w:proofErr w:type="spellEnd"/>
      <w:r w:rsidR="00633131" w:rsidRPr="005F62F4">
        <w:t xml:space="preserve"> as </w:t>
      </w:r>
      <w:r w:rsidR="00BF5E61" w:rsidRPr="005F62F4">
        <w:t xml:space="preserve">it </w:t>
      </w:r>
      <w:r w:rsidR="00633131" w:rsidRPr="005F62F4">
        <w:t>relates to the implant itself</w:t>
      </w:r>
      <w:r w:rsidR="00CB16F7" w:rsidRPr="005F62F4">
        <w:t>, while</w:t>
      </w:r>
      <w:r w:rsidR="007025E6" w:rsidRPr="005F62F4">
        <w:t xml:space="preserve"> </w:t>
      </w:r>
      <w:r w:rsidR="00C66433" w:rsidRPr="005F62F4">
        <w:t xml:space="preserve">part </w:t>
      </w:r>
      <w:r w:rsidR="00CB5BCB" w:rsidRPr="005F62F4">
        <w:t xml:space="preserve">(c) does not apply as surgical guides and </w:t>
      </w:r>
      <w:proofErr w:type="spellStart"/>
      <w:r w:rsidR="00CB5BCB" w:rsidRPr="005F62F4">
        <w:t>biomodels</w:t>
      </w:r>
      <w:proofErr w:type="spellEnd"/>
      <w:r w:rsidR="00CB5BCB" w:rsidRPr="005F62F4">
        <w:t xml:space="preserve"> are not critical to the ongoing operation of the implant</w:t>
      </w:r>
      <w:r w:rsidR="003B4624" w:rsidRPr="005F62F4">
        <w:t>.</w:t>
      </w:r>
      <w:r w:rsidR="00CB16F7" w:rsidRPr="005F62F4">
        <w:t xml:space="preserve"> Thus, p</w:t>
      </w:r>
      <w:r w:rsidR="007405F1" w:rsidRPr="005F62F4">
        <w:t xml:space="preserve">art (b) is the only part of criterion 4 which is directly applicable to surgical guides and </w:t>
      </w:r>
      <w:proofErr w:type="spellStart"/>
      <w:r w:rsidR="007405F1" w:rsidRPr="005F62F4">
        <w:t>biomodels</w:t>
      </w:r>
      <w:proofErr w:type="spellEnd"/>
      <w:r w:rsidR="007405F1" w:rsidRPr="005F62F4">
        <w:t>.</w:t>
      </w:r>
      <w:r w:rsidR="003B4624" w:rsidRPr="005F62F4">
        <w:rPr>
          <w:rStyle w:val="FootnoteReference"/>
        </w:rPr>
        <w:footnoteReference w:id="18"/>
      </w:r>
    </w:p>
    <w:p w14:paraId="7F3F5E65" w14:textId="79A274A4" w:rsidR="00E6049E" w:rsidRPr="005F62F4" w:rsidRDefault="00E6049E" w:rsidP="00E6049E">
      <w:pPr>
        <w:pStyle w:val="Para"/>
      </w:pPr>
      <w:r w:rsidRPr="005F62F4">
        <w:t xml:space="preserve">We note </w:t>
      </w:r>
      <w:r w:rsidR="00F71041" w:rsidRPr="005F62F4">
        <w:t>from</w:t>
      </w:r>
      <w:r w:rsidRPr="005F62F4">
        <w:t xml:space="preserve"> utilisation data </w:t>
      </w:r>
      <w:r w:rsidR="00CA18C0" w:rsidRPr="005F62F4">
        <w:t>(see Section </w:t>
      </w:r>
      <w:r w:rsidR="00CA18C0" w:rsidRPr="005F62F4">
        <w:fldChar w:fldCharType="begin"/>
      </w:r>
      <w:r w:rsidR="00CA18C0" w:rsidRPr="005F62F4">
        <w:instrText xml:space="preserve"> REF _Ref128757745 \n \h </w:instrText>
      </w:r>
      <w:r w:rsidR="005F62F4">
        <w:instrText xml:space="preserve"> \* MERGEFORMAT </w:instrText>
      </w:r>
      <w:r w:rsidR="00CA18C0" w:rsidRPr="005F62F4">
        <w:fldChar w:fldCharType="separate"/>
      </w:r>
      <w:r w:rsidR="005606BF">
        <w:t>3.3</w:t>
      </w:r>
      <w:r w:rsidR="00CA18C0" w:rsidRPr="005F62F4">
        <w:fldChar w:fldCharType="end"/>
      </w:r>
      <w:r w:rsidR="00CA18C0" w:rsidRPr="005F62F4">
        <w:t xml:space="preserve">) </w:t>
      </w:r>
      <w:r w:rsidRPr="005F62F4">
        <w:t xml:space="preserve">that benefits have been </w:t>
      </w:r>
      <w:r w:rsidR="00F71041" w:rsidRPr="005F62F4">
        <w:t>paid</w:t>
      </w:r>
      <w:r w:rsidRPr="005F62F4">
        <w:t xml:space="preserve"> for surgical guides and </w:t>
      </w:r>
      <w:proofErr w:type="spellStart"/>
      <w:r w:rsidRPr="005F62F4">
        <w:t>biomodels</w:t>
      </w:r>
      <w:proofErr w:type="spellEnd"/>
      <w:r w:rsidRPr="005F62F4">
        <w:t xml:space="preserve"> in instances where the surgery does not appear to involve implantation of a </w:t>
      </w:r>
      <w:r w:rsidR="006A14BB" w:rsidRPr="005F62F4">
        <w:t>prosthesis</w:t>
      </w:r>
      <w:r w:rsidR="00A30D36" w:rsidRPr="005F62F4">
        <w:t>, such as TMJ arthroscopies</w:t>
      </w:r>
      <w:r w:rsidRPr="005F62F4">
        <w:t>. This is a clear example of where criterion 4</w:t>
      </w:r>
      <w:r w:rsidR="005668D8" w:rsidRPr="005F62F4">
        <w:t>(</w:t>
      </w:r>
      <w:r w:rsidRPr="005F62F4">
        <w:t>b</w:t>
      </w:r>
      <w:r w:rsidR="005668D8" w:rsidRPr="005F62F4">
        <w:t>)</w:t>
      </w:r>
      <w:r w:rsidRPr="005F62F4">
        <w:t xml:space="preserve"> is not met.</w:t>
      </w:r>
    </w:p>
    <w:p w14:paraId="346EC8CA" w14:textId="0CD68084" w:rsidR="00A655C4" w:rsidRPr="005F62F4" w:rsidRDefault="00E6049E" w:rsidP="005E1588">
      <w:pPr>
        <w:pStyle w:val="ParaKeep"/>
      </w:pPr>
      <w:r w:rsidRPr="005F62F4">
        <w:t>In other circums</w:t>
      </w:r>
      <w:r w:rsidR="00F71041" w:rsidRPr="005F62F4">
        <w:t>t</w:t>
      </w:r>
      <w:r w:rsidRPr="005F62F4">
        <w:t xml:space="preserve">ances this criterion is less clear-cut. </w:t>
      </w:r>
      <w:proofErr w:type="gramStart"/>
      <w:r w:rsidR="00773DDB" w:rsidRPr="005F62F4">
        <w:t>In order to</w:t>
      </w:r>
      <w:proofErr w:type="gramEnd"/>
      <w:r w:rsidR="00773DDB" w:rsidRPr="005F62F4">
        <w:t xml:space="preserve"> assess </w:t>
      </w:r>
      <w:r w:rsidR="00522A85" w:rsidRPr="005F62F4">
        <w:t>whether or not it is met</w:t>
      </w:r>
      <w:r w:rsidR="00773DDB" w:rsidRPr="005F62F4">
        <w:t xml:space="preserve">, we </w:t>
      </w:r>
      <w:r w:rsidR="00F71041" w:rsidRPr="005F62F4">
        <w:t>therefor</w:t>
      </w:r>
      <w:r w:rsidR="003B4624" w:rsidRPr="005F62F4">
        <w:t>e</w:t>
      </w:r>
      <w:r w:rsidR="00F71041" w:rsidRPr="005F62F4">
        <w:t xml:space="preserve"> </w:t>
      </w:r>
      <w:r w:rsidR="00462687" w:rsidRPr="005F62F4">
        <w:t xml:space="preserve">examine </w:t>
      </w:r>
      <w:r w:rsidR="0068453E" w:rsidRPr="005F62F4">
        <w:t>each element of 4(b) in turn</w:t>
      </w:r>
      <w:r w:rsidR="00122D7A" w:rsidRPr="005F62F4">
        <w:t xml:space="preserve"> – </w:t>
      </w:r>
      <w:r w:rsidR="0034493B" w:rsidRPr="005F62F4">
        <w:t>that is,</w:t>
      </w:r>
      <w:r w:rsidR="00122D7A" w:rsidRPr="005F62F4">
        <w:t xml:space="preserve"> whether the surgical guide or </w:t>
      </w:r>
      <w:proofErr w:type="spellStart"/>
      <w:r w:rsidR="00122D7A" w:rsidRPr="005F62F4">
        <w:t>biomodel</w:t>
      </w:r>
      <w:proofErr w:type="spellEnd"/>
      <w:r w:rsidR="00122D7A" w:rsidRPr="005F62F4">
        <w:t xml:space="preserve"> is</w:t>
      </w:r>
      <w:r w:rsidR="003738CB" w:rsidRPr="005F62F4">
        <w:t>:</w:t>
      </w:r>
    </w:p>
    <w:p w14:paraId="41CC0F04" w14:textId="58278F46" w:rsidR="00192C03" w:rsidRPr="005F62F4" w:rsidRDefault="00EE72AC" w:rsidP="007C4445">
      <w:pPr>
        <w:pStyle w:val="Bullet1"/>
      </w:pPr>
      <w:r w:rsidRPr="005F62F4">
        <w:t>e</w:t>
      </w:r>
      <w:r w:rsidR="00192C03" w:rsidRPr="005F62F4">
        <w:t>ssential</w:t>
      </w:r>
      <w:r w:rsidR="00D9227E" w:rsidRPr="005F62F4">
        <w:t xml:space="preserve"> </w:t>
      </w:r>
      <w:r w:rsidR="00DF5693" w:rsidRPr="005F62F4">
        <w:t>to implanting a prosthesis which meets criterion 4(a)</w:t>
      </w:r>
    </w:p>
    <w:p w14:paraId="080633EC" w14:textId="00B04733" w:rsidR="00192C03" w:rsidRPr="005F62F4" w:rsidRDefault="00EE72AC" w:rsidP="007C4445">
      <w:pPr>
        <w:pStyle w:val="Bullet1"/>
      </w:pPr>
      <w:r w:rsidRPr="005F62F4">
        <w:t>s</w:t>
      </w:r>
      <w:r w:rsidR="006A278D" w:rsidRPr="005F62F4">
        <w:t xml:space="preserve">pecifically designed </w:t>
      </w:r>
      <w:r w:rsidR="005120B8" w:rsidRPr="005F62F4">
        <w:t>as an i</w:t>
      </w:r>
      <w:r w:rsidR="007210B0" w:rsidRPr="005F62F4">
        <w:t xml:space="preserve">ntegral </w:t>
      </w:r>
      <w:r w:rsidR="005120B8" w:rsidRPr="005F62F4">
        <w:t>single</w:t>
      </w:r>
      <w:r w:rsidR="00773DDB" w:rsidRPr="005F62F4">
        <w:t>-</w:t>
      </w:r>
      <w:r w:rsidR="005120B8" w:rsidRPr="005F62F4">
        <w:t>use aid</w:t>
      </w:r>
      <w:r w:rsidR="007210B0" w:rsidRPr="005F62F4">
        <w:t xml:space="preserve"> </w:t>
      </w:r>
      <w:r w:rsidR="0002190F" w:rsidRPr="005F62F4">
        <w:t>to implant</w:t>
      </w:r>
      <w:r w:rsidR="00301777" w:rsidRPr="005F62F4">
        <w:t xml:space="preserve">ing </w:t>
      </w:r>
      <w:r w:rsidR="00913538" w:rsidRPr="005F62F4">
        <w:t xml:space="preserve">a </w:t>
      </w:r>
      <w:r w:rsidR="00F47080" w:rsidRPr="005F62F4">
        <w:t>prosthesis</w:t>
      </w:r>
    </w:p>
    <w:p w14:paraId="06E49CBD" w14:textId="05A8300B" w:rsidR="007210B0" w:rsidRPr="005F62F4" w:rsidRDefault="00EE72AC" w:rsidP="007C4445">
      <w:pPr>
        <w:pStyle w:val="Bullet1"/>
      </w:pPr>
      <w:r w:rsidRPr="005F62F4">
        <w:t>o</w:t>
      </w:r>
      <w:r w:rsidR="005120B8" w:rsidRPr="005F62F4">
        <w:t xml:space="preserve">nly suitable for use with the patient </w:t>
      </w:r>
      <w:r w:rsidR="00B525BE" w:rsidRPr="005F62F4">
        <w:t>in whom the</w:t>
      </w:r>
      <w:r w:rsidR="005120B8" w:rsidRPr="005F62F4">
        <w:t xml:space="preserve"> prosthes</w:t>
      </w:r>
      <w:r w:rsidR="00133BCA" w:rsidRPr="005F62F4">
        <w:t>i</w:t>
      </w:r>
      <w:r w:rsidR="005120B8" w:rsidRPr="005F62F4">
        <w:t>s</w:t>
      </w:r>
      <w:r w:rsidR="00B525BE" w:rsidRPr="005F62F4">
        <w:t xml:space="preserve"> is implanted</w:t>
      </w:r>
      <w:r w:rsidR="005120B8" w:rsidRPr="005F62F4">
        <w:t>.</w:t>
      </w:r>
    </w:p>
    <w:p w14:paraId="235CC7D7" w14:textId="05903990" w:rsidR="007210B0" w:rsidRPr="005F62F4" w:rsidRDefault="007210B0" w:rsidP="004F2931">
      <w:pPr>
        <w:pStyle w:val="Heading4"/>
      </w:pPr>
      <w:r w:rsidRPr="005F62F4">
        <w:lastRenderedPageBreak/>
        <w:t>Essentia</w:t>
      </w:r>
      <w:r w:rsidR="00377DCC" w:rsidRPr="005F62F4">
        <w:t>l</w:t>
      </w:r>
      <w:r w:rsidR="0036598D" w:rsidRPr="005F62F4">
        <w:t xml:space="preserve"> to</w:t>
      </w:r>
      <w:r w:rsidR="00B11E17" w:rsidRPr="005F62F4">
        <w:t xml:space="preserve"> </w:t>
      </w:r>
      <w:r w:rsidR="0036598D" w:rsidRPr="005F62F4">
        <w:t xml:space="preserve">implanting </w:t>
      </w:r>
      <w:r w:rsidR="00301777" w:rsidRPr="005F62F4">
        <w:t xml:space="preserve">the </w:t>
      </w:r>
      <w:r w:rsidR="00464DC9" w:rsidRPr="005F62F4">
        <w:t>prosthesis</w:t>
      </w:r>
    </w:p>
    <w:p w14:paraId="6497B71A" w14:textId="0841807E" w:rsidR="00500597" w:rsidRPr="005F62F4" w:rsidRDefault="007025E6" w:rsidP="0080694B">
      <w:pPr>
        <w:pStyle w:val="Para"/>
        <w:keepLines/>
      </w:pPr>
      <w:r w:rsidRPr="005F62F4">
        <w:t xml:space="preserve">The </w:t>
      </w:r>
      <w:r w:rsidR="00377DCC" w:rsidRPr="005F62F4">
        <w:t>PL</w:t>
      </w:r>
      <w:r w:rsidR="0002190F" w:rsidRPr="005F62F4">
        <w:t xml:space="preserve"> </w:t>
      </w:r>
      <w:r w:rsidR="002E3A7A" w:rsidRPr="005F62F4">
        <w:t>g</w:t>
      </w:r>
      <w:r w:rsidR="00B40711" w:rsidRPr="005F62F4">
        <w:t>uide</w:t>
      </w:r>
      <w:r w:rsidR="0002190F" w:rsidRPr="005F62F4">
        <w:t xml:space="preserve"> does not </w:t>
      </w:r>
      <w:r w:rsidR="00B40711" w:rsidRPr="005F62F4">
        <w:t>define</w:t>
      </w:r>
      <w:r w:rsidR="0002190F" w:rsidRPr="005F62F4">
        <w:t xml:space="preserve"> </w:t>
      </w:r>
      <w:r w:rsidR="00B525BE" w:rsidRPr="005F62F4">
        <w:t>the term</w:t>
      </w:r>
      <w:r w:rsidR="0002190F" w:rsidRPr="005F62F4">
        <w:t xml:space="preserve"> </w:t>
      </w:r>
      <w:r w:rsidR="000C03C8" w:rsidRPr="005F62F4">
        <w:t>‘</w:t>
      </w:r>
      <w:r w:rsidR="0002190F" w:rsidRPr="005F62F4">
        <w:t>essential</w:t>
      </w:r>
      <w:r w:rsidR="000C03C8" w:rsidRPr="005F62F4">
        <w:t>’</w:t>
      </w:r>
      <w:r w:rsidR="00992706" w:rsidRPr="005F62F4">
        <w:t>. As a result</w:t>
      </w:r>
      <w:r w:rsidR="00CE186C" w:rsidRPr="005F62F4">
        <w:t xml:space="preserve">, </w:t>
      </w:r>
      <w:r w:rsidR="004332A4" w:rsidRPr="005F62F4">
        <w:t xml:space="preserve">this criterion is interpreted differently by </w:t>
      </w:r>
      <w:r w:rsidR="00F00EDE" w:rsidRPr="005F62F4">
        <w:t>surgeons</w:t>
      </w:r>
      <w:r w:rsidR="005A4A23" w:rsidRPr="005F62F4">
        <w:t>, sponsors and private health insurance representatives.</w:t>
      </w:r>
      <w:r w:rsidR="006F1EFF" w:rsidRPr="005F62F4">
        <w:t xml:space="preserve"> As discussed in</w:t>
      </w:r>
      <w:r w:rsidR="00837429" w:rsidRPr="005F62F4">
        <w:t xml:space="preserve"> </w:t>
      </w:r>
      <w:r w:rsidR="00837429" w:rsidRPr="005F62F4">
        <w:fldChar w:fldCharType="begin"/>
      </w:r>
      <w:r w:rsidR="00837429" w:rsidRPr="005F62F4">
        <w:instrText xml:space="preserve"> REF _Ref119672930 \n \h </w:instrText>
      </w:r>
      <w:r w:rsidR="005F62F4">
        <w:instrText xml:space="preserve"> \* MERGEFORMAT </w:instrText>
      </w:r>
      <w:r w:rsidR="00837429" w:rsidRPr="005F62F4">
        <w:fldChar w:fldCharType="separate"/>
      </w:r>
      <w:r w:rsidR="005606BF">
        <w:t>Section 1</w:t>
      </w:r>
      <w:r w:rsidR="00837429" w:rsidRPr="005F62F4">
        <w:fldChar w:fldCharType="end"/>
      </w:r>
      <w:r w:rsidR="00980018" w:rsidRPr="005F62F4">
        <w:t xml:space="preserve">, we heard that </w:t>
      </w:r>
      <w:r w:rsidR="00D534D7" w:rsidRPr="005F62F4">
        <w:t xml:space="preserve">surgical guides and </w:t>
      </w:r>
      <w:proofErr w:type="spellStart"/>
      <w:r w:rsidR="00D534D7" w:rsidRPr="005F62F4">
        <w:t>biomodels</w:t>
      </w:r>
      <w:proofErr w:type="spellEnd"/>
      <w:r w:rsidR="00D534D7" w:rsidRPr="005F62F4">
        <w:t xml:space="preserve"> are currently used for many procedures that were historically </w:t>
      </w:r>
      <w:r w:rsidR="00522A85" w:rsidRPr="005F62F4">
        <w:t xml:space="preserve">(and often still are) </w:t>
      </w:r>
      <w:r w:rsidR="005A6125" w:rsidRPr="005F62F4">
        <w:t>conducted without them</w:t>
      </w:r>
      <w:r w:rsidR="00ED2A50" w:rsidRPr="005F62F4">
        <w:t>.</w:t>
      </w:r>
    </w:p>
    <w:p w14:paraId="42FA901B" w14:textId="34A707AE" w:rsidR="00C15745" w:rsidRPr="005F62F4" w:rsidRDefault="00F00EDE" w:rsidP="0002190F">
      <w:pPr>
        <w:pStyle w:val="Para"/>
      </w:pPr>
      <w:r w:rsidRPr="005F62F4">
        <w:t>Surgeons</w:t>
      </w:r>
      <w:r w:rsidR="00E555F5" w:rsidRPr="005F62F4">
        <w:t xml:space="preserve"> </w:t>
      </w:r>
      <w:r w:rsidR="00A745EA" w:rsidRPr="005F62F4">
        <w:t xml:space="preserve">suggested that </w:t>
      </w:r>
      <w:r w:rsidR="00B6633E" w:rsidRPr="005F62F4">
        <w:t xml:space="preserve">surgical guides and </w:t>
      </w:r>
      <w:proofErr w:type="spellStart"/>
      <w:r w:rsidR="00B6633E" w:rsidRPr="005F62F4">
        <w:t>biomodels</w:t>
      </w:r>
      <w:proofErr w:type="spellEnd"/>
      <w:r w:rsidR="00B6633E" w:rsidRPr="005F62F4">
        <w:t xml:space="preserve"> </w:t>
      </w:r>
      <w:r w:rsidR="00505C12" w:rsidRPr="005F62F4">
        <w:t xml:space="preserve">are essential </w:t>
      </w:r>
      <w:r w:rsidR="0008767F" w:rsidRPr="005F62F4">
        <w:t xml:space="preserve">in procedures where their use confers </w:t>
      </w:r>
      <w:r w:rsidR="00930932" w:rsidRPr="005F62F4">
        <w:t>better outcomes</w:t>
      </w:r>
      <w:r w:rsidR="00420664" w:rsidRPr="005F62F4">
        <w:t xml:space="preserve">, </w:t>
      </w:r>
      <w:r w:rsidR="00654B4C" w:rsidRPr="005F62F4">
        <w:t xml:space="preserve">such as </w:t>
      </w:r>
      <w:r w:rsidR="006E7E35" w:rsidRPr="005F62F4">
        <w:t xml:space="preserve">improved </w:t>
      </w:r>
      <w:r w:rsidR="001C0693" w:rsidRPr="005F62F4">
        <w:t xml:space="preserve">surgical </w:t>
      </w:r>
      <w:r w:rsidR="006E7E35" w:rsidRPr="005F62F4">
        <w:t xml:space="preserve">accuracy, </w:t>
      </w:r>
      <w:r w:rsidR="001C0693" w:rsidRPr="005F62F4">
        <w:t xml:space="preserve">reduced </w:t>
      </w:r>
      <w:r w:rsidR="006733E8" w:rsidRPr="005F62F4">
        <w:t xml:space="preserve">operative time and </w:t>
      </w:r>
      <w:r w:rsidR="00AF5E83" w:rsidRPr="005F62F4">
        <w:t>reduced incidence of revision surgery</w:t>
      </w:r>
      <w:r w:rsidR="006733E8" w:rsidRPr="005F62F4" w:rsidDel="000F3F35">
        <w:t>.</w:t>
      </w:r>
      <w:r w:rsidR="00AF5E83" w:rsidRPr="005F62F4">
        <w:t xml:space="preserve"> </w:t>
      </w:r>
      <w:r w:rsidR="006C35D1" w:rsidRPr="005F62F4">
        <w:t xml:space="preserve">If the surgery can be conducted </w:t>
      </w:r>
      <w:r w:rsidR="00704120" w:rsidRPr="005F62F4">
        <w:t>accurately and</w:t>
      </w:r>
      <w:r w:rsidR="006C35D1" w:rsidRPr="005F62F4">
        <w:t xml:space="preserve"> effectively without the use of the surgical guide or </w:t>
      </w:r>
      <w:proofErr w:type="spellStart"/>
      <w:r w:rsidR="006C35D1" w:rsidRPr="005F62F4">
        <w:t>biomodel</w:t>
      </w:r>
      <w:proofErr w:type="spellEnd"/>
      <w:r w:rsidR="006C35D1" w:rsidRPr="005F62F4">
        <w:t>,</w:t>
      </w:r>
      <w:r w:rsidR="002C4D44" w:rsidRPr="005F62F4">
        <w:t xml:space="preserve"> then the products </w:t>
      </w:r>
      <w:r w:rsidR="008B25B6" w:rsidRPr="005F62F4">
        <w:t>cannot be considered essential</w:t>
      </w:r>
      <w:r w:rsidR="00E86B43" w:rsidRPr="005F62F4">
        <w:t>.</w:t>
      </w:r>
    </w:p>
    <w:p w14:paraId="5106FB58" w14:textId="2B563572" w:rsidR="004D3577" w:rsidRPr="005F62F4" w:rsidRDefault="00B473F7" w:rsidP="0002190F">
      <w:pPr>
        <w:pStyle w:val="Para"/>
      </w:pPr>
      <w:r w:rsidRPr="005F62F4">
        <w:t>Further</w:t>
      </w:r>
      <w:r w:rsidR="0065795F" w:rsidRPr="005F62F4">
        <w:t xml:space="preserve">, </w:t>
      </w:r>
      <w:r w:rsidR="00692BCE" w:rsidRPr="005F62F4">
        <w:t xml:space="preserve">the </w:t>
      </w:r>
      <w:r w:rsidR="00494614" w:rsidRPr="005F62F4">
        <w:t xml:space="preserve">surgical guide or </w:t>
      </w:r>
      <w:proofErr w:type="spellStart"/>
      <w:r w:rsidR="00494614" w:rsidRPr="005F62F4">
        <w:t>biomodel</w:t>
      </w:r>
      <w:proofErr w:type="spellEnd"/>
      <w:r w:rsidR="00456470" w:rsidRPr="005F62F4">
        <w:t xml:space="preserve"> must not only be essential to conducting the surgery, but also essential to </w:t>
      </w:r>
      <w:r w:rsidR="00300B5F" w:rsidRPr="005F62F4">
        <w:t xml:space="preserve">the act of implanting the prosthesis. </w:t>
      </w:r>
      <w:r w:rsidR="00B43BF1" w:rsidRPr="005F62F4">
        <w:rPr>
          <w:lang w:val="en-US"/>
        </w:rPr>
        <w:t>This means that</w:t>
      </w:r>
      <w:r w:rsidR="00171C7D" w:rsidRPr="005F62F4">
        <w:rPr>
          <w:lang w:val="en-US"/>
        </w:rPr>
        <w:t xml:space="preserve"> surgical guides and </w:t>
      </w:r>
      <w:proofErr w:type="spellStart"/>
      <w:r w:rsidR="00171C7D" w:rsidRPr="005F62F4">
        <w:rPr>
          <w:lang w:val="en-US"/>
        </w:rPr>
        <w:t>biomodels</w:t>
      </w:r>
      <w:proofErr w:type="spellEnd"/>
      <w:r w:rsidR="00171C7D" w:rsidRPr="005F62F4">
        <w:rPr>
          <w:lang w:val="en-US"/>
        </w:rPr>
        <w:t xml:space="preserve"> </w:t>
      </w:r>
      <w:r w:rsidR="00D65D1D" w:rsidRPr="005F62F4">
        <w:rPr>
          <w:lang w:val="en-US"/>
        </w:rPr>
        <w:t xml:space="preserve">that serve a different purpose in the surgical process do not meet this criterion. </w:t>
      </w:r>
      <w:r w:rsidR="008A0261" w:rsidRPr="005F62F4">
        <w:rPr>
          <w:lang w:val="en-US"/>
        </w:rPr>
        <w:t>In particular</w:t>
      </w:r>
      <w:r w:rsidR="004627D7" w:rsidRPr="005F62F4">
        <w:rPr>
          <w:lang w:val="en-US"/>
        </w:rPr>
        <w:t xml:space="preserve">, </w:t>
      </w:r>
      <w:r w:rsidR="000522D7" w:rsidRPr="005F62F4">
        <w:rPr>
          <w:lang w:val="en-US"/>
        </w:rPr>
        <w:t xml:space="preserve">in instances where </w:t>
      </w:r>
      <w:proofErr w:type="spellStart"/>
      <w:r w:rsidR="000522D7" w:rsidRPr="005F62F4">
        <w:rPr>
          <w:lang w:val="en-US"/>
        </w:rPr>
        <w:t>biomode</w:t>
      </w:r>
      <w:r w:rsidR="003F0B4E" w:rsidRPr="005F62F4">
        <w:rPr>
          <w:lang w:val="en-US"/>
        </w:rPr>
        <w:t>l</w:t>
      </w:r>
      <w:r w:rsidR="000522D7" w:rsidRPr="005F62F4">
        <w:rPr>
          <w:lang w:val="en-US"/>
        </w:rPr>
        <w:t>s</w:t>
      </w:r>
      <w:proofErr w:type="spellEnd"/>
      <w:r w:rsidR="000522D7" w:rsidRPr="005F62F4">
        <w:rPr>
          <w:lang w:val="en-US"/>
        </w:rPr>
        <w:t xml:space="preserve"> are</w:t>
      </w:r>
      <w:r w:rsidR="004411F6" w:rsidRPr="005F62F4">
        <w:rPr>
          <w:lang w:val="en-US"/>
        </w:rPr>
        <w:t xml:space="preserve"> </w:t>
      </w:r>
      <w:r w:rsidR="000522D7" w:rsidRPr="005F62F4">
        <w:rPr>
          <w:lang w:val="en-US"/>
        </w:rPr>
        <w:t xml:space="preserve">used for purposes such as manufacture or verification of surgical guides or implants, </w:t>
      </w:r>
      <w:r w:rsidR="001D4D54" w:rsidRPr="005F62F4">
        <w:rPr>
          <w:lang w:val="en-US"/>
        </w:rPr>
        <w:t>surgical planning, rehearsal or education,</w:t>
      </w:r>
      <w:r w:rsidR="007434BE" w:rsidRPr="005F62F4">
        <w:rPr>
          <w:lang w:val="en-US"/>
        </w:rPr>
        <w:t xml:space="preserve"> these cannot be considered ‘essential to implanting the </w:t>
      </w:r>
      <w:proofErr w:type="gramStart"/>
      <w:r w:rsidR="007434BE" w:rsidRPr="005F62F4">
        <w:rPr>
          <w:lang w:val="en-US"/>
        </w:rPr>
        <w:t>prosthesis’</w:t>
      </w:r>
      <w:proofErr w:type="gramEnd"/>
      <w:r w:rsidR="007434BE" w:rsidRPr="005F62F4">
        <w:rPr>
          <w:lang w:val="en-US"/>
        </w:rPr>
        <w:t>. This does</w:t>
      </w:r>
      <w:r w:rsidR="004836F2" w:rsidRPr="005F62F4">
        <w:rPr>
          <w:lang w:val="en-US"/>
        </w:rPr>
        <w:t xml:space="preserve"> not mean that they do not serve an important role in </w:t>
      </w:r>
      <w:r w:rsidR="00607006" w:rsidRPr="005F62F4">
        <w:rPr>
          <w:lang w:val="en-US"/>
        </w:rPr>
        <w:t>surgical practice</w:t>
      </w:r>
      <w:r w:rsidR="00357DCA" w:rsidRPr="005F62F4">
        <w:rPr>
          <w:lang w:val="en-US"/>
        </w:rPr>
        <w:t>;</w:t>
      </w:r>
      <w:r w:rsidR="00607006" w:rsidRPr="005F62F4">
        <w:rPr>
          <w:lang w:val="en-US"/>
        </w:rPr>
        <w:t xml:space="preserve"> indeed, we heard </w:t>
      </w:r>
      <w:r w:rsidR="00B40A67" w:rsidRPr="005F62F4">
        <w:rPr>
          <w:lang w:val="en-US"/>
        </w:rPr>
        <w:t xml:space="preserve">that </w:t>
      </w:r>
      <w:proofErr w:type="spellStart"/>
      <w:r w:rsidR="002554E9" w:rsidRPr="005F62F4">
        <w:rPr>
          <w:lang w:val="en-US"/>
        </w:rPr>
        <w:t>biomodels</w:t>
      </w:r>
      <w:proofErr w:type="spellEnd"/>
      <w:r w:rsidR="00A81E08" w:rsidRPr="005F62F4">
        <w:rPr>
          <w:lang w:val="en-US"/>
        </w:rPr>
        <w:t xml:space="preserve"> are </w:t>
      </w:r>
      <w:r w:rsidR="00741A30" w:rsidRPr="005F62F4">
        <w:rPr>
          <w:lang w:val="en-US"/>
        </w:rPr>
        <w:t xml:space="preserve">increasingly </w:t>
      </w:r>
      <w:r w:rsidR="005C1CCE" w:rsidRPr="005F62F4">
        <w:rPr>
          <w:lang w:val="en-US"/>
        </w:rPr>
        <w:t>used</w:t>
      </w:r>
      <w:r w:rsidR="0080341B" w:rsidRPr="005F62F4">
        <w:rPr>
          <w:lang w:val="en-US"/>
        </w:rPr>
        <w:t>, and considered useful</w:t>
      </w:r>
      <w:r w:rsidR="00226636" w:rsidRPr="005F62F4">
        <w:rPr>
          <w:lang w:val="en-US"/>
        </w:rPr>
        <w:t xml:space="preserve"> or even essential,</w:t>
      </w:r>
      <w:r w:rsidR="0080341B" w:rsidRPr="005F62F4">
        <w:rPr>
          <w:lang w:val="en-US"/>
        </w:rPr>
        <w:t xml:space="preserve"> for</w:t>
      </w:r>
      <w:r w:rsidR="00F709D8" w:rsidRPr="005F62F4">
        <w:rPr>
          <w:lang w:val="en-US"/>
        </w:rPr>
        <w:t xml:space="preserve"> </w:t>
      </w:r>
      <w:r w:rsidR="002D642E" w:rsidRPr="005F62F4">
        <w:rPr>
          <w:lang w:val="en-US"/>
        </w:rPr>
        <w:t xml:space="preserve">a </w:t>
      </w:r>
      <w:r w:rsidR="0080341B" w:rsidRPr="005F62F4">
        <w:rPr>
          <w:lang w:val="en-US"/>
        </w:rPr>
        <w:t>growing range of procedures</w:t>
      </w:r>
      <w:r w:rsidR="006A093E" w:rsidRPr="005F62F4">
        <w:rPr>
          <w:lang w:val="en-US"/>
        </w:rPr>
        <w:t>.</w:t>
      </w:r>
      <w:r w:rsidR="0080341B" w:rsidRPr="005F62F4">
        <w:rPr>
          <w:lang w:val="en-US"/>
        </w:rPr>
        <w:t xml:space="preserve"> </w:t>
      </w:r>
      <w:r w:rsidR="00357DCA" w:rsidRPr="005F62F4">
        <w:rPr>
          <w:lang w:val="en-US"/>
        </w:rPr>
        <w:t>R</w:t>
      </w:r>
      <w:r w:rsidR="0080341B" w:rsidRPr="005F62F4">
        <w:rPr>
          <w:lang w:val="en-US"/>
        </w:rPr>
        <w:t xml:space="preserve">ather, it means that </w:t>
      </w:r>
      <w:r w:rsidR="004A5331" w:rsidRPr="005F62F4">
        <w:rPr>
          <w:lang w:val="en-US"/>
        </w:rPr>
        <w:t>such uses</w:t>
      </w:r>
      <w:r w:rsidR="0080341B" w:rsidRPr="005F62F4">
        <w:rPr>
          <w:lang w:val="en-US"/>
        </w:rPr>
        <w:t xml:space="preserve"> do not meet this </w:t>
      </w:r>
      <w:r w:rsidR="0042693E" w:rsidRPr="005F62F4">
        <w:rPr>
          <w:lang w:val="en-US"/>
        </w:rPr>
        <w:t>element of</w:t>
      </w:r>
      <w:r w:rsidR="0080341B" w:rsidRPr="005F62F4">
        <w:rPr>
          <w:lang w:val="en-US"/>
        </w:rPr>
        <w:t xml:space="preserve"> criterion</w:t>
      </w:r>
      <w:r w:rsidR="007D1800" w:rsidRPr="005F62F4">
        <w:rPr>
          <w:lang w:val="en-US"/>
        </w:rPr>
        <w:t xml:space="preserve"> </w:t>
      </w:r>
      <w:r w:rsidR="0042693E" w:rsidRPr="005F62F4">
        <w:rPr>
          <w:lang w:val="en-US"/>
        </w:rPr>
        <w:t>4(b)</w:t>
      </w:r>
      <w:r w:rsidR="0080341B" w:rsidRPr="005F62F4">
        <w:rPr>
          <w:lang w:val="en-US"/>
        </w:rPr>
        <w:t>.</w:t>
      </w:r>
    </w:p>
    <w:p w14:paraId="34B2E941" w14:textId="5447835D" w:rsidR="005D3D41" w:rsidRPr="005F62F4" w:rsidRDefault="005D3D41" w:rsidP="005D3D41">
      <w:pPr>
        <w:pStyle w:val="Heading5"/>
      </w:pPr>
      <w:r w:rsidRPr="005F62F4">
        <w:t>CMF procedures</w:t>
      </w:r>
    </w:p>
    <w:p w14:paraId="41C5356E" w14:textId="6202D6DF" w:rsidR="00732759" w:rsidRPr="005F62F4" w:rsidRDefault="00F00EDE" w:rsidP="00B94FCC">
      <w:pPr>
        <w:pStyle w:val="ParaKeep"/>
      </w:pPr>
      <w:r w:rsidRPr="005F62F4">
        <w:t xml:space="preserve">The surgeons </w:t>
      </w:r>
      <w:r w:rsidR="006139E1" w:rsidRPr="005F62F4">
        <w:t xml:space="preserve">we consulted </w:t>
      </w:r>
      <w:r w:rsidR="00732759" w:rsidRPr="005F62F4">
        <w:t xml:space="preserve">were unanimous in their view that surgical guides </w:t>
      </w:r>
      <w:r w:rsidR="0071169E" w:rsidRPr="005F62F4">
        <w:t xml:space="preserve">may be considered </w:t>
      </w:r>
      <w:r w:rsidR="00732759" w:rsidRPr="005F62F4">
        <w:t xml:space="preserve">essential </w:t>
      </w:r>
      <w:r w:rsidR="00342F48" w:rsidRPr="005F62F4">
        <w:t>for implantation of a device</w:t>
      </w:r>
      <w:r w:rsidR="00732759" w:rsidRPr="005F62F4">
        <w:t xml:space="preserve"> in complex CMF procedures</w:t>
      </w:r>
      <w:r w:rsidR="0071169E" w:rsidRPr="005F62F4">
        <w:t xml:space="preserve"> such as</w:t>
      </w:r>
      <w:r w:rsidR="00935AB1" w:rsidRPr="005F62F4">
        <w:t>:</w:t>
      </w:r>
    </w:p>
    <w:p w14:paraId="4446D088" w14:textId="002A7D53" w:rsidR="00F00EDE" w:rsidRPr="005F62F4" w:rsidRDefault="00F00EDE" w:rsidP="00F00EDE">
      <w:pPr>
        <w:pStyle w:val="Bullet1"/>
      </w:pPr>
      <w:r w:rsidRPr="005F62F4">
        <w:t>orthognathic surgery (double jaw</w:t>
      </w:r>
      <w:r w:rsidR="00194E11" w:rsidRPr="005F62F4">
        <w:t xml:space="preserve"> and complex sing</w:t>
      </w:r>
      <w:r w:rsidR="00EF2D00" w:rsidRPr="005F62F4">
        <w:t>l</w:t>
      </w:r>
      <w:r w:rsidR="00194E11" w:rsidRPr="005F62F4">
        <w:t>e jaw</w:t>
      </w:r>
      <w:r w:rsidR="0009376D" w:rsidRPr="005F62F4">
        <w:t xml:space="preserve"> – </w:t>
      </w:r>
      <w:proofErr w:type="gramStart"/>
      <w:r w:rsidR="0009376D" w:rsidRPr="005F62F4">
        <w:t>e.g.</w:t>
      </w:r>
      <w:proofErr w:type="gramEnd"/>
      <w:r w:rsidR="0009376D" w:rsidRPr="005F62F4">
        <w:t xml:space="preserve"> with segmentation</w:t>
      </w:r>
      <w:r w:rsidRPr="005F62F4">
        <w:t>)</w:t>
      </w:r>
    </w:p>
    <w:p w14:paraId="6BBAC626" w14:textId="4C022785" w:rsidR="00F00EDE" w:rsidRPr="005F62F4" w:rsidRDefault="00F00EDE" w:rsidP="00F00EDE">
      <w:pPr>
        <w:pStyle w:val="Bullet1"/>
      </w:pPr>
      <w:r w:rsidRPr="005F62F4">
        <w:t>facial trauma surgery</w:t>
      </w:r>
      <w:r w:rsidR="00C85CB4" w:rsidRPr="005F62F4">
        <w:rPr>
          <w:rStyle w:val="FootnoteReference"/>
        </w:rPr>
        <w:footnoteReference w:id="19"/>
      </w:r>
    </w:p>
    <w:p w14:paraId="77508A5A" w14:textId="77777777" w:rsidR="00F00EDE" w:rsidRPr="005F62F4" w:rsidRDefault="00F00EDE" w:rsidP="00F00EDE">
      <w:pPr>
        <w:pStyle w:val="Bullet1"/>
      </w:pPr>
      <w:r w:rsidRPr="005F62F4">
        <w:t>TMJ disorder surgery</w:t>
      </w:r>
    </w:p>
    <w:p w14:paraId="67D883EC" w14:textId="3B975876" w:rsidR="00F00EDE" w:rsidRPr="005F62F4" w:rsidRDefault="00F00EDE" w:rsidP="00F00EDE">
      <w:pPr>
        <w:pStyle w:val="Bullet1"/>
      </w:pPr>
      <w:r w:rsidRPr="005F62F4">
        <w:t>cancer resection and reconstruction</w:t>
      </w:r>
    </w:p>
    <w:p w14:paraId="78B5D9E4" w14:textId="02E8CD07" w:rsidR="00C014ED" w:rsidRPr="005F62F4" w:rsidRDefault="000547CF" w:rsidP="00F00EDE">
      <w:pPr>
        <w:pStyle w:val="Bullet1"/>
      </w:pPr>
      <w:r w:rsidRPr="005F62F4">
        <w:t xml:space="preserve">correction of </w:t>
      </w:r>
      <w:r w:rsidR="00F00EDE" w:rsidRPr="005F62F4">
        <w:t xml:space="preserve">cleft and craniofacial deformities </w:t>
      </w:r>
      <w:r w:rsidR="002A202C" w:rsidRPr="005F62F4">
        <w:rPr>
          <w:szCs w:val="24"/>
        </w:rPr>
        <w:t>(</w:t>
      </w:r>
      <w:proofErr w:type="gramStart"/>
      <w:r w:rsidR="002A202C" w:rsidRPr="005F62F4">
        <w:rPr>
          <w:szCs w:val="24"/>
        </w:rPr>
        <w:t>e.g.</w:t>
      </w:r>
      <w:proofErr w:type="gramEnd"/>
      <w:r w:rsidR="002A202C" w:rsidRPr="005F62F4">
        <w:rPr>
          <w:szCs w:val="24"/>
        </w:rPr>
        <w:t xml:space="preserve"> craniosynostosis conditions)</w:t>
      </w:r>
    </w:p>
    <w:p w14:paraId="4C57AA32" w14:textId="37418B7C" w:rsidR="004E7F2A" w:rsidRPr="005F62F4" w:rsidRDefault="004E7F2A" w:rsidP="005E356B">
      <w:pPr>
        <w:pStyle w:val="Bullet1"/>
      </w:pPr>
      <w:r w:rsidRPr="005F62F4">
        <w:t>cranial vault reconstruction and cranioplasties</w:t>
      </w:r>
    </w:p>
    <w:p w14:paraId="7BF7A696" w14:textId="412D3873" w:rsidR="00AA6D52" w:rsidRPr="005F62F4" w:rsidRDefault="0012024E" w:rsidP="00F00EDE">
      <w:pPr>
        <w:pStyle w:val="Bullet1"/>
      </w:pPr>
      <w:r w:rsidRPr="005F62F4">
        <w:t xml:space="preserve">surgery for </w:t>
      </w:r>
      <w:r w:rsidR="00AA6D52" w:rsidRPr="005F62F4">
        <w:t>rare conditions (</w:t>
      </w:r>
      <w:proofErr w:type="gramStart"/>
      <w:r w:rsidR="00AA6D52" w:rsidRPr="005F62F4">
        <w:t>e.g.</w:t>
      </w:r>
      <w:proofErr w:type="gramEnd"/>
      <w:r w:rsidR="00AA6D52" w:rsidRPr="005F62F4">
        <w:t xml:space="preserve"> fibrous dysplasia, anodontia)</w:t>
      </w:r>
    </w:p>
    <w:p w14:paraId="7849DDDB" w14:textId="0696ACB5" w:rsidR="00F00EDE" w:rsidRPr="005F62F4" w:rsidRDefault="00C014ED" w:rsidP="00F00EDE">
      <w:pPr>
        <w:pStyle w:val="Bullet1"/>
      </w:pPr>
      <w:r w:rsidRPr="005F62F4">
        <w:t xml:space="preserve">dental surgery </w:t>
      </w:r>
      <w:r w:rsidR="000A6813" w:rsidRPr="005F62F4">
        <w:t>where it is</w:t>
      </w:r>
      <w:r w:rsidRPr="005F62F4">
        <w:t xml:space="preserve"> part of a CMF procedure (for example, where multiple teeth are replaced </w:t>
      </w:r>
      <w:proofErr w:type="gramStart"/>
      <w:r w:rsidRPr="005F62F4">
        <w:t>as a result of</w:t>
      </w:r>
      <w:proofErr w:type="gramEnd"/>
      <w:r w:rsidRPr="005F62F4">
        <w:t xml:space="preserve"> trauma, cancer resection, cleft and palate procedures).</w:t>
      </w:r>
    </w:p>
    <w:p w14:paraId="02B10351" w14:textId="6703BA4F" w:rsidR="00897170" w:rsidRPr="005F62F4" w:rsidRDefault="00342F48" w:rsidP="008D4D87">
      <w:pPr>
        <w:pStyle w:val="Para"/>
        <w:rPr>
          <w:lang w:val="en-US"/>
        </w:rPr>
      </w:pPr>
      <w:proofErr w:type="spellStart"/>
      <w:r w:rsidRPr="005F62F4">
        <w:t>Biomodels</w:t>
      </w:r>
      <w:proofErr w:type="spellEnd"/>
      <w:r w:rsidRPr="005F62F4">
        <w:t xml:space="preserve"> </w:t>
      </w:r>
      <w:r w:rsidR="0071169E" w:rsidRPr="005F62F4">
        <w:t>may be</w:t>
      </w:r>
      <w:r w:rsidRPr="005F62F4">
        <w:t xml:space="preserve"> considered </w:t>
      </w:r>
      <w:r w:rsidR="00A46BCC" w:rsidRPr="005F62F4">
        <w:t xml:space="preserve">essential </w:t>
      </w:r>
      <w:r w:rsidR="002A0D59" w:rsidRPr="005F62F4">
        <w:t>for</w:t>
      </w:r>
      <w:r w:rsidR="00A46BCC" w:rsidRPr="005F62F4">
        <w:t xml:space="preserve"> implanting a device in the complex CMF procedures listed above</w:t>
      </w:r>
      <w:r w:rsidR="00D538F6" w:rsidRPr="005F62F4">
        <w:t xml:space="preserve"> provided that they are used intraoperatively to support implantation of a prosthesis (</w:t>
      </w:r>
      <w:proofErr w:type="gramStart"/>
      <w:r w:rsidR="00D538F6" w:rsidRPr="005F62F4">
        <w:t>e.g.</w:t>
      </w:r>
      <w:proofErr w:type="gramEnd"/>
      <w:r w:rsidR="00D538F6" w:rsidRPr="005F62F4">
        <w:t xml:space="preserve"> to shape plates)</w:t>
      </w:r>
      <w:r w:rsidR="009311DB" w:rsidRPr="005F62F4">
        <w:t>.</w:t>
      </w:r>
    </w:p>
    <w:p w14:paraId="637F1E81" w14:textId="150F43F7" w:rsidR="00B21FC8" w:rsidRPr="005F62F4" w:rsidRDefault="001D4C55" w:rsidP="004E24F8">
      <w:pPr>
        <w:pStyle w:val="ParaKeep"/>
        <w:rPr>
          <w:bCs/>
          <w:lang w:val="en-US"/>
        </w:rPr>
      </w:pPr>
      <w:r w:rsidRPr="005F62F4">
        <w:rPr>
          <w:bCs/>
          <w:lang w:val="en-US"/>
        </w:rPr>
        <w:lastRenderedPageBreak/>
        <w:t>While useful for some patients, s</w:t>
      </w:r>
      <w:r w:rsidR="00F00EDE" w:rsidRPr="005F62F4">
        <w:rPr>
          <w:bCs/>
          <w:lang w:val="en-US"/>
        </w:rPr>
        <w:t xml:space="preserve">urgeons </w:t>
      </w:r>
      <w:r w:rsidR="00B21FC8" w:rsidRPr="005F62F4">
        <w:rPr>
          <w:bCs/>
          <w:lang w:val="en-US"/>
        </w:rPr>
        <w:t xml:space="preserve">considered that </w:t>
      </w:r>
      <w:r w:rsidR="00B21FC8" w:rsidRPr="005F62F4">
        <w:rPr>
          <w:lang w:val="en-US"/>
        </w:rPr>
        <w:t xml:space="preserve">surgical guides </w:t>
      </w:r>
      <w:r w:rsidR="00EF3A31" w:rsidRPr="005F62F4">
        <w:rPr>
          <w:lang w:val="en-US"/>
        </w:rPr>
        <w:t xml:space="preserve">and </w:t>
      </w:r>
      <w:proofErr w:type="spellStart"/>
      <w:r w:rsidR="00EF3A31" w:rsidRPr="005F62F4">
        <w:rPr>
          <w:lang w:val="en-US"/>
        </w:rPr>
        <w:t>biomodels</w:t>
      </w:r>
      <w:proofErr w:type="spellEnd"/>
      <w:r w:rsidR="00EF3A31" w:rsidRPr="005F62F4">
        <w:rPr>
          <w:lang w:val="en-US"/>
        </w:rPr>
        <w:t xml:space="preserve"> </w:t>
      </w:r>
      <w:r w:rsidR="00B21FC8" w:rsidRPr="005F62F4">
        <w:rPr>
          <w:bCs/>
          <w:lang w:val="en-US"/>
        </w:rPr>
        <w:t xml:space="preserve">were </w:t>
      </w:r>
      <w:r w:rsidR="00B21FC8" w:rsidRPr="005F62F4">
        <w:rPr>
          <w:lang w:val="en-US"/>
        </w:rPr>
        <w:t>not essential</w:t>
      </w:r>
      <w:r w:rsidR="00B21FC8" w:rsidRPr="005F62F4">
        <w:rPr>
          <w:bCs/>
          <w:lang w:val="en-US"/>
        </w:rPr>
        <w:t xml:space="preserve"> for </w:t>
      </w:r>
      <w:r w:rsidR="00CA121C" w:rsidRPr="005F62F4">
        <w:rPr>
          <w:bCs/>
          <w:lang w:val="en-US"/>
        </w:rPr>
        <w:t>implanting a device in</w:t>
      </w:r>
      <w:r w:rsidR="00B21FC8" w:rsidRPr="005F62F4">
        <w:rPr>
          <w:bCs/>
          <w:lang w:val="en-US"/>
        </w:rPr>
        <w:t xml:space="preserve"> </w:t>
      </w:r>
      <w:r w:rsidR="008D06CC" w:rsidRPr="005F62F4">
        <w:rPr>
          <w:bCs/>
          <w:lang w:val="en-US"/>
        </w:rPr>
        <w:t>simpler</w:t>
      </w:r>
      <w:r w:rsidR="00B21FC8" w:rsidRPr="005F62F4">
        <w:rPr>
          <w:bCs/>
          <w:lang w:val="en-US"/>
        </w:rPr>
        <w:t xml:space="preserve"> procedures</w:t>
      </w:r>
      <w:r w:rsidR="008D06CC" w:rsidRPr="005F62F4">
        <w:rPr>
          <w:bCs/>
          <w:lang w:val="en-US"/>
        </w:rPr>
        <w:t>, such as</w:t>
      </w:r>
      <w:r w:rsidR="00B21FC8" w:rsidRPr="005F62F4">
        <w:rPr>
          <w:bCs/>
          <w:lang w:val="en-US"/>
        </w:rPr>
        <w:t>:</w:t>
      </w:r>
    </w:p>
    <w:p w14:paraId="4E225853" w14:textId="05AF175A" w:rsidR="00FC357C" w:rsidRPr="005F62F4" w:rsidRDefault="00FC357C" w:rsidP="00FC357C">
      <w:pPr>
        <w:pStyle w:val="Bullet1"/>
        <w:rPr>
          <w:lang w:val="en-US"/>
        </w:rPr>
      </w:pPr>
      <w:r w:rsidRPr="005F62F4">
        <w:rPr>
          <w:lang w:val="en-US"/>
        </w:rPr>
        <w:t>simple</w:t>
      </w:r>
      <w:r w:rsidR="00A82ECD" w:rsidRPr="005F62F4">
        <w:rPr>
          <w:lang w:val="en-US"/>
        </w:rPr>
        <w:t xml:space="preserve"> single jaw</w:t>
      </w:r>
      <w:r w:rsidRPr="005F62F4">
        <w:rPr>
          <w:lang w:val="en-US"/>
        </w:rPr>
        <w:t xml:space="preserve"> orthognathic surgery</w:t>
      </w:r>
    </w:p>
    <w:p w14:paraId="16A3443E" w14:textId="291F8926" w:rsidR="00FC357C" w:rsidRPr="005F62F4" w:rsidRDefault="0057132C" w:rsidP="00FC357C">
      <w:pPr>
        <w:pStyle w:val="Bullet1"/>
        <w:rPr>
          <w:lang w:val="en-US"/>
        </w:rPr>
      </w:pPr>
      <w:r w:rsidRPr="005F62F4">
        <w:rPr>
          <w:lang w:val="en-US"/>
        </w:rPr>
        <w:t xml:space="preserve">simple </w:t>
      </w:r>
      <w:r w:rsidR="00FC357C" w:rsidRPr="005F62F4">
        <w:rPr>
          <w:lang w:val="en-US"/>
        </w:rPr>
        <w:t>orbital surgery</w:t>
      </w:r>
    </w:p>
    <w:p w14:paraId="107DBB12" w14:textId="39DD4C26" w:rsidR="00FC357C" w:rsidRPr="005F62F4" w:rsidRDefault="00FC357C" w:rsidP="00FC357C">
      <w:pPr>
        <w:pStyle w:val="Bullet1"/>
        <w:rPr>
          <w:lang w:val="en-US"/>
        </w:rPr>
      </w:pPr>
      <w:r w:rsidRPr="005F62F4">
        <w:rPr>
          <w:lang w:val="en-US"/>
        </w:rPr>
        <w:t>sinus lift procedures</w:t>
      </w:r>
    </w:p>
    <w:p w14:paraId="427E4C06" w14:textId="79BF235F" w:rsidR="00FC357C" w:rsidRPr="005F62F4" w:rsidRDefault="00FC357C" w:rsidP="00FC357C">
      <w:pPr>
        <w:pStyle w:val="Bullet1"/>
        <w:rPr>
          <w:lang w:val="en-US"/>
        </w:rPr>
      </w:pPr>
      <w:r w:rsidRPr="005F62F4">
        <w:rPr>
          <w:lang w:val="en-US"/>
        </w:rPr>
        <w:t>alveolar ridge augmentation</w:t>
      </w:r>
    </w:p>
    <w:p w14:paraId="43D62888" w14:textId="6ADC3E77" w:rsidR="00FC357C" w:rsidRPr="005F62F4" w:rsidRDefault="00FC357C">
      <w:pPr>
        <w:pStyle w:val="Bullet1"/>
        <w:rPr>
          <w:lang w:val="en-US"/>
        </w:rPr>
      </w:pPr>
      <w:r w:rsidRPr="005F62F4">
        <w:rPr>
          <w:lang w:val="en-US"/>
        </w:rPr>
        <w:t xml:space="preserve">dental implants </w:t>
      </w:r>
      <w:r w:rsidR="00256F3F" w:rsidRPr="005F62F4">
        <w:rPr>
          <w:lang w:val="en-US"/>
        </w:rPr>
        <w:t>(</w:t>
      </w:r>
      <w:proofErr w:type="gramStart"/>
      <w:r w:rsidRPr="005F62F4">
        <w:rPr>
          <w:lang w:val="en-US"/>
        </w:rPr>
        <w:t>e.g.</w:t>
      </w:r>
      <w:proofErr w:type="gramEnd"/>
      <w:r w:rsidRPr="005F62F4">
        <w:rPr>
          <w:lang w:val="en-US"/>
        </w:rPr>
        <w:t xml:space="preserve"> following tooth extraction</w:t>
      </w:r>
      <w:r w:rsidR="00256F3F" w:rsidRPr="005F62F4">
        <w:rPr>
          <w:lang w:val="en-US"/>
        </w:rPr>
        <w:t>)</w:t>
      </w:r>
      <w:r w:rsidR="008D4D87" w:rsidRPr="005F62F4">
        <w:rPr>
          <w:lang w:val="en-US"/>
        </w:rPr>
        <w:t>.</w:t>
      </w:r>
      <w:r w:rsidR="00511F08" w:rsidRPr="005F62F4">
        <w:rPr>
          <w:rStyle w:val="FootnoteReference"/>
          <w:lang w:val="en-US"/>
        </w:rPr>
        <w:footnoteReference w:id="20"/>
      </w:r>
    </w:p>
    <w:p w14:paraId="6B63473F" w14:textId="697A7DA7" w:rsidR="0064389F" w:rsidRPr="005F62F4" w:rsidRDefault="007D3EC0" w:rsidP="00743934">
      <w:pPr>
        <w:pStyle w:val="Para"/>
        <w:rPr>
          <w:lang w:val="en-US"/>
        </w:rPr>
      </w:pPr>
      <w:r w:rsidRPr="005F62F4">
        <w:rPr>
          <w:lang w:val="en-US"/>
        </w:rPr>
        <w:t xml:space="preserve">However, surgeons cautioned against blanket assumptions about the complexity of a given procedure type </w:t>
      </w:r>
      <w:r w:rsidR="00E13A54" w:rsidRPr="005F62F4">
        <w:rPr>
          <w:lang w:val="en-US"/>
        </w:rPr>
        <w:t>(</w:t>
      </w:r>
      <w:r w:rsidRPr="005F62F4">
        <w:rPr>
          <w:lang w:val="en-US"/>
        </w:rPr>
        <w:t>as this depends on individual clinical circumstances</w:t>
      </w:r>
      <w:proofErr w:type="gramStart"/>
      <w:r w:rsidR="00E13A54" w:rsidRPr="005F62F4">
        <w:rPr>
          <w:lang w:val="en-US"/>
        </w:rPr>
        <w:t>)</w:t>
      </w:r>
      <w:r w:rsidRPr="005F62F4">
        <w:rPr>
          <w:lang w:val="en-US"/>
        </w:rPr>
        <w:t>, and</w:t>
      </w:r>
      <w:proofErr w:type="gramEnd"/>
      <w:r w:rsidRPr="005F62F4">
        <w:rPr>
          <w:lang w:val="en-US"/>
        </w:rPr>
        <w:t xml:space="preserve"> </w:t>
      </w:r>
      <w:r w:rsidR="00E13A54" w:rsidRPr="005F62F4">
        <w:rPr>
          <w:lang w:val="en-US"/>
        </w:rPr>
        <w:t xml:space="preserve">highlighted </w:t>
      </w:r>
      <w:r w:rsidRPr="005F62F4">
        <w:rPr>
          <w:lang w:val="en-US"/>
        </w:rPr>
        <w:t>the need for appropriate definition</w:t>
      </w:r>
      <w:r w:rsidR="00E13A54" w:rsidRPr="005F62F4">
        <w:rPr>
          <w:lang w:val="en-US"/>
        </w:rPr>
        <w:t>s</w:t>
      </w:r>
      <w:r w:rsidRPr="005F62F4">
        <w:rPr>
          <w:lang w:val="en-US"/>
        </w:rPr>
        <w:t xml:space="preserve"> of ‘simple’ and complex’ procedures.</w:t>
      </w:r>
    </w:p>
    <w:p w14:paraId="0B717E5D" w14:textId="547575E4" w:rsidR="0015095B" w:rsidRPr="005F62F4" w:rsidRDefault="0015095B" w:rsidP="005C268F">
      <w:pPr>
        <w:pStyle w:val="Heading5"/>
      </w:pPr>
      <w:r w:rsidRPr="005F62F4">
        <w:t>Dental procedures</w:t>
      </w:r>
    </w:p>
    <w:p w14:paraId="2EB5A7CF" w14:textId="3402CAE8" w:rsidR="004A70D9" w:rsidRPr="005F62F4" w:rsidRDefault="004A70D9" w:rsidP="004A70D9">
      <w:pPr>
        <w:pStyle w:val="ParaKeep"/>
      </w:pPr>
      <w:r w:rsidRPr="005F62F4">
        <w:t xml:space="preserve">Most </w:t>
      </w:r>
      <w:r w:rsidR="007B01CB" w:rsidRPr="005F62F4">
        <w:t>surgeons</w:t>
      </w:r>
      <w:r w:rsidRPr="005F62F4">
        <w:t xml:space="preserve"> and some sponsors did not consider the use of surgical guides and </w:t>
      </w:r>
      <w:proofErr w:type="spellStart"/>
      <w:r w:rsidRPr="005F62F4">
        <w:t>biomodels</w:t>
      </w:r>
      <w:proofErr w:type="spellEnd"/>
      <w:r w:rsidRPr="005F62F4">
        <w:t xml:space="preserve"> in dental procedures </w:t>
      </w:r>
      <w:r w:rsidR="000E3185" w:rsidRPr="005F62F4">
        <w:t xml:space="preserve">to be </w:t>
      </w:r>
      <w:r w:rsidRPr="005F62F4">
        <w:t>essential</w:t>
      </w:r>
      <w:r w:rsidR="00A648BD" w:rsidRPr="005F62F4">
        <w:t xml:space="preserve"> to implantation</w:t>
      </w:r>
      <w:r w:rsidRPr="005F62F4">
        <w:t xml:space="preserve">. This was especially the case in routine dental implants, which </w:t>
      </w:r>
      <w:r w:rsidR="00C6704C" w:rsidRPr="005F62F4">
        <w:t>are low</w:t>
      </w:r>
      <w:r w:rsidR="00B16466" w:rsidRPr="005F62F4">
        <w:t>-</w:t>
      </w:r>
      <w:r w:rsidR="00C6704C" w:rsidRPr="005F62F4">
        <w:t xml:space="preserve">complexity procedures </w:t>
      </w:r>
      <w:r w:rsidRPr="005F62F4">
        <w:t>frequently performed in a general dental surgery.</w:t>
      </w:r>
    </w:p>
    <w:p w14:paraId="70B38769" w14:textId="1BA5DA3C" w:rsidR="0015095B" w:rsidRPr="005F62F4" w:rsidRDefault="007B01CB" w:rsidP="0053447C">
      <w:pPr>
        <w:pStyle w:val="Para"/>
      </w:pPr>
      <w:r w:rsidRPr="005F62F4">
        <w:t>Surgeons</w:t>
      </w:r>
      <w:r w:rsidR="004A70D9" w:rsidRPr="005F62F4">
        <w:t xml:space="preserve"> </w:t>
      </w:r>
      <w:r w:rsidR="00C6704C" w:rsidRPr="005F62F4">
        <w:t>suggested</w:t>
      </w:r>
      <w:r w:rsidR="004A70D9" w:rsidRPr="005F62F4">
        <w:t xml:space="preserve"> that neither surgical guides </w:t>
      </w:r>
      <w:r w:rsidR="00C6704C" w:rsidRPr="005F62F4">
        <w:t xml:space="preserve">nor </w:t>
      </w:r>
      <w:proofErr w:type="spellStart"/>
      <w:r w:rsidR="00C6704C" w:rsidRPr="005F62F4">
        <w:t>biomodels</w:t>
      </w:r>
      <w:proofErr w:type="spellEnd"/>
      <w:r w:rsidR="004A70D9" w:rsidRPr="005F62F4">
        <w:t xml:space="preserve"> </w:t>
      </w:r>
      <w:r w:rsidR="00C64BF6" w:rsidRPr="005F62F4">
        <w:t>are</w:t>
      </w:r>
      <w:r w:rsidR="004A70D9" w:rsidRPr="005F62F4">
        <w:t xml:space="preserve"> essential </w:t>
      </w:r>
      <w:r w:rsidR="00F36B38" w:rsidRPr="005F62F4">
        <w:t>for</w:t>
      </w:r>
      <w:r w:rsidR="004A70D9" w:rsidRPr="005F62F4">
        <w:t xml:space="preserve"> alveolar ridge augmentation</w:t>
      </w:r>
      <w:r w:rsidR="00EF7C05" w:rsidRPr="005F62F4">
        <w:t>,</w:t>
      </w:r>
      <w:r w:rsidR="00F77EDB" w:rsidRPr="005F62F4">
        <w:t xml:space="preserve"> which is a preparatory procedure for dental implant surgery</w:t>
      </w:r>
      <w:r w:rsidR="004A70D9" w:rsidRPr="005F62F4">
        <w:t xml:space="preserve">. One </w:t>
      </w:r>
      <w:r w:rsidR="00311585" w:rsidRPr="005F62F4">
        <w:t>surgeon</w:t>
      </w:r>
      <w:r w:rsidR="004A70D9" w:rsidRPr="005F62F4">
        <w:t xml:space="preserve"> argued that </w:t>
      </w:r>
      <w:proofErr w:type="spellStart"/>
      <w:r w:rsidR="004A70D9" w:rsidRPr="005F62F4">
        <w:t>biomodels</w:t>
      </w:r>
      <w:proofErr w:type="spellEnd"/>
      <w:r w:rsidR="004A70D9" w:rsidRPr="005F62F4">
        <w:t xml:space="preserve"> could be </w:t>
      </w:r>
      <w:r w:rsidR="00B87B19" w:rsidRPr="005F62F4">
        <w:t>’very useful’</w:t>
      </w:r>
      <w:r w:rsidR="004A70D9" w:rsidRPr="005F62F4">
        <w:t xml:space="preserve"> as a planning and visualisation aid in cases where custom mesh was used to support the graft, rather than being </w:t>
      </w:r>
      <w:r w:rsidR="000A7CCF" w:rsidRPr="005F62F4">
        <w:t xml:space="preserve">essential </w:t>
      </w:r>
      <w:r w:rsidR="004A70D9" w:rsidRPr="005F62F4">
        <w:t>to the implant</w:t>
      </w:r>
      <w:r w:rsidR="00EE2C54" w:rsidRPr="005F62F4">
        <w:t>ation</w:t>
      </w:r>
      <w:r w:rsidR="004A70D9" w:rsidRPr="005F62F4">
        <w:t xml:space="preserve"> of the mesh or graft.</w:t>
      </w:r>
    </w:p>
    <w:p w14:paraId="107A08CD" w14:textId="1C15A05D" w:rsidR="00867F5F" w:rsidRPr="005F62F4" w:rsidRDefault="00867F5F" w:rsidP="005C268F">
      <w:pPr>
        <w:pStyle w:val="Heading5"/>
      </w:pPr>
      <w:r w:rsidRPr="005F62F4">
        <w:t>Orthopaedic procedures</w:t>
      </w:r>
    </w:p>
    <w:p w14:paraId="28FF1870" w14:textId="34BCDDFC" w:rsidR="007E1EB3" w:rsidRPr="005F62F4" w:rsidRDefault="001A4C0A" w:rsidP="00E2153C">
      <w:pPr>
        <w:pStyle w:val="Para"/>
      </w:pPr>
      <w:r w:rsidRPr="005F62F4">
        <w:t xml:space="preserve">Surgical </w:t>
      </w:r>
      <w:r w:rsidR="00A11254" w:rsidRPr="005F62F4">
        <w:t xml:space="preserve">guides and </w:t>
      </w:r>
      <w:proofErr w:type="spellStart"/>
      <w:r w:rsidR="00A11254" w:rsidRPr="005F62F4">
        <w:t>biomodels</w:t>
      </w:r>
      <w:proofErr w:type="spellEnd"/>
      <w:r w:rsidR="00A11254" w:rsidRPr="005F62F4">
        <w:t xml:space="preserve"> are </w:t>
      </w:r>
      <w:r w:rsidR="007A3CB4" w:rsidRPr="005F62F4">
        <w:t>increasingly used in orthopaedic surgery</w:t>
      </w:r>
      <w:r w:rsidRPr="005F62F4">
        <w:t xml:space="preserve"> as part of virtual surgical planning</w:t>
      </w:r>
      <w:r w:rsidR="007A3CB4" w:rsidRPr="005F62F4">
        <w:t xml:space="preserve">, </w:t>
      </w:r>
      <w:r w:rsidR="00C5450C" w:rsidRPr="005F62F4">
        <w:t xml:space="preserve">with mixed evidence </w:t>
      </w:r>
      <w:r w:rsidR="00D71A04" w:rsidRPr="005F62F4">
        <w:t xml:space="preserve">regarding their effectiveness based on the literature (see </w:t>
      </w:r>
      <w:r w:rsidR="00B90591" w:rsidRPr="005F62F4">
        <w:fldChar w:fldCharType="begin"/>
      </w:r>
      <w:r w:rsidR="00B90591" w:rsidRPr="005F62F4">
        <w:instrText xml:space="preserve"> REF _Ref120190676 \r \h </w:instrText>
      </w:r>
      <w:r w:rsidR="005F62F4">
        <w:instrText xml:space="preserve"> \* MERGEFORMAT </w:instrText>
      </w:r>
      <w:r w:rsidR="00B90591" w:rsidRPr="005F62F4">
        <w:fldChar w:fldCharType="separate"/>
      </w:r>
      <w:r w:rsidR="005606BF">
        <w:t>Appendix D</w:t>
      </w:r>
      <w:r w:rsidR="00B90591" w:rsidRPr="005F62F4">
        <w:fldChar w:fldCharType="end"/>
      </w:r>
      <w:r w:rsidR="00886324" w:rsidRPr="005F62F4">
        <w:t>,</w:t>
      </w:r>
      <w:r w:rsidR="00B90591" w:rsidRPr="005F62F4">
        <w:t xml:space="preserve"> </w:t>
      </w:r>
      <w:r w:rsidR="00AE783E" w:rsidRPr="005F62F4">
        <w:t>Section</w:t>
      </w:r>
      <w:r w:rsidR="00C64BF6" w:rsidRPr="005F62F4" w:rsidDel="002B0397">
        <w:fldChar w:fldCharType="begin"/>
      </w:r>
      <w:r w:rsidR="0019516A">
        <w:fldChar w:fldCharType="separate"/>
      </w:r>
      <w:r w:rsidR="00C64BF6" w:rsidRPr="005F62F4" w:rsidDel="002B0397">
        <w:fldChar w:fldCharType="end"/>
      </w:r>
      <w:r w:rsidR="00886324" w:rsidRPr="005F62F4">
        <w:t> </w:t>
      </w:r>
      <w:r w:rsidR="00403BD4" w:rsidRPr="005F62F4">
        <w:fldChar w:fldCharType="begin"/>
      </w:r>
      <w:r w:rsidR="00403BD4" w:rsidRPr="005F62F4">
        <w:instrText xml:space="preserve"> REF _Ref120189522 \r \h </w:instrText>
      </w:r>
      <w:r w:rsidR="005F62F4">
        <w:instrText xml:space="preserve"> \* MERGEFORMAT </w:instrText>
      </w:r>
      <w:r w:rsidR="00403BD4" w:rsidRPr="005F62F4">
        <w:fldChar w:fldCharType="separate"/>
      </w:r>
      <w:r w:rsidR="005606BF">
        <w:t>D.3.3</w:t>
      </w:r>
      <w:r w:rsidR="00403BD4" w:rsidRPr="005F62F4">
        <w:fldChar w:fldCharType="end"/>
      </w:r>
      <w:r w:rsidR="00D71A04" w:rsidRPr="005F62F4">
        <w:t>)</w:t>
      </w:r>
      <w:r w:rsidR="002B0397" w:rsidRPr="005F62F4">
        <w:t xml:space="preserve">. </w:t>
      </w:r>
      <w:r w:rsidR="00AE783E" w:rsidRPr="005F62F4">
        <w:t xml:space="preserve">Our own systematic review </w:t>
      </w:r>
      <w:r w:rsidR="00B90591" w:rsidRPr="005F62F4">
        <w:t>(</w:t>
      </w:r>
      <w:r w:rsidR="00B90591" w:rsidRPr="005F62F4">
        <w:fldChar w:fldCharType="begin"/>
      </w:r>
      <w:r w:rsidR="00B90591" w:rsidRPr="005F62F4">
        <w:instrText xml:space="preserve"> REF _Ref119662524 \r \h </w:instrText>
      </w:r>
      <w:r w:rsidR="005F62F4">
        <w:instrText xml:space="preserve"> \* MERGEFORMAT </w:instrText>
      </w:r>
      <w:r w:rsidR="00B90591" w:rsidRPr="005F62F4">
        <w:fldChar w:fldCharType="separate"/>
      </w:r>
      <w:r w:rsidR="005606BF">
        <w:t>Appendix C</w:t>
      </w:r>
      <w:r w:rsidR="00B90591" w:rsidRPr="005F62F4">
        <w:fldChar w:fldCharType="end"/>
      </w:r>
      <w:r w:rsidR="00B90591" w:rsidRPr="005F62F4">
        <w:t xml:space="preserve">) </w:t>
      </w:r>
      <w:r w:rsidR="002C3FF8" w:rsidRPr="005F62F4">
        <w:t xml:space="preserve">identified only one </w:t>
      </w:r>
      <w:r w:rsidR="004627BB" w:rsidRPr="005F62F4">
        <w:t>orthopaedic</w:t>
      </w:r>
      <w:r w:rsidR="002C3FF8" w:rsidRPr="005F62F4">
        <w:t xml:space="preserve"> study (in the context of </w:t>
      </w:r>
      <w:r w:rsidR="00FA0DC9" w:rsidRPr="005F62F4">
        <w:t xml:space="preserve">primary </w:t>
      </w:r>
      <w:r w:rsidR="002C3FF8" w:rsidRPr="005F62F4">
        <w:t xml:space="preserve">total knee </w:t>
      </w:r>
      <w:r w:rsidR="00FA0DC9" w:rsidRPr="005F62F4">
        <w:t>arthroplasty</w:t>
      </w:r>
      <w:r w:rsidR="002C3FF8" w:rsidRPr="005F62F4">
        <w:t>)</w:t>
      </w:r>
      <w:r w:rsidR="00457683" w:rsidRPr="005F62F4">
        <w:t>,</w:t>
      </w:r>
      <w:r w:rsidR="002C3FF8" w:rsidRPr="005F62F4">
        <w:t xml:space="preserve"> which found no difference in most outcomes investigated between the intervention and control groups,</w:t>
      </w:r>
      <w:r w:rsidR="007E7799" w:rsidRPr="005F62F4">
        <w:t xml:space="preserve"> </w:t>
      </w:r>
      <w:r w:rsidR="00545244" w:rsidRPr="005F62F4">
        <w:t xml:space="preserve">but a bigger drop in haemoglobin in the group utilising </w:t>
      </w:r>
      <w:r w:rsidR="00B90591" w:rsidRPr="005F62F4">
        <w:t>a surgical template.</w:t>
      </w:r>
    </w:p>
    <w:p w14:paraId="06AFEE97" w14:textId="794E903E" w:rsidR="00A11254" w:rsidRPr="005F62F4" w:rsidRDefault="00D92E4C" w:rsidP="00E2153C">
      <w:pPr>
        <w:pStyle w:val="Para"/>
      </w:pPr>
      <w:r w:rsidRPr="005F62F4">
        <w:t>In addition</w:t>
      </w:r>
      <w:r w:rsidR="008A4DF4" w:rsidRPr="005F62F4">
        <w:t>, as we con</w:t>
      </w:r>
      <w:r w:rsidR="00EE507D" w:rsidRPr="005F62F4">
        <w:t>sulted</w:t>
      </w:r>
      <w:r w:rsidR="008A4DF4" w:rsidRPr="005F62F4">
        <w:t xml:space="preserve"> with experts in oral and maxillofacial</w:t>
      </w:r>
      <w:r w:rsidR="00F37DF4" w:rsidRPr="005F62F4">
        <w:t xml:space="preserve"> and head and neck reconstructive</w:t>
      </w:r>
      <w:r w:rsidR="008A4DF4" w:rsidRPr="005F62F4">
        <w:t xml:space="preserve"> surgery rather than </w:t>
      </w:r>
      <w:r w:rsidR="009B6352" w:rsidRPr="005F62F4">
        <w:t>orthopaedic</w:t>
      </w:r>
      <w:r w:rsidR="00EE2C54" w:rsidRPr="005F62F4">
        <w:t>s</w:t>
      </w:r>
      <w:r w:rsidR="009B6352" w:rsidRPr="005F62F4">
        <w:t xml:space="preserve">, we cannot </w:t>
      </w:r>
      <w:r w:rsidR="000B52CA" w:rsidRPr="005F62F4">
        <w:t>draw any conclusions</w:t>
      </w:r>
      <w:r w:rsidR="009B6352" w:rsidRPr="005F62F4">
        <w:t xml:space="preserve"> on </w:t>
      </w:r>
      <w:r w:rsidR="000B52CA" w:rsidRPr="005F62F4">
        <w:t xml:space="preserve">whether and when surgical guides and </w:t>
      </w:r>
      <w:proofErr w:type="spellStart"/>
      <w:r w:rsidR="000B52CA" w:rsidRPr="005F62F4">
        <w:t>biomodels</w:t>
      </w:r>
      <w:proofErr w:type="spellEnd"/>
      <w:r w:rsidR="000B52CA" w:rsidRPr="005F62F4">
        <w:t xml:space="preserve"> are essential to implanting </w:t>
      </w:r>
      <w:r w:rsidR="00BB54FD" w:rsidRPr="005F62F4">
        <w:t xml:space="preserve">prostheses </w:t>
      </w:r>
      <w:r w:rsidR="000B52CA" w:rsidRPr="005F62F4">
        <w:t>in orthopaedic surgery.</w:t>
      </w:r>
    </w:p>
    <w:p w14:paraId="29CA644F" w14:textId="1CB5432B" w:rsidR="00422E10" w:rsidRPr="005F62F4" w:rsidRDefault="005120B8" w:rsidP="004F2931">
      <w:pPr>
        <w:pStyle w:val="Heading4"/>
      </w:pPr>
      <w:r w:rsidRPr="005F62F4">
        <w:lastRenderedPageBreak/>
        <w:t>Specifically designed as an integral single</w:t>
      </w:r>
      <w:r w:rsidR="00FF345F" w:rsidRPr="005F62F4">
        <w:t>-</w:t>
      </w:r>
      <w:r w:rsidRPr="005F62F4">
        <w:t>use aid</w:t>
      </w:r>
      <w:r w:rsidR="00EE793A" w:rsidRPr="005F62F4">
        <w:t xml:space="preserve"> </w:t>
      </w:r>
      <w:r w:rsidR="00610C2D" w:rsidRPr="005F62F4">
        <w:t xml:space="preserve">for </w:t>
      </w:r>
      <w:r w:rsidR="007F6B33" w:rsidRPr="005F62F4">
        <w:t>implanting a pro</w:t>
      </w:r>
      <w:r w:rsidR="00EE507D" w:rsidRPr="005F62F4">
        <w:t>sthesis</w:t>
      </w:r>
    </w:p>
    <w:p w14:paraId="53BE0227" w14:textId="0095C3EF" w:rsidR="002E7007" w:rsidRPr="005F62F4" w:rsidRDefault="00940238" w:rsidP="00464504">
      <w:pPr>
        <w:pStyle w:val="ParaKeep"/>
      </w:pPr>
      <w:r w:rsidRPr="005F62F4">
        <w:rPr>
          <w:lang w:eastAsia="en-AU"/>
        </w:rPr>
        <w:t xml:space="preserve">The second component of criterion 4(b) is that </w:t>
      </w:r>
      <w:r w:rsidRPr="005F62F4">
        <w:t xml:space="preserve">the </w:t>
      </w:r>
      <w:r w:rsidR="00105F40" w:rsidRPr="005F62F4">
        <w:t xml:space="preserve">product must be </w:t>
      </w:r>
      <w:r w:rsidR="00023405" w:rsidRPr="005F62F4">
        <w:t xml:space="preserve">specifically </w:t>
      </w:r>
      <w:r w:rsidR="00105F40" w:rsidRPr="005F62F4">
        <w:t>designed</w:t>
      </w:r>
      <w:r w:rsidRPr="005F62F4">
        <w:t xml:space="preserve"> as an integral single-use aid to implanting a prosthesis</w:t>
      </w:r>
      <w:r w:rsidR="00105F40" w:rsidRPr="005F62F4">
        <w:t xml:space="preserve">. The </w:t>
      </w:r>
      <w:r w:rsidR="00E95A47" w:rsidRPr="005F62F4">
        <w:t xml:space="preserve">explanatory note to this criterion </w:t>
      </w:r>
      <w:r w:rsidR="006A0841" w:rsidRPr="005F62F4">
        <w:t xml:space="preserve">specifies that </w:t>
      </w:r>
      <w:r w:rsidR="00756235" w:rsidRPr="005F62F4">
        <w:t xml:space="preserve">such </w:t>
      </w:r>
      <w:r w:rsidR="00F9463D" w:rsidRPr="005F62F4">
        <w:t xml:space="preserve">aids </w:t>
      </w:r>
      <w:r w:rsidR="00FB386D" w:rsidRPr="005F62F4">
        <w:t xml:space="preserve">‘are only for use once in a </w:t>
      </w:r>
      <w:proofErr w:type="gramStart"/>
      <w:r w:rsidR="00FB386D" w:rsidRPr="005F62F4">
        <w:t>patient, and</w:t>
      </w:r>
      <w:proofErr w:type="gramEnd"/>
      <w:r w:rsidR="00FB386D" w:rsidRPr="005F62F4">
        <w:t xml:space="preserve"> </w:t>
      </w:r>
      <w:r w:rsidR="00AE601E" w:rsidRPr="005F62F4">
        <w:t xml:space="preserve">have unique and direct connection to the product </w:t>
      </w:r>
      <w:r w:rsidR="00AA4820" w:rsidRPr="005F62F4">
        <w:t xml:space="preserve">[implant] </w:t>
      </w:r>
      <w:r w:rsidR="00AE601E" w:rsidRPr="005F62F4">
        <w:t>and are integral to implanting the product into the patient’.</w:t>
      </w:r>
      <w:r w:rsidR="008D7D73" w:rsidRPr="005F62F4">
        <w:t xml:space="preserve"> </w:t>
      </w:r>
      <w:r w:rsidR="001E0F7E" w:rsidRPr="005F62F4">
        <w:t>Below we c</w:t>
      </w:r>
      <w:r w:rsidR="00276BE4" w:rsidRPr="005F62F4">
        <w:t>onsider the 3 components of this explanatory statement in turn</w:t>
      </w:r>
      <w:r w:rsidR="000F7040" w:rsidRPr="005F62F4">
        <w:t>.</w:t>
      </w:r>
    </w:p>
    <w:p w14:paraId="1EA6DEFE" w14:textId="62CC10E4" w:rsidR="000F7040" w:rsidRPr="005F62F4" w:rsidRDefault="000F7040" w:rsidP="000F7040">
      <w:pPr>
        <w:pStyle w:val="Heading5"/>
      </w:pPr>
      <w:r w:rsidRPr="005F62F4">
        <w:t>Single use</w:t>
      </w:r>
    </w:p>
    <w:p w14:paraId="2A398753" w14:textId="2BBA2193" w:rsidR="00C64BF6" w:rsidRPr="005F62F4" w:rsidRDefault="00321F4B" w:rsidP="000F7040">
      <w:pPr>
        <w:pStyle w:val="Para"/>
      </w:pPr>
      <w:r w:rsidRPr="005F62F4">
        <w:t xml:space="preserve">All </w:t>
      </w:r>
      <w:r w:rsidR="00C64BF6" w:rsidRPr="005F62F4">
        <w:t xml:space="preserve">surgical guides and </w:t>
      </w:r>
      <w:proofErr w:type="spellStart"/>
      <w:r w:rsidR="00C64BF6" w:rsidRPr="005F62F4">
        <w:t>biomodels</w:t>
      </w:r>
      <w:proofErr w:type="spellEnd"/>
      <w:r w:rsidR="00C64BF6" w:rsidRPr="005F62F4">
        <w:t xml:space="preserve"> on the PL are single use.</w:t>
      </w:r>
    </w:p>
    <w:p w14:paraId="762A70FD" w14:textId="0FB00327" w:rsidR="000F7040" w:rsidRPr="005F62F4" w:rsidRDefault="000F7040" w:rsidP="000F7040">
      <w:pPr>
        <w:pStyle w:val="Heading5"/>
      </w:pPr>
      <w:r w:rsidRPr="005F62F4">
        <w:t>Unique and direct connection</w:t>
      </w:r>
    </w:p>
    <w:p w14:paraId="3BE18AFF" w14:textId="4C9CEABB" w:rsidR="006D23B5" w:rsidRPr="005F62F4" w:rsidRDefault="000F7040" w:rsidP="006D23B5">
      <w:pPr>
        <w:pStyle w:val="Para"/>
        <w:spacing w:line="264" w:lineRule="auto"/>
      </w:pPr>
      <w:r w:rsidRPr="005F62F4">
        <w:t>As shown in Appendix B, 18 of the 32 listed products are</w:t>
      </w:r>
      <w:r w:rsidR="00EF2B43" w:rsidRPr="005F62F4">
        <w:t xml:space="preserve"> provided</w:t>
      </w:r>
      <w:r w:rsidRPr="005F62F4">
        <w:t xml:space="preserve"> </w:t>
      </w:r>
      <w:r w:rsidR="00F94F48" w:rsidRPr="005F62F4">
        <w:t xml:space="preserve">as part of </w:t>
      </w:r>
      <w:r w:rsidR="003432FE" w:rsidRPr="005F62F4">
        <w:t xml:space="preserve">a </w:t>
      </w:r>
      <w:r w:rsidR="00F94F48" w:rsidRPr="005F62F4">
        <w:t>kit</w:t>
      </w:r>
      <w:r w:rsidR="00EF2B43" w:rsidRPr="005F62F4">
        <w:t xml:space="preserve"> or system</w:t>
      </w:r>
      <w:r w:rsidR="00F94F48" w:rsidRPr="005F62F4">
        <w:t xml:space="preserve"> that also include</w:t>
      </w:r>
      <w:r w:rsidR="00EF2B43" w:rsidRPr="005F62F4">
        <w:t>s</w:t>
      </w:r>
      <w:r w:rsidR="00F94F48" w:rsidRPr="005F62F4">
        <w:t xml:space="preserve"> </w:t>
      </w:r>
      <w:proofErr w:type="gramStart"/>
      <w:r w:rsidR="00F94F48" w:rsidRPr="005F62F4">
        <w:t>implants</w:t>
      </w:r>
      <w:r w:rsidR="00EF2B43" w:rsidRPr="005F62F4">
        <w:t>, and</w:t>
      </w:r>
      <w:proofErr w:type="gramEnd"/>
      <w:r w:rsidR="00F94F48" w:rsidRPr="005F62F4">
        <w:t xml:space="preserve"> can </w:t>
      </w:r>
      <w:r w:rsidR="00EF2B43" w:rsidRPr="005F62F4">
        <w:t xml:space="preserve">therefore </w:t>
      </w:r>
      <w:r w:rsidR="00F94F48" w:rsidRPr="005F62F4">
        <w:t>be considered to be specifically designed and to have a unique and direct connection to the implant.</w:t>
      </w:r>
    </w:p>
    <w:p w14:paraId="4AF858B5" w14:textId="3AE5EE23" w:rsidR="006D23B5" w:rsidRPr="005F62F4" w:rsidRDefault="00F94F48" w:rsidP="000F7040">
      <w:pPr>
        <w:pStyle w:val="Para"/>
      </w:pPr>
      <w:r w:rsidRPr="005F62F4">
        <w:t xml:space="preserve">Similarly, if the </w:t>
      </w:r>
      <w:r w:rsidR="00A35E79" w:rsidRPr="005F62F4">
        <w:t xml:space="preserve">manufacturer of the surgical guide or </w:t>
      </w:r>
      <w:proofErr w:type="spellStart"/>
      <w:r w:rsidR="00A35E79" w:rsidRPr="005F62F4">
        <w:t>biomodel</w:t>
      </w:r>
      <w:proofErr w:type="spellEnd"/>
      <w:r w:rsidR="00A35E79" w:rsidRPr="005F62F4">
        <w:t xml:space="preserve"> is accredited or endorsed by a </w:t>
      </w:r>
      <w:r w:rsidR="000C173A" w:rsidRPr="005F62F4">
        <w:t>third</w:t>
      </w:r>
      <w:r w:rsidR="00DC3AB1" w:rsidRPr="005F62F4">
        <w:t>-</w:t>
      </w:r>
      <w:r w:rsidR="00A35E79" w:rsidRPr="005F62F4">
        <w:t xml:space="preserve">party implant manufacturer, then </w:t>
      </w:r>
      <w:r w:rsidR="009D5DD6" w:rsidRPr="005F62F4">
        <w:t>their products can also be considered to have a unique and direct connection to the implant.</w:t>
      </w:r>
    </w:p>
    <w:p w14:paraId="55EFFC27" w14:textId="4CE010FB" w:rsidR="00016308" w:rsidRPr="005F62F4" w:rsidRDefault="00A70FA0" w:rsidP="000F7040">
      <w:pPr>
        <w:pStyle w:val="Para"/>
      </w:pPr>
      <w:r w:rsidRPr="005F62F4">
        <w:t xml:space="preserve">Finally, if a </w:t>
      </w:r>
      <w:proofErr w:type="spellStart"/>
      <w:r w:rsidRPr="005F62F4">
        <w:t>biomodel</w:t>
      </w:r>
      <w:proofErr w:type="spellEnd"/>
      <w:r w:rsidRPr="005F62F4">
        <w:t xml:space="preserve"> is used to pre-bend an off-the-shelf plate</w:t>
      </w:r>
      <w:r w:rsidR="002E7007" w:rsidRPr="005F62F4">
        <w:t xml:space="preserve"> intraoperatively, prior to implantation, then this requirement is also met.</w:t>
      </w:r>
    </w:p>
    <w:p w14:paraId="10B5E001" w14:textId="77777777" w:rsidR="00B7215E" w:rsidRPr="005F62F4" w:rsidRDefault="00B7215E" w:rsidP="00B7215E">
      <w:pPr>
        <w:pStyle w:val="Heading5"/>
      </w:pPr>
      <w:r w:rsidRPr="005F62F4">
        <w:t>Integral to implanting a product</w:t>
      </w:r>
    </w:p>
    <w:p w14:paraId="7A910E83" w14:textId="4AED67D9" w:rsidR="00C64BF6" w:rsidRPr="005F62F4" w:rsidRDefault="005319A8" w:rsidP="000F7040">
      <w:pPr>
        <w:pStyle w:val="Para"/>
      </w:pPr>
      <w:r w:rsidRPr="005F62F4">
        <w:t xml:space="preserve">We interpret the term ‘integral </w:t>
      </w:r>
      <w:r w:rsidR="00C64BF6" w:rsidRPr="005F62F4">
        <w:t>to</w:t>
      </w:r>
      <w:r w:rsidR="00503436" w:rsidRPr="005F62F4">
        <w:t xml:space="preserve"> implanting a product</w:t>
      </w:r>
      <w:r w:rsidRPr="005F62F4">
        <w:t>’ to mean ‘essential</w:t>
      </w:r>
      <w:r w:rsidR="00503436" w:rsidRPr="005F62F4">
        <w:t xml:space="preserve"> to </w:t>
      </w:r>
      <w:r w:rsidR="000C58FC" w:rsidRPr="005F62F4">
        <w:t xml:space="preserve">implanting </w:t>
      </w:r>
      <w:r w:rsidR="00C64BF6" w:rsidRPr="005F62F4">
        <w:t xml:space="preserve">the </w:t>
      </w:r>
      <w:proofErr w:type="gramStart"/>
      <w:r w:rsidR="00C64BF6" w:rsidRPr="005F62F4">
        <w:t>prosthesis</w:t>
      </w:r>
      <w:r w:rsidR="00AB50CA" w:rsidRPr="005F62F4">
        <w:t>’</w:t>
      </w:r>
      <w:proofErr w:type="gramEnd"/>
      <w:r w:rsidR="000C58FC" w:rsidRPr="005F62F4">
        <w:t>, as discussed above.</w:t>
      </w:r>
    </w:p>
    <w:p w14:paraId="476DFA2C" w14:textId="09E1E7B5" w:rsidR="006A3F88" w:rsidRPr="005F62F4" w:rsidRDefault="005120B8" w:rsidP="004F2931">
      <w:pPr>
        <w:pStyle w:val="Heading4"/>
      </w:pPr>
      <w:r w:rsidRPr="005F62F4">
        <w:t xml:space="preserve">Only suitable for use </w:t>
      </w:r>
      <w:r w:rsidR="002C7046" w:rsidRPr="005F62F4">
        <w:t>by the patient in whom that product is implanted</w:t>
      </w:r>
    </w:p>
    <w:p w14:paraId="2174E140" w14:textId="0270156B" w:rsidR="006A3F88" w:rsidRPr="005F62F4" w:rsidRDefault="005B6350" w:rsidP="00D50AB4">
      <w:pPr>
        <w:pStyle w:val="Para"/>
      </w:pPr>
      <w:r w:rsidRPr="005F62F4">
        <w:t>All surgical</w:t>
      </w:r>
      <w:r w:rsidR="00503DA7" w:rsidRPr="005F62F4">
        <w:t xml:space="preserve"> guides and </w:t>
      </w:r>
      <w:proofErr w:type="spellStart"/>
      <w:r w:rsidR="00503DA7" w:rsidRPr="005F62F4">
        <w:t>biomodels</w:t>
      </w:r>
      <w:proofErr w:type="spellEnd"/>
      <w:r w:rsidR="00DB6305" w:rsidRPr="005F62F4">
        <w:t xml:space="preserve"> are</w:t>
      </w:r>
      <w:r w:rsidRPr="005F62F4">
        <w:t>, by definition,</w:t>
      </w:r>
      <w:r w:rsidR="00DB6305" w:rsidRPr="005F62F4">
        <w:t xml:space="preserve"> </w:t>
      </w:r>
      <w:r w:rsidR="002C33AC" w:rsidRPr="005F62F4">
        <w:t>based on an individual's presurgical (or planned postsurgical) anatomy and designed to support a specific surgical procedure. T</w:t>
      </w:r>
      <w:r w:rsidR="0069550D" w:rsidRPr="005F62F4">
        <w:t>herefore</w:t>
      </w:r>
      <w:r w:rsidR="00DC3AB1" w:rsidRPr="005F62F4">
        <w:t>,</w:t>
      </w:r>
      <w:r w:rsidR="0069550D" w:rsidRPr="005F62F4">
        <w:t xml:space="preserve"> they </w:t>
      </w:r>
      <w:r w:rsidR="00DB6305" w:rsidRPr="005F62F4">
        <w:t xml:space="preserve">cannot be </w:t>
      </w:r>
      <w:r w:rsidR="001E1D5D" w:rsidRPr="005F62F4">
        <w:t>used</w:t>
      </w:r>
      <w:r w:rsidR="00DB6305" w:rsidRPr="005F62F4">
        <w:t xml:space="preserve"> in another </w:t>
      </w:r>
      <w:r w:rsidR="002C33AC" w:rsidRPr="005F62F4">
        <w:t>patient</w:t>
      </w:r>
      <w:r w:rsidR="00DB6305" w:rsidRPr="005F62F4">
        <w:t>.</w:t>
      </w:r>
    </w:p>
    <w:p w14:paraId="2E0D1188" w14:textId="77777777" w:rsidR="004D1801" w:rsidRPr="005F62F4" w:rsidRDefault="004D1801" w:rsidP="004D1801">
      <w:r w:rsidRPr="005F62F4">
        <w:br w:type="page"/>
      </w:r>
    </w:p>
    <w:p w14:paraId="3D8302FD" w14:textId="7B45564F" w:rsidR="007C5F24" w:rsidRPr="005F62F4" w:rsidRDefault="007C5F24" w:rsidP="004F2931">
      <w:pPr>
        <w:pStyle w:val="Heading4"/>
      </w:pPr>
      <w:r w:rsidRPr="005F62F4">
        <w:lastRenderedPageBreak/>
        <w:t xml:space="preserve">Summary of </w:t>
      </w:r>
      <w:r w:rsidR="008C3321" w:rsidRPr="005F62F4">
        <w:t xml:space="preserve">assessment of </w:t>
      </w:r>
      <w:r w:rsidR="00B073F9" w:rsidRPr="005F62F4">
        <w:t>criterion 4</w:t>
      </w:r>
    </w:p>
    <w:p w14:paraId="2F061D8F" w14:textId="21ED8544" w:rsidR="00DF37FA" w:rsidRPr="005F62F4" w:rsidRDefault="009B471F" w:rsidP="00B073F9">
      <w:pPr>
        <w:pStyle w:val="Para"/>
        <w:rPr>
          <w:lang w:eastAsia="en-AU"/>
        </w:rPr>
      </w:pPr>
      <w:r w:rsidRPr="005F62F4">
        <w:rPr>
          <w:lang w:eastAsia="en-AU"/>
        </w:rPr>
        <w:t xml:space="preserve">The </w:t>
      </w:r>
      <w:r w:rsidR="001F5B6F" w:rsidRPr="005F62F4">
        <w:rPr>
          <w:lang w:eastAsia="en-AU"/>
        </w:rPr>
        <w:t xml:space="preserve">clinical uses of </w:t>
      </w:r>
      <w:r w:rsidRPr="005F62F4">
        <w:rPr>
          <w:lang w:eastAsia="en-AU"/>
        </w:rPr>
        <w:t xml:space="preserve">listed surgical guides and </w:t>
      </w:r>
      <w:proofErr w:type="spellStart"/>
      <w:r w:rsidRPr="005F62F4">
        <w:rPr>
          <w:lang w:eastAsia="en-AU"/>
        </w:rPr>
        <w:t>biomodels</w:t>
      </w:r>
      <w:proofErr w:type="spellEnd"/>
      <w:r w:rsidRPr="005F62F4">
        <w:rPr>
          <w:lang w:eastAsia="en-AU"/>
        </w:rPr>
        <w:t xml:space="preserve"> </w:t>
      </w:r>
      <w:r w:rsidR="0089750A" w:rsidRPr="005F62F4">
        <w:rPr>
          <w:lang w:eastAsia="en-AU"/>
        </w:rPr>
        <w:t xml:space="preserve">was found to vary considerably, </w:t>
      </w:r>
      <w:r w:rsidR="00C64E87" w:rsidRPr="005F62F4">
        <w:rPr>
          <w:lang w:eastAsia="en-AU"/>
        </w:rPr>
        <w:t>which</w:t>
      </w:r>
      <w:r w:rsidR="00D7692A" w:rsidRPr="005F62F4">
        <w:rPr>
          <w:lang w:eastAsia="en-AU"/>
        </w:rPr>
        <w:t>, combined with a lack of clarity in</w:t>
      </w:r>
      <w:r w:rsidR="0089750A" w:rsidRPr="005F62F4">
        <w:rPr>
          <w:lang w:eastAsia="en-AU"/>
        </w:rPr>
        <w:t xml:space="preserve"> </w:t>
      </w:r>
      <w:r w:rsidR="00DE4777" w:rsidRPr="005F62F4">
        <w:rPr>
          <w:lang w:eastAsia="en-AU"/>
        </w:rPr>
        <w:t xml:space="preserve">the </w:t>
      </w:r>
      <w:r w:rsidR="00D7692A" w:rsidRPr="005F62F4">
        <w:rPr>
          <w:lang w:eastAsia="en-AU"/>
        </w:rPr>
        <w:t xml:space="preserve">definition of key terms (particularly </w:t>
      </w:r>
      <w:r w:rsidR="00242017" w:rsidRPr="005F62F4">
        <w:rPr>
          <w:lang w:eastAsia="en-AU"/>
        </w:rPr>
        <w:t>‘essential’ and ‘integral’)</w:t>
      </w:r>
      <w:r w:rsidR="00266DB9" w:rsidRPr="005F62F4">
        <w:rPr>
          <w:lang w:eastAsia="en-AU"/>
        </w:rPr>
        <w:t>,</w:t>
      </w:r>
      <w:r w:rsidR="00022CE9" w:rsidRPr="005F62F4">
        <w:rPr>
          <w:lang w:eastAsia="en-AU"/>
        </w:rPr>
        <w:t xml:space="preserve"> makes </w:t>
      </w:r>
      <w:r w:rsidR="00B33980" w:rsidRPr="005F62F4">
        <w:rPr>
          <w:lang w:eastAsia="en-AU"/>
        </w:rPr>
        <w:t xml:space="preserve">assessment of this criterion </w:t>
      </w:r>
      <w:r w:rsidR="00FB4121" w:rsidRPr="005F62F4">
        <w:rPr>
          <w:lang w:eastAsia="en-AU"/>
        </w:rPr>
        <w:t>difficult</w:t>
      </w:r>
      <w:r w:rsidR="00B33980" w:rsidRPr="005F62F4">
        <w:rPr>
          <w:lang w:eastAsia="en-AU"/>
        </w:rPr>
        <w:t>.</w:t>
      </w:r>
    </w:p>
    <w:p w14:paraId="29A2C3B2" w14:textId="77777777" w:rsidR="00AD0FCA" w:rsidRPr="005F62F4" w:rsidRDefault="005919FC" w:rsidP="00AD3C3C">
      <w:pPr>
        <w:pStyle w:val="ParaKeep"/>
      </w:pPr>
      <w:r w:rsidRPr="005F62F4">
        <w:t>B</w:t>
      </w:r>
      <w:r w:rsidR="00B33980" w:rsidRPr="005F62F4">
        <w:t xml:space="preserve">ased on the </w:t>
      </w:r>
      <w:r w:rsidR="000F6E89" w:rsidRPr="005F62F4">
        <w:t>analysis provided above, we have found that</w:t>
      </w:r>
      <w:r w:rsidR="00B21494" w:rsidRPr="005F62F4">
        <w:t xml:space="preserve"> this criterion is</w:t>
      </w:r>
      <w:r w:rsidR="00AD0FCA" w:rsidRPr="005F62F4">
        <w:t>:</w:t>
      </w:r>
    </w:p>
    <w:p w14:paraId="33E26AF1" w14:textId="716695AF" w:rsidR="00C120EC" w:rsidRPr="005F62F4" w:rsidRDefault="00C120EC" w:rsidP="00C120EC">
      <w:pPr>
        <w:pStyle w:val="Bullet1"/>
      </w:pPr>
      <w:r w:rsidRPr="005F62F4">
        <w:rPr>
          <w:b/>
          <w:lang w:val="en-US"/>
        </w:rPr>
        <w:t>not met</w:t>
      </w:r>
      <w:r w:rsidRPr="005F62F4">
        <w:rPr>
          <w:lang w:val="en-US"/>
        </w:rPr>
        <w:t xml:space="preserve"> for surgical guides or </w:t>
      </w:r>
      <w:proofErr w:type="spellStart"/>
      <w:r w:rsidRPr="005F62F4">
        <w:rPr>
          <w:lang w:val="en-US"/>
        </w:rPr>
        <w:t>biomodels</w:t>
      </w:r>
      <w:proofErr w:type="spellEnd"/>
      <w:r w:rsidRPr="005F62F4">
        <w:rPr>
          <w:lang w:val="en-US"/>
        </w:rPr>
        <w:t xml:space="preserve"> when used in </w:t>
      </w:r>
      <w:r w:rsidRPr="005F62F4">
        <w:rPr>
          <w:rStyle w:val="Emphasis"/>
        </w:rPr>
        <w:t>procedures that do not involve implantation</w:t>
      </w:r>
      <w:r w:rsidRPr="005F62F4">
        <w:rPr>
          <w:lang w:val="en-US"/>
        </w:rPr>
        <w:t xml:space="preserve"> of a </w:t>
      </w:r>
      <w:proofErr w:type="gramStart"/>
      <w:r w:rsidRPr="005F62F4">
        <w:rPr>
          <w:lang w:val="en-US"/>
        </w:rPr>
        <w:t>prosthesis</w:t>
      </w:r>
      <w:proofErr w:type="gramEnd"/>
    </w:p>
    <w:p w14:paraId="39B6B899" w14:textId="753BE21C" w:rsidR="00C120EC" w:rsidRPr="005F62F4" w:rsidRDefault="00C120EC" w:rsidP="00C120EC">
      <w:pPr>
        <w:pStyle w:val="Bullet1"/>
      </w:pPr>
      <w:r w:rsidRPr="005F62F4">
        <w:rPr>
          <w:rStyle w:val="Strong"/>
        </w:rPr>
        <w:t xml:space="preserve">met </w:t>
      </w:r>
      <w:r w:rsidRPr="005F62F4">
        <w:t xml:space="preserve">for surgical guides and </w:t>
      </w:r>
      <w:proofErr w:type="spellStart"/>
      <w:r w:rsidRPr="005F62F4">
        <w:t>biomodels</w:t>
      </w:r>
      <w:proofErr w:type="spellEnd"/>
      <w:r w:rsidRPr="005F62F4">
        <w:t xml:space="preserve"> used for </w:t>
      </w:r>
      <w:r w:rsidRPr="005F62F4">
        <w:rPr>
          <w:rStyle w:val="Emphasis"/>
        </w:rPr>
        <w:t>complex CMF procedures</w:t>
      </w:r>
    </w:p>
    <w:p w14:paraId="0977BED3" w14:textId="0FEECB96" w:rsidR="00C120EC" w:rsidRPr="005F62F4" w:rsidRDefault="00C120EC" w:rsidP="00C120EC">
      <w:pPr>
        <w:pStyle w:val="Bullet1Keep"/>
      </w:pPr>
      <w:r w:rsidRPr="005F62F4">
        <w:rPr>
          <w:rStyle w:val="Strong"/>
        </w:rPr>
        <w:t>not met</w:t>
      </w:r>
      <w:r w:rsidRPr="005F62F4">
        <w:t xml:space="preserve"> for surgical guides or </w:t>
      </w:r>
      <w:proofErr w:type="spellStart"/>
      <w:r w:rsidRPr="005F62F4">
        <w:t>biomodels</w:t>
      </w:r>
      <w:proofErr w:type="spellEnd"/>
      <w:r w:rsidRPr="005F62F4">
        <w:t xml:space="preserve"> for </w:t>
      </w:r>
      <w:r w:rsidRPr="005F62F4">
        <w:rPr>
          <w:rStyle w:val="Emphasis"/>
        </w:rPr>
        <w:t>simpler procedures</w:t>
      </w:r>
      <w:r w:rsidRPr="005F62F4">
        <w:t>.</w:t>
      </w:r>
    </w:p>
    <w:p w14:paraId="5AFF2CD3" w14:textId="1A1226A1" w:rsidR="00C120EC" w:rsidRPr="005F62F4" w:rsidRDefault="00C120EC" w:rsidP="002B067E">
      <w:pPr>
        <w:pStyle w:val="Para"/>
        <w:rPr>
          <w:lang w:val="en-US"/>
        </w:rPr>
      </w:pPr>
      <w:r w:rsidRPr="005F62F4">
        <w:t>Examples of procedures that surgeons generally considered complex or simple are provided in Section </w:t>
      </w:r>
      <w:r w:rsidRPr="005F62F4">
        <w:fldChar w:fldCharType="begin"/>
      </w:r>
      <w:r w:rsidRPr="005F62F4">
        <w:instrText xml:space="preserve"> REF _Ref128655932 \n \h </w:instrText>
      </w:r>
      <w:r w:rsidR="005F62F4">
        <w:instrText xml:space="preserve"> \* MERGEFORMAT </w:instrText>
      </w:r>
      <w:r w:rsidRPr="005F62F4">
        <w:fldChar w:fldCharType="separate"/>
      </w:r>
      <w:r w:rsidR="005606BF">
        <w:t>1.2</w:t>
      </w:r>
      <w:r w:rsidRPr="005F62F4">
        <w:fldChar w:fldCharType="end"/>
      </w:r>
      <w:r w:rsidRPr="005F62F4">
        <w:t xml:space="preserve"> and Section </w:t>
      </w:r>
      <w:r w:rsidRPr="005F62F4">
        <w:fldChar w:fldCharType="begin"/>
      </w:r>
      <w:r w:rsidRPr="005F62F4">
        <w:instrText xml:space="preserve"> REF _Ref128756022 \n \h </w:instrText>
      </w:r>
      <w:r w:rsidR="005F62F4">
        <w:instrText xml:space="preserve"> \* MERGEFORMAT </w:instrText>
      </w:r>
      <w:r w:rsidRPr="005F62F4">
        <w:fldChar w:fldCharType="separate"/>
      </w:r>
      <w:r w:rsidR="005606BF">
        <w:t>4.2</w:t>
      </w:r>
      <w:r w:rsidRPr="005F62F4">
        <w:fldChar w:fldCharType="end"/>
      </w:r>
      <w:r w:rsidRPr="005F62F4">
        <w:t xml:space="preserve">. </w:t>
      </w:r>
      <w:r w:rsidRPr="005F62F4">
        <w:rPr>
          <w:lang w:val="en-US"/>
        </w:rPr>
        <w:t>However, surgeons cautioned against blanket assumptions about the complexity of a given procedure type (as this depends on individual clinical circumstances</w:t>
      </w:r>
      <w:proofErr w:type="gramStart"/>
      <w:r w:rsidRPr="005F62F4">
        <w:rPr>
          <w:lang w:val="en-US"/>
        </w:rPr>
        <w:t>), and</w:t>
      </w:r>
      <w:proofErr w:type="gramEnd"/>
      <w:r w:rsidRPr="005F62F4">
        <w:rPr>
          <w:lang w:val="en-US"/>
        </w:rPr>
        <w:t xml:space="preserve"> highlighted the need for appropriate definitions of ‘simple’ and complex’ procedures.</w:t>
      </w:r>
    </w:p>
    <w:p w14:paraId="4242EDD5" w14:textId="77777777" w:rsidR="004D1801" w:rsidRPr="005F62F4" w:rsidRDefault="004D1801" w:rsidP="002B067E">
      <w:pPr>
        <w:pStyle w:val="Para"/>
      </w:pPr>
      <w:bookmarkStart w:id="233" w:name="_Toc120178333"/>
      <w:r w:rsidRPr="005F62F4">
        <w:br w:type="page"/>
      </w:r>
    </w:p>
    <w:p w14:paraId="337A2C79" w14:textId="171E357C" w:rsidR="003C3C0B" w:rsidRPr="005F62F4" w:rsidRDefault="003C3C0B" w:rsidP="004F2931">
      <w:pPr>
        <w:pStyle w:val="Heading3"/>
      </w:pPr>
      <w:r w:rsidRPr="005F62F4">
        <w:lastRenderedPageBreak/>
        <w:t>Criteri</w:t>
      </w:r>
      <w:r w:rsidR="00A63885" w:rsidRPr="005F62F4">
        <w:t>on</w:t>
      </w:r>
      <w:r w:rsidRPr="005F62F4">
        <w:t xml:space="preserve"> </w:t>
      </w:r>
      <w:r w:rsidR="00B9120C" w:rsidRPr="005F62F4">
        <w:t xml:space="preserve">5: </w:t>
      </w:r>
      <w:r w:rsidR="002F25E2" w:rsidRPr="005F62F4">
        <w:t>Clinical effectiveness</w:t>
      </w:r>
      <w:bookmarkEnd w:id="233"/>
      <w:r w:rsidR="009F7059" w:rsidRPr="005F62F4">
        <w:t xml:space="preserve"> and costs</w:t>
      </w:r>
    </w:p>
    <w:p w14:paraId="7A46B8CA" w14:textId="6A212EBC" w:rsidR="00CE64D8" w:rsidRPr="005F62F4" w:rsidRDefault="00CE64D8" w:rsidP="00187FE5">
      <w:pPr>
        <w:pStyle w:val="Boxed"/>
        <w:tabs>
          <w:tab w:val="left" w:pos="284"/>
          <w:tab w:val="left" w:pos="567"/>
        </w:tabs>
        <w:spacing w:before="120" w:after="0"/>
        <w:ind w:left="284" w:hanging="284"/>
      </w:pPr>
      <w:r w:rsidRPr="005F62F4">
        <w:t>5</w:t>
      </w:r>
      <w:r w:rsidR="009A7648" w:rsidRPr="005F62F4">
        <w:t>.</w:t>
      </w:r>
      <w:r w:rsidR="00187FE5" w:rsidRPr="005F62F4">
        <w:tab/>
      </w:r>
      <w:r w:rsidRPr="005F62F4">
        <w:t>The product has been compared to alternative products on the Prostheses List or alternative treatments and</w:t>
      </w:r>
    </w:p>
    <w:p w14:paraId="062C2023" w14:textId="1CE5620F" w:rsidR="00CE64D8" w:rsidRPr="005F62F4" w:rsidRDefault="00187FE5" w:rsidP="00761242">
      <w:pPr>
        <w:pStyle w:val="Boxed"/>
        <w:tabs>
          <w:tab w:val="left" w:pos="284"/>
          <w:tab w:val="left" w:pos="567"/>
        </w:tabs>
        <w:spacing w:before="60" w:after="0"/>
        <w:ind w:left="284" w:hanging="284"/>
      </w:pPr>
      <w:r w:rsidRPr="005F62F4">
        <w:tab/>
      </w:r>
      <w:r w:rsidR="00CE64D8" w:rsidRPr="005F62F4">
        <w:t>(</w:t>
      </w:r>
      <w:proofErr w:type="spellStart"/>
      <w:r w:rsidR="00CE64D8" w:rsidRPr="005F62F4">
        <w:t>i</w:t>
      </w:r>
      <w:proofErr w:type="spellEnd"/>
      <w:r w:rsidR="00CE64D8" w:rsidRPr="005F62F4">
        <w:t>) assessed as being, at least, of similar clinical effectiveness; and</w:t>
      </w:r>
    </w:p>
    <w:p w14:paraId="65D990D7" w14:textId="134BFD9A" w:rsidR="00CE64D8" w:rsidRPr="005F62F4" w:rsidRDefault="00187FE5" w:rsidP="00187FE5">
      <w:pPr>
        <w:pStyle w:val="Boxed"/>
        <w:tabs>
          <w:tab w:val="left" w:pos="284"/>
          <w:tab w:val="left" w:pos="567"/>
        </w:tabs>
        <w:spacing w:before="120" w:after="0"/>
        <w:ind w:left="284" w:hanging="284"/>
      </w:pPr>
      <w:r w:rsidRPr="005F62F4">
        <w:tab/>
      </w:r>
      <w:r w:rsidR="00CE64D8" w:rsidRPr="005F62F4">
        <w:t>(ii) the cost of the product is relative to its clinical effectiveness.</w:t>
      </w:r>
    </w:p>
    <w:p w14:paraId="68573639" w14:textId="6DD3601E" w:rsidR="0031432D" w:rsidRPr="005F62F4" w:rsidRDefault="0031432D" w:rsidP="004F2931">
      <w:pPr>
        <w:pStyle w:val="Heading4"/>
      </w:pPr>
      <w:r w:rsidRPr="005F62F4">
        <w:t>5(</w:t>
      </w:r>
      <w:proofErr w:type="spellStart"/>
      <w:r w:rsidRPr="005F62F4">
        <w:t>i</w:t>
      </w:r>
      <w:proofErr w:type="spellEnd"/>
      <w:r w:rsidRPr="005F62F4">
        <w:t>) Clinical effectiveness</w:t>
      </w:r>
    </w:p>
    <w:p w14:paraId="2A2BEB9D" w14:textId="7A693B14" w:rsidR="00E00053" w:rsidRPr="005F62F4" w:rsidRDefault="00057FD6" w:rsidP="008404D5">
      <w:pPr>
        <w:pStyle w:val="Para"/>
      </w:pPr>
      <w:r w:rsidRPr="005F62F4">
        <w:t>A</w:t>
      </w:r>
      <w:r w:rsidR="008D5A1F" w:rsidRPr="005F62F4">
        <w:t>s di</w:t>
      </w:r>
      <w:r w:rsidR="008059B9" w:rsidRPr="005F62F4">
        <w:t xml:space="preserve">scussed </w:t>
      </w:r>
      <w:r w:rsidR="00BF0532" w:rsidRPr="005F62F4">
        <w:t>under</w:t>
      </w:r>
      <w:r w:rsidR="004B50CD" w:rsidRPr="005F62F4">
        <w:t xml:space="preserve"> </w:t>
      </w:r>
      <w:r w:rsidR="00865AE7" w:rsidRPr="005F62F4">
        <w:t>criterion 1</w:t>
      </w:r>
      <w:r w:rsidR="00BF0532" w:rsidRPr="005F62F4">
        <w:t xml:space="preserve">, </w:t>
      </w:r>
      <w:r w:rsidR="008059B9" w:rsidRPr="005F62F4">
        <w:t>a</w:t>
      </w:r>
      <w:r w:rsidRPr="005F62F4">
        <w:t>ll</w:t>
      </w:r>
      <w:r w:rsidR="0054114C" w:rsidRPr="005F62F4">
        <w:t xml:space="preserve"> products have been registered by the TGA (</w:t>
      </w:r>
      <w:proofErr w:type="gramStart"/>
      <w:r w:rsidR="0054114C" w:rsidRPr="005F62F4">
        <w:t>with the exception of</w:t>
      </w:r>
      <w:proofErr w:type="gramEnd"/>
      <w:r w:rsidR="0054114C" w:rsidRPr="005F62F4">
        <w:t xml:space="preserve"> 2 products in the transition process)</w:t>
      </w:r>
      <w:r w:rsidR="00E1036B" w:rsidRPr="005F62F4">
        <w:t>.</w:t>
      </w:r>
      <w:r w:rsidR="00BA4648" w:rsidRPr="005F62F4">
        <w:t xml:space="preserve"> </w:t>
      </w:r>
      <w:r w:rsidR="00E00053" w:rsidRPr="005F62F4">
        <w:t>Some stakeholders considered that TGA and PLAC approval of the currently</w:t>
      </w:r>
      <w:r w:rsidR="00684C07">
        <w:t xml:space="preserve"> </w:t>
      </w:r>
      <w:r w:rsidR="00E00053" w:rsidRPr="005F62F4">
        <w:t>listed products meant that th</w:t>
      </w:r>
      <w:r w:rsidR="00D47D94" w:rsidRPr="005F62F4">
        <w:t>is</w:t>
      </w:r>
      <w:r w:rsidR="00E00053" w:rsidRPr="005F62F4">
        <w:t xml:space="preserve"> criteri</w:t>
      </w:r>
      <w:r w:rsidR="00FF64B2" w:rsidRPr="005F62F4">
        <w:t>on</w:t>
      </w:r>
      <w:r w:rsidR="00E00053" w:rsidRPr="005F62F4">
        <w:t xml:space="preserve"> had already been considered and determined to have been met</w:t>
      </w:r>
      <w:r w:rsidR="00EA66DE" w:rsidRPr="005F62F4">
        <w:t xml:space="preserve"> </w:t>
      </w:r>
      <w:r w:rsidR="001D7681" w:rsidRPr="005F62F4">
        <w:t xml:space="preserve">by </w:t>
      </w:r>
      <w:r w:rsidR="00EA66DE" w:rsidRPr="005F62F4">
        <w:t>these groups</w:t>
      </w:r>
      <w:r w:rsidR="00E00053" w:rsidRPr="005F62F4">
        <w:t xml:space="preserve">. However, the TGA advised us that, as low-risk medical devices, surgical guides and </w:t>
      </w:r>
      <w:proofErr w:type="spellStart"/>
      <w:r w:rsidR="00E00053" w:rsidRPr="005F62F4">
        <w:t>biomodels</w:t>
      </w:r>
      <w:proofErr w:type="spellEnd"/>
      <w:r w:rsidR="00E00053" w:rsidRPr="005F62F4">
        <w:t xml:space="preserve"> would likely have been approved </w:t>
      </w:r>
      <w:proofErr w:type="gramStart"/>
      <w:r w:rsidR="00E00053" w:rsidRPr="005F62F4">
        <w:t>on the basis of</w:t>
      </w:r>
      <w:proofErr w:type="gramEnd"/>
      <w:r w:rsidR="00E00053" w:rsidRPr="005F62F4">
        <w:t xml:space="preserve"> international listings and manufacturing control data (rather than clinical effectiveness). Where surgical guides and </w:t>
      </w:r>
      <w:proofErr w:type="spellStart"/>
      <w:r w:rsidR="00E00053" w:rsidRPr="005F62F4">
        <w:t>biomodels</w:t>
      </w:r>
      <w:proofErr w:type="spellEnd"/>
      <w:r w:rsidR="00E00053" w:rsidRPr="005F62F4">
        <w:t xml:space="preserve"> are listed as part of a kit including patient-specific implants, these would have been the focus of most scrutiny.</w:t>
      </w:r>
    </w:p>
    <w:p w14:paraId="390C1405" w14:textId="16A29241" w:rsidR="00057FD6" w:rsidRPr="005F62F4" w:rsidRDefault="00CA6947" w:rsidP="008404D5">
      <w:pPr>
        <w:pStyle w:val="Para"/>
      </w:pPr>
      <w:r w:rsidRPr="005F62F4">
        <w:t>W</w:t>
      </w:r>
      <w:r w:rsidR="00057FD6" w:rsidRPr="005F62F4">
        <w:t>e do not have access to TGA data,</w:t>
      </w:r>
      <w:r w:rsidR="00776416" w:rsidRPr="005F62F4">
        <w:t xml:space="preserve"> </w:t>
      </w:r>
      <w:r w:rsidR="006A3B81" w:rsidRPr="005F62F4">
        <w:t xml:space="preserve">and </w:t>
      </w:r>
      <w:r w:rsidR="00A25585" w:rsidRPr="005F62F4">
        <w:t xml:space="preserve">sponsors did not provide any further </w:t>
      </w:r>
      <w:r w:rsidR="00764755" w:rsidRPr="005F62F4">
        <w:t>(</w:t>
      </w:r>
      <w:proofErr w:type="gramStart"/>
      <w:r w:rsidR="00764755" w:rsidRPr="005F62F4">
        <w:t>i.e.</w:t>
      </w:r>
      <w:proofErr w:type="gramEnd"/>
      <w:r w:rsidR="00764755" w:rsidRPr="005F62F4">
        <w:t xml:space="preserve"> unpublished) </w:t>
      </w:r>
      <w:r w:rsidR="00A25585" w:rsidRPr="005F62F4">
        <w:t>data to support the clinical effectiveness of products</w:t>
      </w:r>
      <w:r w:rsidR="00057FD6" w:rsidRPr="005F62F4">
        <w:t>.</w:t>
      </w:r>
    </w:p>
    <w:p w14:paraId="6137D54B" w14:textId="26E04F38" w:rsidR="00A16EEE" w:rsidRPr="005F62F4" w:rsidRDefault="00057FD6" w:rsidP="008404D5">
      <w:pPr>
        <w:pStyle w:val="Para"/>
      </w:pPr>
      <w:r w:rsidRPr="005F62F4">
        <w:t xml:space="preserve">Our systematic review </w:t>
      </w:r>
      <w:r w:rsidR="00B36E4C" w:rsidRPr="005F62F4">
        <w:t>(</w:t>
      </w:r>
      <w:r w:rsidR="00E14481">
        <w:t>Section </w:t>
      </w:r>
      <w:r w:rsidR="00E14481">
        <w:fldChar w:fldCharType="begin"/>
      </w:r>
      <w:r w:rsidR="00E14481">
        <w:instrText xml:space="preserve"> REF _Ref129954117 \n \h </w:instrText>
      </w:r>
      <w:r w:rsidR="00E14481">
        <w:fldChar w:fldCharType="separate"/>
      </w:r>
      <w:r w:rsidR="00E14481">
        <w:t>2.3</w:t>
      </w:r>
      <w:r w:rsidR="00E14481">
        <w:fldChar w:fldCharType="end"/>
      </w:r>
      <w:r w:rsidR="00B36E4C" w:rsidRPr="005F62F4">
        <w:t>)</w:t>
      </w:r>
      <w:r w:rsidRPr="005F62F4">
        <w:t xml:space="preserve"> found limited evidence for the effectiveness of surgical guides and </w:t>
      </w:r>
      <w:proofErr w:type="spellStart"/>
      <w:r w:rsidRPr="005F62F4">
        <w:t>biomodels</w:t>
      </w:r>
      <w:proofErr w:type="spellEnd"/>
      <w:r w:rsidRPr="005F62F4">
        <w:t xml:space="preserve"> relative to standard treatment</w:t>
      </w:r>
      <w:r w:rsidR="00B36E4C" w:rsidRPr="005F62F4">
        <w:t>. The published evidence available was</w:t>
      </w:r>
      <w:r w:rsidR="003069E2" w:rsidRPr="005F62F4">
        <w:t xml:space="preserve"> for </w:t>
      </w:r>
      <w:r w:rsidR="00B36E4C" w:rsidRPr="005F62F4">
        <w:t xml:space="preserve">only </w:t>
      </w:r>
      <w:r w:rsidR="003069E2" w:rsidRPr="005F62F4">
        <w:t>one product</w:t>
      </w:r>
      <w:r w:rsidR="00B0531B" w:rsidRPr="005F62F4">
        <w:t xml:space="preserve"> </w:t>
      </w:r>
      <w:r w:rsidR="00C210BF" w:rsidRPr="005F62F4">
        <w:t>(</w:t>
      </w:r>
      <w:proofErr w:type="spellStart"/>
      <w:r w:rsidR="00C210BF" w:rsidRPr="005F62F4">
        <w:t>ProPlan</w:t>
      </w:r>
      <w:proofErr w:type="spellEnd"/>
      <w:r w:rsidR="00B36E4C" w:rsidRPr="005F62F4">
        <w:t xml:space="preserve">); no other product studies were found in our systematic </w:t>
      </w:r>
      <w:proofErr w:type="gramStart"/>
      <w:r w:rsidR="00B36E4C" w:rsidRPr="005F62F4">
        <w:t>review</w:t>
      </w:r>
      <w:proofErr w:type="gramEnd"/>
      <w:r w:rsidR="00A16EEE" w:rsidRPr="005F62F4">
        <w:t xml:space="preserve"> and</w:t>
      </w:r>
      <w:r w:rsidR="004B142A" w:rsidRPr="005F62F4">
        <w:t xml:space="preserve"> </w:t>
      </w:r>
      <w:r w:rsidR="00A16EEE" w:rsidRPr="005F62F4">
        <w:t>w</w:t>
      </w:r>
      <w:r w:rsidR="00B0531B" w:rsidRPr="005F62F4">
        <w:t>e</w:t>
      </w:r>
      <w:r w:rsidR="004B142A" w:rsidRPr="005F62F4">
        <w:t xml:space="preserve"> do not have </w:t>
      </w:r>
      <w:r w:rsidR="00B0531B" w:rsidRPr="005F62F4">
        <w:t xml:space="preserve">sufficient </w:t>
      </w:r>
      <w:r w:rsidR="004B142A" w:rsidRPr="005F62F4">
        <w:t xml:space="preserve">information to assess </w:t>
      </w:r>
      <w:r w:rsidR="00B0531B" w:rsidRPr="005F62F4">
        <w:t>the</w:t>
      </w:r>
      <w:r w:rsidR="004B142A" w:rsidRPr="005F62F4">
        <w:t xml:space="preserve"> clinical effectiveness</w:t>
      </w:r>
      <w:r w:rsidR="00B0531B" w:rsidRPr="005F62F4">
        <w:t xml:space="preserve"> of the remaining products</w:t>
      </w:r>
      <w:r w:rsidRPr="005F62F4">
        <w:t>.</w:t>
      </w:r>
    </w:p>
    <w:p w14:paraId="37DCBE42" w14:textId="6847FCFE" w:rsidR="00A25585" w:rsidRPr="005F62F4" w:rsidRDefault="00A16EEE" w:rsidP="008404D5">
      <w:pPr>
        <w:pStyle w:val="Para"/>
      </w:pPr>
      <w:r w:rsidRPr="005F62F4">
        <w:t xml:space="preserve">In addition, we noted significant </w:t>
      </w:r>
      <w:r w:rsidRPr="005F62F4">
        <w:rPr>
          <w:rStyle w:val="Strong"/>
          <w:b w:val="0"/>
          <w:bCs w:val="0"/>
        </w:rPr>
        <w:t>limitations</w:t>
      </w:r>
      <w:r w:rsidRPr="005F62F4">
        <w:t xml:space="preserve"> in the evidence base: sample sizes were small, there were no randomised controlled trials, most studies were retrospective in design and studies were sometimes confounded by the inclusion of patient-specific implants in intervention groups</w:t>
      </w:r>
      <w:r w:rsidR="00740A74" w:rsidRPr="005F62F4">
        <w:t>. Most studies had at least a moderate risk of bias.</w:t>
      </w:r>
    </w:p>
    <w:p w14:paraId="11C362B1" w14:textId="301E3F4C" w:rsidR="006201E9" w:rsidRPr="005F62F4" w:rsidRDefault="000420B7" w:rsidP="000B2D17">
      <w:pPr>
        <w:pStyle w:val="Para"/>
        <w:spacing w:before="120"/>
      </w:pPr>
      <w:r w:rsidRPr="005F62F4">
        <w:t>However, d</w:t>
      </w:r>
      <w:r w:rsidR="00BC23C6" w:rsidRPr="005F62F4">
        <w:t xml:space="preserve">espite </w:t>
      </w:r>
      <w:r w:rsidR="00692EF5" w:rsidRPr="005F62F4">
        <w:t>this</w:t>
      </w:r>
      <w:r w:rsidR="00BC23C6" w:rsidRPr="005F62F4">
        <w:t xml:space="preserve"> paucity of high-quality evidence on the comparative clinical effectiveness of the in-scope products (see Section 2</w:t>
      </w:r>
      <w:r w:rsidR="00A36C88" w:rsidRPr="005F62F4">
        <w:t>.3</w:t>
      </w:r>
      <w:r w:rsidR="00BC23C6" w:rsidRPr="005F62F4">
        <w:t xml:space="preserve">), </w:t>
      </w:r>
      <w:r w:rsidR="00A36C88" w:rsidRPr="005F62F4">
        <w:t xml:space="preserve">and the noted limitations of the </w:t>
      </w:r>
      <w:r w:rsidR="00194F77" w:rsidRPr="005F62F4">
        <w:t xml:space="preserve">broader </w:t>
      </w:r>
      <w:r w:rsidR="00A36C88" w:rsidRPr="005F62F4">
        <w:t xml:space="preserve">evidence base (see Section 2.4), </w:t>
      </w:r>
      <w:r w:rsidR="00BC23C6" w:rsidRPr="005F62F4">
        <w:t xml:space="preserve">this review found support for the clinical effectiveness of surgical guides and </w:t>
      </w:r>
      <w:proofErr w:type="spellStart"/>
      <w:r w:rsidR="00BC23C6" w:rsidRPr="005F62F4">
        <w:t>biomodels</w:t>
      </w:r>
      <w:proofErr w:type="spellEnd"/>
      <w:r w:rsidR="00BC23C6" w:rsidRPr="005F62F4">
        <w:t xml:space="preserve"> </w:t>
      </w:r>
      <w:r w:rsidR="00BC23C6" w:rsidRPr="005F62F4">
        <w:rPr>
          <w:i/>
          <w:iCs/>
        </w:rPr>
        <w:t>in general</w:t>
      </w:r>
      <w:r w:rsidR="00B23433" w:rsidRPr="005F62F4">
        <w:t>, at least in the context of complex CMF surgeries.</w:t>
      </w:r>
      <w:r w:rsidR="00BC23C6" w:rsidRPr="005F62F4">
        <w:t xml:space="preserve"> Both the literature and our consultations with clinical experts indicated that, </w:t>
      </w:r>
      <w:r w:rsidR="00B23433" w:rsidRPr="005F62F4">
        <w:t xml:space="preserve">in this context, </w:t>
      </w:r>
      <w:r w:rsidR="00BC23C6" w:rsidRPr="005F62F4">
        <w:t xml:space="preserve">surgical guides and </w:t>
      </w:r>
      <w:proofErr w:type="spellStart"/>
      <w:r w:rsidR="00BC23C6" w:rsidRPr="005F62F4">
        <w:t>biomodels</w:t>
      </w:r>
      <w:proofErr w:type="spellEnd"/>
      <w:r w:rsidR="00BC23C6" w:rsidRPr="005F62F4">
        <w:t xml:space="preserve"> are associated with better clinical outcomes than conventional surgery and are</w:t>
      </w:r>
      <w:r w:rsidR="00B23433" w:rsidRPr="005F62F4">
        <w:t xml:space="preserve"> </w:t>
      </w:r>
      <w:r w:rsidR="00957FC3" w:rsidRPr="005F62F4">
        <w:t>(</w:t>
      </w:r>
      <w:r w:rsidR="00194F77" w:rsidRPr="005F62F4">
        <w:t xml:space="preserve">at least </w:t>
      </w:r>
      <w:r w:rsidR="00B23433" w:rsidRPr="005F62F4">
        <w:t xml:space="preserve">in some clinical </w:t>
      </w:r>
      <w:r w:rsidR="00957FC3" w:rsidRPr="005F62F4">
        <w:t>circumstances)</w:t>
      </w:r>
      <w:r w:rsidR="00B23433" w:rsidRPr="005F62F4">
        <w:t xml:space="preserve"> </w:t>
      </w:r>
      <w:r w:rsidR="00BC23C6" w:rsidRPr="005F62F4">
        <w:t>considered the standard of care.</w:t>
      </w:r>
    </w:p>
    <w:p w14:paraId="28F48582" w14:textId="3528F6A8" w:rsidR="00E037F7" w:rsidRPr="005F62F4" w:rsidRDefault="00194222" w:rsidP="00E037F7">
      <w:pPr>
        <w:pStyle w:val="Para"/>
      </w:pPr>
      <w:proofErr w:type="gramStart"/>
      <w:r w:rsidRPr="005F62F4">
        <w:t>In light of</w:t>
      </w:r>
      <w:proofErr w:type="gramEnd"/>
      <w:r w:rsidR="000420B7" w:rsidRPr="005F62F4">
        <w:t xml:space="preserve"> these findings</w:t>
      </w:r>
      <w:r w:rsidR="00E0285F" w:rsidRPr="005F62F4">
        <w:t>,</w:t>
      </w:r>
      <w:r w:rsidR="009F39F0" w:rsidRPr="005F62F4">
        <w:t xml:space="preserve"> </w:t>
      </w:r>
      <w:r w:rsidR="00497A47" w:rsidRPr="005F62F4">
        <w:t xml:space="preserve">this review found </w:t>
      </w:r>
      <w:r w:rsidR="00194F77" w:rsidRPr="005F62F4">
        <w:t>t</w:t>
      </w:r>
      <w:r w:rsidR="00E037F7" w:rsidRPr="005F62F4">
        <w:t xml:space="preserve">here is currently </w:t>
      </w:r>
      <w:r w:rsidR="00E037F7" w:rsidRPr="005F62F4">
        <w:rPr>
          <w:rStyle w:val="Strong"/>
        </w:rPr>
        <w:t>insufficient evidence</w:t>
      </w:r>
      <w:r w:rsidR="00E037F7" w:rsidRPr="005F62F4">
        <w:t xml:space="preserve"> to determine if criterion 5(</w:t>
      </w:r>
      <w:proofErr w:type="spellStart"/>
      <w:r w:rsidR="00E037F7" w:rsidRPr="005F62F4">
        <w:t>i</w:t>
      </w:r>
      <w:proofErr w:type="spellEnd"/>
      <w:r w:rsidR="00E037F7" w:rsidRPr="005F62F4">
        <w:t>) is met</w:t>
      </w:r>
      <w:r w:rsidR="00B46373" w:rsidRPr="005F62F4">
        <w:t>.</w:t>
      </w:r>
    </w:p>
    <w:p w14:paraId="70BDF225" w14:textId="009E90AD" w:rsidR="00B8608D" w:rsidRPr="005F62F4" w:rsidRDefault="0031432D" w:rsidP="004F2931">
      <w:pPr>
        <w:pStyle w:val="Heading4"/>
      </w:pPr>
      <w:r w:rsidRPr="005F62F4">
        <w:lastRenderedPageBreak/>
        <w:t xml:space="preserve">5(ii) </w:t>
      </w:r>
      <w:r w:rsidR="007202ED" w:rsidRPr="005F62F4">
        <w:t xml:space="preserve">Costs </w:t>
      </w:r>
      <w:r w:rsidR="000E168D" w:rsidRPr="005F62F4">
        <w:t>relative to clinical effectiveness</w:t>
      </w:r>
    </w:p>
    <w:p w14:paraId="65037397" w14:textId="47774C7D" w:rsidR="003C5F50" w:rsidRPr="005F62F4" w:rsidRDefault="003C5F50" w:rsidP="00D47157">
      <w:pPr>
        <w:pStyle w:val="Pullquote"/>
      </w:pPr>
      <w:r w:rsidRPr="005F62F4">
        <w:t>There are certainly instances in complex surgery where these items are needed, and the PL should be there to pay for it. But we need to work out restrictions or containment on making it affordable and sustainable</w:t>
      </w:r>
      <w:r w:rsidR="0099033F" w:rsidRPr="005F62F4">
        <w:t>.</w:t>
      </w:r>
      <w:r w:rsidR="007C3A84" w:rsidRPr="005F62F4">
        <w:t xml:space="preserve"> (Peak body</w:t>
      </w:r>
      <w:r w:rsidR="00B0531B" w:rsidRPr="005F62F4">
        <w:t xml:space="preserve"> representative</w:t>
      </w:r>
      <w:r w:rsidR="007C3A84" w:rsidRPr="005F62F4">
        <w:t>)</w:t>
      </w:r>
    </w:p>
    <w:p w14:paraId="6CBB0FB3" w14:textId="26BEC1B9" w:rsidR="0023749F" w:rsidRPr="005F62F4" w:rsidRDefault="0092583E" w:rsidP="005D2837">
      <w:pPr>
        <w:pStyle w:val="ParaKeep"/>
        <w:tabs>
          <w:tab w:val="left" w:pos="4395"/>
        </w:tabs>
      </w:pPr>
      <w:r w:rsidRPr="005F62F4">
        <w:t>Measures</w:t>
      </w:r>
      <w:r w:rsidR="00AB535A" w:rsidRPr="005F62F4">
        <w:t xml:space="preserve"> of </w:t>
      </w:r>
      <w:r w:rsidR="0023749F" w:rsidRPr="005F62F4">
        <w:t>cost</w:t>
      </w:r>
      <w:r w:rsidR="00C6374F" w:rsidRPr="005F62F4">
        <w:t xml:space="preserve"> </w:t>
      </w:r>
      <w:r w:rsidR="00D1030F" w:rsidRPr="005F62F4">
        <w:t xml:space="preserve">were </w:t>
      </w:r>
      <w:r w:rsidR="00E56D0D" w:rsidRPr="005F62F4">
        <w:t xml:space="preserve">included in </w:t>
      </w:r>
      <w:r w:rsidR="00513ACC" w:rsidRPr="005F62F4">
        <w:t>4</w:t>
      </w:r>
      <w:r w:rsidR="00E56D0D" w:rsidRPr="005F62F4">
        <w:t xml:space="preserve"> </w:t>
      </w:r>
      <w:r w:rsidR="0023749F" w:rsidRPr="005F62F4">
        <w:t>studies</w:t>
      </w:r>
      <w:r w:rsidR="001121A2" w:rsidRPr="005F62F4">
        <w:t xml:space="preserve"> </w:t>
      </w:r>
      <w:r w:rsidR="00A050C4" w:rsidRPr="005F62F4">
        <w:t xml:space="preserve">identified in our systematic review </w:t>
      </w:r>
      <w:r w:rsidR="001121A2" w:rsidRPr="005F62F4">
        <w:t>(see</w:t>
      </w:r>
      <w:r w:rsidR="00776416" w:rsidRPr="005F62F4">
        <w:t xml:space="preserve"> </w:t>
      </w:r>
      <w:r w:rsidR="00AB7C42" w:rsidRPr="005F62F4">
        <w:t>Section </w:t>
      </w:r>
      <w:r w:rsidR="008F7AFD" w:rsidRPr="005F62F4">
        <w:fldChar w:fldCharType="begin"/>
      </w:r>
      <w:r w:rsidR="008F7AFD" w:rsidRPr="005F62F4">
        <w:instrText xml:space="preserve"> REF _Ref127717178 \r \h </w:instrText>
      </w:r>
      <w:r w:rsidR="005F62F4" w:rsidRPr="005F62F4">
        <w:instrText xml:space="preserve"> \* MERGEFORMAT </w:instrText>
      </w:r>
      <w:r w:rsidR="008F7AFD" w:rsidRPr="005F62F4">
        <w:fldChar w:fldCharType="separate"/>
      </w:r>
      <w:r w:rsidR="005606BF">
        <w:t>2.2</w:t>
      </w:r>
      <w:r w:rsidR="008F7AFD" w:rsidRPr="005F62F4">
        <w:fldChar w:fldCharType="end"/>
      </w:r>
      <w:r w:rsidR="001121A2" w:rsidRPr="005F62F4">
        <w:t>)</w:t>
      </w:r>
      <w:r w:rsidR="00C210BF" w:rsidRPr="005F62F4">
        <w:t>, all</w:t>
      </w:r>
      <w:r w:rsidR="0023749F" w:rsidRPr="005F62F4">
        <w:t xml:space="preserve"> of </w:t>
      </w:r>
      <w:r w:rsidR="00C210BF" w:rsidRPr="005F62F4">
        <w:t>which</w:t>
      </w:r>
      <w:r w:rsidR="0023749F" w:rsidRPr="005F62F4">
        <w:t xml:space="preserve"> </w:t>
      </w:r>
      <w:r w:rsidR="00796E1F" w:rsidRPr="005F62F4">
        <w:t xml:space="preserve">related to </w:t>
      </w:r>
      <w:proofErr w:type="spellStart"/>
      <w:r w:rsidR="00796E1F" w:rsidRPr="005F62F4">
        <w:t>ProPlan</w:t>
      </w:r>
      <w:proofErr w:type="spellEnd"/>
      <w:r w:rsidR="0023749F" w:rsidRPr="005F62F4">
        <w:t xml:space="preserve">. </w:t>
      </w:r>
      <w:r w:rsidR="00044AEA" w:rsidRPr="005F62F4">
        <w:t>These</w:t>
      </w:r>
      <w:r w:rsidR="002B2C28" w:rsidRPr="005F62F4">
        <w:t xml:space="preserve"> </w:t>
      </w:r>
      <w:r w:rsidR="00662705" w:rsidRPr="005F62F4">
        <w:t>studies came to different conclusions i</w:t>
      </w:r>
      <w:r w:rsidR="003C753D" w:rsidRPr="005F62F4">
        <w:t>n relation to cost</w:t>
      </w:r>
      <w:r w:rsidR="00C6374F" w:rsidRPr="005F62F4">
        <w:t xml:space="preserve"> </w:t>
      </w:r>
      <w:r w:rsidR="003C753D" w:rsidRPr="005F62F4">
        <w:t>effectiveness</w:t>
      </w:r>
      <w:r w:rsidR="0023749F" w:rsidRPr="005F62F4">
        <w:t>:</w:t>
      </w:r>
    </w:p>
    <w:p w14:paraId="546FF747" w14:textId="7ADD22B1" w:rsidR="007C4445" w:rsidRPr="005F62F4" w:rsidDel="00E87311" w:rsidRDefault="00AE66BE" w:rsidP="007C4445">
      <w:pPr>
        <w:pStyle w:val="Bullet1"/>
      </w:pPr>
      <w:r w:rsidRPr="005F62F4">
        <w:rPr>
          <w:rStyle w:val="Strong"/>
        </w:rPr>
        <w:t>Cost</w:t>
      </w:r>
      <w:r w:rsidR="00C6374F" w:rsidRPr="005F62F4">
        <w:rPr>
          <w:rStyle w:val="Strong"/>
        </w:rPr>
        <w:t xml:space="preserve"> </w:t>
      </w:r>
      <w:r w:rsidRPr="005F62F4">
        <w:rPr>
          <w:rStyle w:val="Strong"/>
        </w:rPr>
        <w:t>neutral:</w:t>
      </w:r>
      <w:r w:rsidRPr="005F62F4">
        <w:t xml:space="preserve"> </w:t>
      </w:r>
      <w:r w:rsidR="00870E84" w:rsidRPr="005F62F4">
        <w:t>Mazzola et al</w:t>
      </w:r>
      <w:r w:rsidR="001F6592" w:rsidRPr="005F62F4">
        <w:t>.</w:t>
      </w:r>
      <w:r w:rsidR="00551B57" w:rsidRPr="005F62F4">
        <w:t xml:space="preserve"> (20</w:t>
      </w:r>
      <w:r w:rsidR="00FE3001" w:rsidRPr="005F62F4">
        <w:t>20</w:t>
      </w:r>
      <w:r w:rsidR="00551B57" w:rsidRPr="005F62F4">
        <w:t>)</w:t>
      </w:r>
      <w:r w:rsidR="009D4096" w:rsidRPr="005F62F4">
        <w:t xml:space="preserve"> concluded </w:t>
      </w:r>
      <w:r w:rsidR="0095158B" w:rsidRPr="005F62F4">
        <w:t>that</w:t>
      </w:r>
      <w:r w:rsidR="009D4096" w:rsidRPr="005F62F4">
        <w:t xml:space="preserve"> </w:t>
      </w:r>
      <w:r w:rsidR="00C210BF" w:rsidRPr="005F62F4">
        <w:t xml:space="preserve">for osseous free flap reconstruction of the mandible or maxilla, </w:t>
      </w:r>
      <w:r w:rsidR="00FE37E1" w:rsidRPr="005F62F4">
        <w:t>virtual surgical planning</w:t>
      </w:r>
      <w:r w:rsidR="009D4096" w:rsidRPr="005F62F4">
        <w:t xml:space="preserve"> technology is helpful </w:t>
      </w:r>
      <w:r w:rsidR="00C210BF" w:rsidRPr="005F62F4">
        <w:t>in</w:t>
      </w:r>
      <w:r w:rsidR="009D4096" w:rsidRPr="005F62F4">
        <w:t xml:space="preserve"> reducing operative time and the length of hospital stay, without affecting the final cost of the procedure</w:t>
      </w:r>
      <w:r w:rsidR="008C0997" w:rsidRPr="005F62F4" w:rsidDel="00E87311">
        <w:t>.</w:t>
      </w:r>
    </w:p>
    <w:p w14:paraId="2FEF3A50" w14:textId="753C88A0" w:rsidR="00E87311" w:rsidRPr="005F62F4" w:rsidRDefault="00360785" w:rsidP="007C4445">
      <w:pPr>
        <w:pStyle w:val="Bullet1Keep"/>
      </w:pPr>
      <w:r w:rsidRPr="005F62F4">
        <w:rPr>
          <w:rStyle w:val="Strong"/>
        </w:rPr>
        <w:t>More cost</w:t>
      </w:r>
      <w:r w:rsidR="0077146F" w:rsidRPr="005F62F4">
        <w:rPr>
          <w:rStyle w:val="Strong"/>
        </w:rPr>
        <w:t xml:space="preserve"> </w:t>
      </w:r>
      <w:r w:rsidRPr="005F62F4">
        <w:rPr>
          <w:rStyle w:val="Strong"/>
        </w:rPr>
        <w:t>effective</w:t>
      </w:r>
      <w:r w:rsidR="00662705" w:rsidRPr="005F62F4">
        <w:rPr>
          <w:rStyle w:val="Strong"/>
        </w:rPr>
        <w:t>:</w:t>
      </w:r>
    </w:p>
    <w:p w14:paraId="5F1704EA" w14:textId="4CB3CBE7" w:rsidR="001121A2" w:rsidRPr="005F62F4" w:rsidRDefault="001121A2" w:rsidP="007C4445">
      <w:pPr>
        <w:pStyle w:val="Bullet2"/>
      </w:pPr>
      <w:r w:rsidRPr="005F62F4">
        <w:t xml:space="preserve">Resnick et.al. (2016) found that </w:t>
      </w:r>
      <w:r w:rsidR="00C210BF" w:rsidRPr="005F62F4">
        <w:t xml:space="preserve">for bimaxillary orthognathic surgery, </w:t>
      </w:r>
      <w:r w:rsidR="00FE37E1" w:rsidRPr="005F62F4">
        <w:t xml:space="preserve">virtual surgical planning </w:t>
      </w:r>
      <w:r w:rsidRPr="005F62F4">
        <w:t>is significantly less expensive and takes less time than standard planning</w:t>
      </w:r>
      <w:r w:rsidR="00AE66BE" w:rsidRPr="005F62F4">
        <w:t>.</w:t>
      </w:r>
    </w:p>
    <w:p w14:paraId="69D56473" w14:textId="77777777" w:rsidR="00E87311" w:rsidRPr="005F62F4" w:rsidRDefault="00E87311" w:rsidP="007C4445">
      <w:pPr>
        <w:pStyle w:val="Bullet2"/>
      </w:pPr>
      <w:proofErr w:type="spellStart"/>
      <w:r w:rsidRPr="005F62F4">
        <w:t>Zweifel</w:t>
      </w:r>
      <w:proofErr w:type="spellEnd"/>
      <w:r w:rsidRPr="005F62F4">
        <w:t xml:space="preserve"> et al. (2015) found that the time saved </w:t>
      </w:r>
      <w:proofErr w:type="gramStart"/>
      <w:r w:rsidRPr="005F62F4">
        <w:t>through the use of</w:t>
      </w:r>
      <w:proofErr w:type="gramEnd"/>
      <w:r w:rsidRPr="005F62F4">
        <w:t xml:space="preserve"> virtual surgical planning (which included the use of cutting guides) reduced the additional costs associated with this method.</w:t>
      </w:r>
    </w:p>
    <w:p w14:paraId="61BFF87A" w14:textId="2E525524" w:rsidR="00870E84" w:rsidRPr="005F62F4" w:rsidRDefault="00360785" w:rsidP="007C4445">
      <w:pPr>
        <w:pStyle w:val="Bullet1"/>
      </w:pPr>
      <w:r w:rsidRPr="005F62F4">
        <w:rPr>
          <w:rStyle w:val="Strong"/>
        </w:rPr>
        <w:t>Less cost</w:t>
      </w:r>
      <w:r w:rsidR="0077146F" w:rsidRPr="005F62F4">
        <w:rPr>
          <w:rStyle w:val="Strong"/>
        </w:rPr>
        <w:t xml:space="preserve"> </w:t>
      </w:r>
      <w:r w:rsidRPr="005F62F4">
        <w:rPr>
          <w:rStyle w:val="Strong"/>
        </w:rPr>
        <w:t>effective</w:t>
      </w:r>
      <w:r w:rsidR="00662705" w:rsidRPr="005F62F4">
        <w:rPr>
          <w:rStyle w:val="Strong"/>
        </w:rPr>
        <w:t>:</w:t>
      </w:r>
      <w:r w:rsidR="00662705" w:rsidRPr="005F62F4">
        <w:t xml:space="preserve"> </w:t>
      </w:r>
      <w:r w:rsidR="001121A2" w:rsidRPr="005F62F4">
        <w:t xml:space="preserve">Rommel et.al (2017) found that </w:t>
      </w:r>
      <w:r w:rsidR="00C210BF" w:rsidRPr="005F62F4">
        <w:t>for mandibular reconstruction with microvascular free fibular flap after segmental mandibulectomy,</w:t>
      </w:r>
      <w:r w:rsidR="001121A2" w:rsidRPr="005F62F4">
        <w:t xml:space="preserve"> </w:t>
      </w:r>
      <w:r w:rsidR="00C210BF" w:rsidRPr="005F62F4">
        <w:t xml:space="preserve">individual planning and virtual surgical planning had comparable </w:t>
      </w:r>
      <w:r w:rsidR="008C5D93" w:rsidRPr="005F62F4">
        <w:t>operative efficiency and surgical outcomes</w:t>
      </w:r>
      <w:r w:rsidR="00C210BF" w:rsidRPr="005F62F4">
        <w:t xml:space="preserve">, </w:t>
      </w:r>
      <w:r w:rsidR="008C5D93" w:rsidRPr="005F62F4">
        <w:t>but that the individual planning method was more cost-effective</w:t>
      </w:r>
      <w:r w:rsidR="008A0A4D" w:rsidRPr="005F62F4">
        <w:t>.</w:t>
      </w:r>
    </w:p>
    <w:p w14:paraId="2F5F926D" w14:textId="10B9F908" w:rsidR="00870E84" w:rsidRPr="005F62F4" w:rsidRDefault="005E7F52" w:rsidP="002B3FDE">
      <w:pPr>
        <w:pStyle w:val="Para"/>
      </w:pPr>
      <w:r w:rsidRPr="005F62F4">
        <w:t>Given the</w:t>
      </w:r>
      <w:r w:rsidR="00E52CC9" w:rsidRPr="005F62F4">
        <w:t>se</w:t>
      </w:r>
      <w:r w:rsidRPr="005F62F4">
        <w:t xml:space="preserve"> mixed results</w:t>
      </w:r>
      <w:r w:rsidR="00E52CC9" w:rsidRPr="005F62F4">
        <w:t xml:space="preserve">, and </w:t>
      </w:r>
      <w:r w:rsidR="0023749F" w:rsidRPr="005F62F4">
        <w:t xml:space="preserve">the absence of studies </w:t>
      </w:r>
      <w:r w:rsidR="007D0520" w:rsidRPr="005F62F4">
        <w:t xml:space="preserve">on </w:t>
      </w:r>
      <w:r w:rsidR="00EA59D1" w:rsidRPr="005F62F4">
        <w:t xml:space="preserve">the </w:t>
      </w:r>
      <w:r w:rsidR="00C77CC7" w:rsidRPr="005F62F4">
        <w:t xml:space="preserve">other </w:t>
      </w:r>
      <w:r w:rsidR="00EB6470" w:rsidRPr="005F62F4">
        <w:t xml:space="preserve">in-scope </w:t>
      </w:r>
      <w:r w:rsidR="007D0520" w:rsidRPr="005F62F4">
        <w:t>products</w:t>
      </w:r>
      <w:r w:rsidR="00870E84" w:rsidRPr="005F62F4">
        <w:t>, the</w:t>
      </w:r>
      <w:r w:rsidR="000854C5" w:rsidRPr="005F62F4">
        <w:t>re is insufficient</w:t>
      </w:r>
      <w:r w:rsidR="00870E84" w:rsidRPr="005F62F4">
        <w:t xml:space="preserve"> evidence </w:t>
      </w:r>
      <w:r w:rsidR="000854C5" w:rsidRPr="005F62F4">
        <w:t xml:space="preserve">to determine </w:t>
      </w:r>
      <w:r w:rsidR="00870E84" w:rsidRPr="005F62F4">
        <w:t>the cos</w:t>
      </w:r>
      <w:r w:rsidR="00F1481A" w:rsidRPr="005F62F4">
        <w:t xml:space="preserve">ts relative to their </w:t>
      </w:r>
      <w:r w:rsidR="00870E84" w:rsidRPr="005F62F4">
        <w:t xml:space="preserve">effectiveness </w:t>
      </w:r>
      <w:r w:rsidR="00B90746" w:rsidRPr="005F62F4">
        <w:t xml:space="preserve">of the </w:t>
      </w:r>
      <w:r w:rsidR="00EA59D1" w:rsidRPr="005F62F4">
        <w:t xml:space="preserve">surgical guides and </w:t>
      </w:r>
      <w:proofErr w:type="spellStart"/>
      <w:r w:rsidR="00EA59D1" w:rsidRPr="005F62F4">
        <w:t>biomodels</w:t>
      </w:r>
      <w:proofErr w:type="spellEnd"/>
      <w:r w:rsidR="00EA59D1" w:rsidRPr="005F62F4">
        <w:t xml:space="preserve"> currently on the PL</w:t>
      </w:r>
      <w:r w:rsidR="00870E84" w:rsidRPr="005F62F4">
        <w:t xml:space="preserve">. </w:t>
      </w:r>
      <w:r w:rsidR="00DF05E5" w:rsidRPr="005F62F4">
        <w:t>Further, the lack of</w:t>
      </w:r>
      <w:r w:rsidR="005632EC" w:rsidRPr="005F62F4">
        <w:t xml:space="preserve"> high</w:t>
      </w:r>
      <w:r w:rsidR="006E6013" w:rsidRPr="005F62F4">
        <w:t>-</w:t>
      </w:r>
      <w:r w:rsidR="005632EC" w:rsidRPr="005F62F4">
        <w:t xml:space="preserve">quality, comparative evidence of </w:t>
      </w:r>
      <w:r w:rsidR="00C210BF" w:rsidRPr="005F62F4">
        <w:t xml:space="preserve">clinical </w:t>
      </w:r>
      <w:r w:rsidR="005632EC" w:rsidRPr="005F62F4">
        <w:t xml:space="preserve">effectiveness for surgical guides and </w:t>
      </w:r>
      <w:proofErr w:type="spellStart"/>
      <w:r w:rsidR="005632EC" w:rsidRPr="005F62F4">
        <w:t>biomodels</w:t>
      </w:r>
      <w:proofErr w:type="spellEnd"/>
      <w:r w:rsidR="005632EC" w:rsidRPr="005F62F4">
        <w:t xml:space="preserve"> would appear to make a cost-effectiveness study infeasible at this stage.</w:t>
      </w:r>
    </w:p>
    <w:p w14:paraId="58DC5054" w14:textId="77777777" w:rsidR="007D5F25" w:rsidRPr="005F62F4" w:rsidRDefault="007D5F25">
      <w:pPr>
        <w:spacing w:after="200" w:line="276" w:lineRule="auto"/>
        <w:rPr>
          <w:rFonts w:eastAsia="MS Mincho" w:cs="Tahoma"/>
          <w:szCs w:val="20"/>
          <w:lang w:eastAsia="en-GB"/>
        </w:rPr>
      </w:pPr>
      <w:r w:rsidRPr="005F62F4">
        <w:br w:type="page"/>
      </w:r>
    </w:p>
    <w:p w14:paraId="0EF792E7" w14:textId="7F50C681" w:rsidR="003A5943" w:rsidRPr="005F62F4" w:rsidRDefault="002873EF" w:rsidP="00C210BF">
      <w:pPr>
        <w:pStyle w:val="ParaKeep"/>
      </w:pPr>
      <w:r w:rsidRPr="005F62F4">
        <w:lastRenderedPageBreak/>
        <w:t>S</w:t>
      </w:r>
      <w:r w:rsidR="00ED0207" w:rsidRPr="005F62F4">
        <w:t>takeholders</w:t>
      </w:r>
      <w:r w:rsidR="0030334A" w:rsidRPr="005F62F4">
        <w:t xml:space="preserve"> </w:t>
      </w:r>
      <w:r w:rsidRPr="005F62F4">
        <w:t>also</w:t>
      </w:r>
      <w:r w:rsidR="0030334A" w:rsidRPr="005F62F4">
        <w:t xml:space="preserve"> identified </w:t>
      </w:r>
      <w:r w:rsidRPr="005F62F4">
        <w:t>that the following</w:t>
      </w:r>
      <w:r w:rsidR="0030334A" w:rsidRPr="005F62F4">
        <w:t xml:space="preserve"> issues </w:t>
      </w:r>
      <w:r w:rsidRPr="005F62F4">
        <w:t>may influence</w:t>
      </w:r>
      <w:r w:rsidR="000515C8" w:rsidRPr="005F62F4">
        <w:t xml:space="preserve"> whether</w:t>
      </w:r>
      <w:r w:rsidR="00445693" w:rsidRPr="005F62F4">
        <w:t xml:space="preserve"> surgical guides and </w:t>
      </w:r>
      <w:proofErr w:type="spellStart"/>
      <w:r w:rsidR="00445693" w:rsidRPr="005F62F4">
        <w:t>biomodels</w:t>
      </w:r>
      <w:proofErr w:type="spellEnd"/>
      <w:r w:rsidR="00445693" w:rsidRPr="005F62F4">
        <w:t xml:space="preserve"> </w:t>
      </w:r>
      <w:r w:rsidR="00925CE1" w:rsidRPr="005F62F4">
        <w:t>represent value for money</w:t>
      </w:r>
      <w:r w:rsidR="0007233B" w:rsidRPr="005F62F4">
        <w:t>:</w:t>
      </w:r>
    </w:p>
    <w:p w14:paraId="2820A3DF" w14:textId="145703DC" w:rsidR="005414A1" w:rsidRPr="005F62F4" w:rsidRDefault="0007233B" w:rsidP="00B845F4">
      <w:pPr>
        <w:pStyle w:val="Bullet1"/>
      </w:pPr>
      <w:r w:rsidRPr="005F62F4">
        <w:rPr>
          <w:rStyle w:val="Strong"/>
        </w:rPr>
        <w:t xml:space="preserve">The PL </w:t>
      </w:r>
      <w:r w:rsidR="00CA64F4" w:rsidRPr="005F62F4">
        <w:rPr>
          <w:rStyle w:val="Strong"/>
        </w:rPr>
        <w:t>benefit</w:t>
      </w:r>
      <w:r w:rsidRPr="005F62F4">
        <w:rPr>
          <w:rStyle w:val="Strong"/>
        </w:rPr>
        <w:t xml:space="preserve"> may not </w:t>
      </w:r>
      <w:r w:rsidR="00155756" w:rsidRPr="005F62F4">
        <w:rPr>
          <w:rStyle w:val="Strong"/>
        </w:rPr>
        <w:t>accurately reflect the cost of the items</w:t>
      </w:r>
      <w:r w:rsidR="00622CA3" w:rsidRPr="005F62F4">
        <w:t xml:space="preserve"> – for example</w:t>
      </w:r>
      <w:r w:rsidR="00437166" w:rsidRPr="005F62F4">
        <w:t xml:space="preserve">, </w:t>
      </w:r>
      <w:r w:rsidR="00622CA3" w:rsidRPr="005F62F4">
        <w:t xml:space="preserve">products may be supplied </w:t>
      </w:r>
      <w:r w:rsidR="007C64B2" w:rsidRPr="005F62F4">
        <w:t>to public hospitals</w:t>
      </w:r>
      <w:r w:rsidR="00280674" w:rsidRPr="005F62F4">
        <w:t xml:space="preserve"> or overseas</w:t>
      </w:r>
      <w:r w:rsidR="00C210BF" w:rsidRPr="005F62F4">
        <w:t xml:space="preserve"> </w:t>
      </w:r>
      <w:r w:rsidR="00622CA3" w:rsidRPr="005F62F4">
        <w:t>at a cheaper rate tha</w:t>
      </w:r>
      <w:r w:rsidR="007C64B2" w:rsidRPr="005F62F4">
        <w:t>n the PL benefit</w:t>
      </w:r>
      <w:r w:rsidR="004D3365" w:rsidRPr="005F62F4">
        <w:t xml:space="preserve"> </w:t>
      </w:r>
      <w:r w:rsidR="00C210BF" w:rsidRPr="005F62F4">
        <w:t>amount</w:t>
      </w:r>
      <w:r w:rsidR="00437166" w:rsidRPr="005F62F4">
        <w:t>.</w:t>
      </w:r>
      <w:r w:rsidR="001E1D5D" w:rsidRPr="005F62F4">
        <w:t xml:space="preserve"> In addition, the PL benefit does not reflect differences in the cost of producing more co</w:t>
      </w:r>
      <w:r w:rsidR="00DA21FD" w:rsidRPr="005F62F4">
        <w:t xml:space="preserve">mplex, compared with simpler, surgical guides and </w:t>
      </w:r>
      <w:proofErr w:type="spellStart"/>
      <w:r w:rsidR="00DA21FD" w:rsidRPr="005F62F4">
        <w:t>biomodels</w:t>
      </w:r>
      <w:proofErr w:type="spellEnd"/>
      <w:r w:rsidR="00DA21FD" w:rsidRPr="005F62F4">
        <w:t>.</w:t>
      </w:r>
    </w:p>
    <w:p w14:paraId="7726BB50" w14:textId="55A652F1" w:rsidR="0007233B" w:rsidRPr="005F62F4" w:rsidRDefault="00F049C7" w:rsidP="00B845F4">
      <w:pPr>
        <w:pStyle w:val="Bullet1"/>
      </w:pPr>
      <w:r w:rsidRPr="005F62F4">
        <w:t xml:space="preserve">The </w:t>
      </w:r>
      <w:r w:rsidR="00866102" w:rsidRPr="005F62F4">
        <w:t xml:space="preserve">costs of using surgical guides and </w:t>
      </w:r>
      <w:proofErr w:type="spellStart"/>
      <w:r w:rsidR="00866102" w:rsidRPr="005F62F4">
        <w:t>biomodels</w:t>
      </w:r>
      <w:proofErr w:type="spellEnd"/>
      <w:r w:rsidR="0064597E" w:rsidRPr="005F62F4">
        <w:t xml:space="preserve"> </w:t>
      </w:r>
      <w:r w:rsidR="00E872F0" w:rsidRPr="005F62F4">
        <w:t>ma</w:t>
      </w:r>
      <w:r w:rsidR="001D5A43" w:rsidRPr="005F62F4">
        <w:t xml:space="preserve">y be, in some instances, </w:t>
      </w:r>
      <w:r w:rsidR="00E872F0" w:rsidRPr="005F62F4">
        <w:rPr>
          <w:rStyle w:val="Strong"/>
        </w:rPr>
        <w:t>disproportiona</w:t>
      </w:r>
      <w:r w:rsidR="00D3576C" w:rsidRPr="005F62F4">
        <w:rPr>
          <w:rStyle w:val="Strong"/>
        </w:rPr>
        <w:t xml:space="preserve">te to the cost of the implant, or the cost of the </w:t>
      </w:r>
      <w:r w:rsidR="007165F7" w:rsidRPr="005F62F4">
        <w:rPr>
          <w:rStyle w:val="Strong"/>
        </w:rPr>
        <w:t>surgery.</w:t>
      </w:r>
      <w:r w:rsidR="00221E4A" w:rsidRPr="005F62F4">
        <w:t xml:space="preserve"> This is more likely to be the case in low-</w:t>
      </w:r>
      <w:r w:rsidR="0033120A" w:rsidRPr="005F62F4">
        <w:t>complexity</w:t>
      </w:r>
      <w:r w:rsidR="003920F8" w:rsidRPr="005F62F4">
        <w:t xml:space="preserve"> (and therefore lower cost) procedures</w:t>
      </w:r>
      <w:r w:rsidR="00181D04" w:rsidRPr="005F62F4">
        <w:t>.</w:t>
      </w:r>
      <w:r w:rsidR="001A6E9E" w:rsidRPr="005F62F4">
        <w:t xml:space="preserve"> This </w:t>
      </w:r>
      <w:r w:rsidR="00636D40" w:rsidRPr="005F62F4">
        <w:t xml:space="preserve">mismatch </w:t>
      </w:r>
      <w:r w:rsidR="001A6E9E" w:rsidRPr="005F62F4">
        <w:t xml:space="preserve">is exacerbated by the growing trend to </w:t>
      </w:r>
      <w:r w:rsidR="00636D40" w:rsidRPr="005F62F4">
        <w:t>claim benefits</w:t>
      </w:r>
      <w:r w:rsidR="001A6E9E" w:rsidRPr="005F62F4">
        <w:t xml:space="preserve"> for multiple surgical guides and </w:t>
      </w:r>
      <w:proofErr w:type="spellStart"/>
      <w:r w:rsidR="001A6E9E" w:rsidRPr="005F62F4">
        <w:t>biomodels</w:t>
      </w:r>
      <w:proofErr w:type="spellEnd"/>
      <w:r w:rsidR="001A6E9E" w:rsidRPr="005F62F4">
        <w:t xml:space="preserve"> </w:t>
      </w:r>
      <w:r w:rsidR="00636D40" w:rsidRPr="005F62F4">
        <w:t>in a single separation.</w:t>
      </w:r>
    </w:p>
    <w:p w14:paraId="03EDD8B4" w14:textId="4A3B2687" w:rsidR="00C967E9" w:rsidRPr="005F62F4" w:rsidRDefault="00DC3856" w:rsidP="00AD247F">
      <w:pPr>
        <w:pStyle w:val="Bullet1"/>
      </w:pPr>
      <w:r w:rsidRPr="005F62F4">
        <w:t>The</w:t>
      </w:r>
      <w:r w:rsidR="00E1682A" w:rsidRPr="005F62F4">
        <w:t xml:space="preserve"> growth in point-of-care (in-hospital) manufacturing of surgical guides and </w:t>
      </w:r>
      <w:proofErr w:type="spellStart"/>
      <w:r w:rsidR="00E1682A" w:rsidRPr="005F62F4">
        <w:t>biomodels</w:t>
      </w:r>
      <w:proofErr w:type="spellEnd"/>
      <w:r w:rsidRPr="005F62F4">
        <w:t xml:space="preserve"> </w:t>
      </w:r>
      <w:r w:rsidR="00E1682A" w:rsidRPr="005F62F4">
        <w:t>was seen as a promising development</w:t>
      </w:r>
      <w:r w:rsidR="00475615" w:rsidRPr="005F62F4">
        <w:t xml:space="preserve"> (see</w:t>
      </w:r>
      <w:r w:rsidR="00FC1DF9" w:rsidRPr="005F62F4">
        <w:t xml:space="preserve"> Section </w:t>
      </w:r>
      <w:r w:rsidR="00475615" w:rsidRPr="005F62F4">
        <w:fldChar w:fldCharType="begin"/>
      </w:r>
      <w:r w:rsidR="00475615" w:rsidRPr="005F62F4">
        <w:instrText xml:space="preserve"> REF _Ref128757399 \n \h </w:instrText>
      </w:r>
      <w:r w:rsidR="005F62F4" w:rsidRPr="005F62F4">
        <w:instrText xml:space="preserve"> \* MERGEFORMAT </w:instrText>
      </w:r>
      <w:r w:rsidR="00475615" w:rsidRPr="005F62F4">
        <w:fldChar w:fldCharType="separate"/>
      </w:r>
      <w:r w:rsidR="005606BF">
        <w:t>1.3</w:t>
      </w:r>
      <w:r w:rsidR="00475615" w:rsidRPr="005F62F4">
        <w:fldChar w:fldCharType="end"/>
      </w:r>
      <w:r w:rsidR="00475615" w:rsidRPr="005F62F4">
        <w:t>)</w:t>
      </w:r>
      <w:r w:rsidRPr="005F62F4">
        <w:t xml:space="preserve">. </w:t>
      </w:r>
      <w:r w:rsidR="00A11D72" w:rsidRPr="005F62F4">
        <w:t>Further</w:t>
      </w:r>
      <w:r w:rsidR="00870163" w:rsidRPr="005F62F4">
        <w:t xml:space="preserve"> </w:t>
      </w:r>
      <w:r w:rsidR="00584575" w:rsidRPr="005F62F4">
        <w:t>investigation</w:t>
      </w:r>
      <w:r w:rsidR="00870163" w:rsidRPr="005F62F4">
        <w:t xml:space="preserve"> of the </w:t>
      </w:r>
      <w:r w:rsidR="00584575" w:rsidRPr="005F62F4">
        <w:t>costs and benefits of such approaches is encouraged</w:t>
      </w:r>
      <w:r w:rsidR="00AD093D" w:rsidRPr="005F62F4">
        <w:t>.</w:t>
      </w:r>
    </w:p>
    <w:p w14:paraId="36A68454" w14:textId="06DDF5CF" w:rsidR="00500597" w:rsidRPr="005F62F4" w:rsidRDefault="00E621CE" w:rsidP="00500597">
      <w:pPr>
        <w:pStyle w:val="Para"/>
      </w:pPr>
      <w:r w:rsidRPr="005F62F4">
        <w:t xml:space="preserve">There is currently </w:t>
      </w:r>
      <w:r w:rsidRPr="005F62F4">
        <w:rPr>
          <w:rStyle w:val="Strong"/>
        </w:rPr>
        <w:t>insufficient evidence</w:t>
      </w:r>
      <w:r w:rsidRPr="005F62F4">
        <w:t xml:space="preserve"> to determine if criterion 5(</w:t>
      </w:r>
      <w:proofErr w:type="spellStart"/>
      <w:r w:rsidR="00365010" w:rsidRPr="005F62F4">
        <w:t>i</w:t>
      </w:r>
      <w:proofErr w:type="spellEnd"/>
      <w:r w:rsidRPr="005F62F4">
        <w:t>) or 5(</w:t>
      </w:r>
      <w:r w:rsidR="00365010" w:rsidRPr="005F62F4">
        <w:t>ii)</w:t>
      </w:r>
      <w:r w:rsidRPr="005F62F4">
        <w:t xml:space="preserve"> is</w:t>
      </w:r>
      <w:r w:rsidR="00365010" w:rsidRPr="005F62F4">
        <w:t xml:space="preserve"> met</w:t>
      </w:r>
      <w:r w:rsidR="00500597" w:rsidRPr="005F62F4">
        <w:t>.</w:t>
      </w:r>
    </w:p>
    <w:p w14:paraId="1C592886" w14:textId="7CF68F97" w:rsidR="00DF5B2D" w:rsidRPr="005F62F4" w:rsidRDefault="00547CF3" w:rsidP="00284BB0">
      <w:pPr>
        <w:pStyle w:val="Para"/>
      </w:pPr>
      <w:r w:rsidRPr="005F62F4">
        <w:t xml:space="preserve">We suggest further </w:t>
      </w:r>
      <w:r w:rsidR="00526664" w:rsidRPr="005F62F4">
        <w:t xml:space="preserve">economic analyses </w:t>
      </w:r>
      <w:r w:rsidRPr="005F62F4">
        <w:t xml:space="preserve">are required. This is discussed in </w:t>
      </w:r>
      <w:r w:rsidR="00596C7D" w:rsidRPr="005F62F4">
        <w:t>S</w:t>
      </w:r>
      <w:r w:rsidRPr="005F62F4">
        <w:t xml:space="preserve">ection </w:t>
      </w:r>
      <w:r w:rsidR="00DC3856" w:rsidRPr="005F62F4">
        <w:t>5</w:t>
      </w:r>
      <w:r w:rsidRPr="005F62F4">
        <w:t>.</w:t>
      </w:r>
    </w:p>
    <w:p w14:paraId="34E3C75B" w14:textId="54AA17A0" w:rsidR="00CB3449" w:rsidRPr="005F62F4" w:rsidRDefault="001402E1" w:rsidP="00284BB0">
      <w:pPr>
        <w:pStyle w:val="Para"/>
      </w:pPr>
      <w:r w:rsidRPr="005F62F4">
        <w:br w:type="page"/>
      </w:r>
    </w:p>
    <w:p w14:paraId="73B4160E" w14:textId="5AB5B3CA" w:rsidR="009F787B" w:rsidRPr="005F62F4" w:rsidRDefault="009F787B" w:rsidP="004F2931">
      <w:pPr>
        <w:pStyle w:val="Heading2"/>
      </w:pPr>
      <w:bookmarkStart w:id="234" w:name="_Toc120178334"/>
      <w:bookmarkStart w:id="235" w:name="_Ref128477076"/>
      <w:bookmarkStart w:id="236" w:name="_Toc129954615"/>
      <w:r w:rsidRPr="005F62F4">
        <w:lastRenderedPageBreak/>
        <w:t xml:space="preserve">Stakeholder suggestions for improvements to </w:t>
      </w:r>
      <w:r w:rsidR="00D40E73" w:rsidRPr="005F62F4">
        <w:t>the PL</w:t>
      </w:r>
      <w:r w:rsidR="00234929" w:rsidRPr="005F62F4">
        <w:t xml:space="preserve"> </w:t>
      </w:r>
      <w:r w:rsidR="00C2277D" w:rsidRPr="005F62F4">
        <w:t xml:space="preserve">listing of surgical guides and </w:t>
      </w:r>
      <w:proofErr w:type="spellStart"/>
      <w:r w:rsidR="00C2277D" w:rsidRPr="005F62F4">
        <w:t>bi</w:t>
      </w:r>
      <w:r w:rsidR="00352794" w:rsidRPr="005F62F4">
        <w:t>o</w:t>
      </w:r>
      <w:r w:rsidR="00C2277D" w:rsidRPr="005F62F4">
        <w:t>models</w:t>
      </w:r>
      <w:bookmarkEnd w:id="234"/>
      <w:bookmarkEnd w:id="235"/>
      <w:bookmarkEnd w:id="236"/>
      <w:proofErr w:type="spellEnd"/>
    </w:p>
    <w:p w14:paraId="772C2244" w14:textId="136F05ED" w:rsidR="00C141A7" w:rsidRPr="005F62F4" w:rsidRDefault="00142622" w:rsidP="00765DCA">
      <w:pPr>
        <w:pStyle w:val="Para"/>
      </w:pPr>
      <w:r w:rsidRPr="005F62F4">
        <w:t>S</w:t>
      </w:r>
      <w:r w:rsidR="00D40E73" w:rsidRPr="005F62F4">
        <w:t>takeholders</w:t>
      </w:r>
      <w:r w:rsidR="00D40E73" w:rsidRPr="005F62F4" w:rsidDel="00142622">
        <w:t xml:space="preserve"> </w:t>
      </w:r>
      <w:r w:rsidRPr="005F62F4">
        <w:t>suggested</w:t>
      </w:r>
      <w:r w:rsidR="00D40E73" w:rsidRPr="005F62F4">
        <w:t xml:space="preserve"> a range of </w:t>
      </w:r>
      <w:r w:rsidR="00046587" w:rsidRPr="005F62F4">
        <w:t xml:space="preserve">improvements to the PL </w:t>
      </w:r>
      <w:r w:rsidR="00BA3826" w:rsidRPr="005F62F4">
        <w:t xml:space="preserve">with respect to surgical guides and </w:t>
      </w:r>
      <w:proofErr w:type="spellStart"/>
      <w:r w:rsidR="00BA3826" w:rsidRPr="005F62F4">
        <w:t>biomodels</w:t>
      </w:r>
      <w:proofErr w:type="spellEnd"/>
      <w:r w:rsidR="002F4C94" w:rsidRPr="005F62F4">
        <w:t xml:space="preserve">, </w:t>
      </w:r>
      <w:r w:rsidR="00C477D8" w:rsidRPr="005F62F4">
        <w:t>including</w:t>
      </w:r>
      <w:r w:rsidR="002F4C94" w:rsidRPr="005F62F4">
        <w:t xml:space="preserve"> </w:t>
      </w:r>
      <w:r w:rsidR="00B365ED" w:rsidRPr="005F62F4">
        <w:t>clarification</w:t>
      </w:r>
      <w:r w:rsidR="00BA3826" w:rsidRPr="005F62F4">
        <w:t xml:space="preserve"> </w:t>
      </w:r>
      <w:r w:rsidR="00B365ED" w:rsidRPr="005F62F4">
        <w:t>and guidance</w:t>
      </w:r>
      <w:r w:rsidR="00A35F97" w:rsidRPr="005F62F4">
        <w:t xml:space="preserve"> regarding eligibility</w:t>
      </w:r>
      <w:r w:rsidR="00B365ED" w:rsidRPr="005F62F4">
        <w:t xml:space="preserve">, </w:t>
      </w:r>
      <w:r w:rsidR="00A22209" w:rsidRPr="005F62F4">
        <w:t>re</w:t>
      </w:r>
      <w:r w:rsidR="002F385D" w:rsidRPr="005F62F4">
        <w:t>-</w:t>
      </w:r>
      <w:r w:rsidR="00A22209" w:rsidRPr="005F62F4">
        <w:t>categorisation</w:t>
      </w:r>
      <w:r w:rsidR="00401F19" w:rsidRPr="005F62F4">
        <w:t xml:space="preserve"> of</w:t>
      </w:r>
      <w:r w:rsidR="00900558" w:rsidRPr="005F62F4">
        <w:t xml:space="preserve"> products into new subcategories </w:t>
      </w:r>
      <w:r w:rsidR="00A35F7F" w:rsidRPr="005F62F4">
        <w:t>and product groups</w:t>
      </w:r>
      <w:r w:rsidR="00900558" w:rsidRPr="005F62F4">
        <w:t xml:space="preserve">, </w:t>
      </w:r>
      <w:r w:rsidR="008A169F" w:rsidRPr="005F62F4">
        <w:t>restrict</w:t>
      </w:r>
      <w:r w:rsidR="002F385D" w:rsidRPr="005F62F4">
        <w:t>ing</w:t>
      </w:r>
      <w:r w:rsidR="008A169F" w:rsidRPr="005F62F4">
        <w:t xml:space="preserve"> </w:t>
      </w:r>
      <w:r w:rsidR="00C83074" w:rsidRPr="005F62F4">
        <w:t>the circumstances under which</w:t>
      </w:r>
      <w:r w:rsidR="00E21ED4" w:rsidRPr="005F62F4">
        <w:t xml:space="preserve"> benefits are payable</w:t>
      </w:r>
      <w:r w:rsidR="00562942" w:rsidRPr="005F62F4">
        <w:t>,</w:t>
      </w:r>
      <w:r w:rsidR="002F4C94" w:rsidRPr="005F62F4">
        <w:t xml:space="preserve"> </w:t>
      </w:r>
      <w:r w:rsidR="00B365ED" w:rsidRPr="005F62F4">
        <w:t xml:space="preserve">considering </w:t>
      </w:r>
      <w:r w:rsidR="007B2495" w:rsidRPr="005F62F4">
        <w:t>current benefits</w:t>
      </w:r>
      <w:r w:rsidR="002F385D" w:rsidRPr="005F62F4">
        <w:t xml:space="preserve"> and </w:t>
      </w:r>
      <w:r w:rsidR="00B365ED" w:rsidRPr="005F62F4">
        <w:t>alternative</w:t>
      </w:r>
      <w:r w:rsidR="002F4C94" w:rsidRPr="005F62F4">
        <w:t xml:space="preserve"> </w:t>
      </w:r>
      <w:r w:rsidR="007B2495" w:rsidRPr="005F62F4">
        <w:t>claiming</w:t>
      </w:r>
      <w:r w:rsidR="002F4C94" w:rsidRPr="005F62F4">
        <w:t xml:space="preserve"> arrangements for products</w:t>
      </w:r>
      <w:r w:rsidR="00562942" w:rsidRPr="005F62F4">
        <w:t>, and conducting a cost review</w:t>
      </w:r>
      <w:r w:rsidR="000C7DBC" w:rsidRPr="005F62F4">
        <w:t>.</w:t>
      </w:r>
    </w:p>
    <w:p w14:paraId="08A39900" w14:textId="521E608D" w:rsidR="00D40E73" w:rsidRPr="005F62F4" w:rsidRDefault="00434E71" w:rsidP="00765DCA">
      <w:pPr>
        <w:pStyle w:val="Para"/>
      </w:pPr>
      <w:r w:rsidRPr="005F62F4">
        <w:t>S</w:t>
      </w:r>
      <w:r w:rsidR="00B15ED3" w:rsidRPr="005F62F4">
        <w:t>pecific s</w:t>
      </w:r>
      <w:r w:rsidRPr="005F62F4">
        <w:t>u</w:t>
      </w:r>
      <w:r w:rsidR="002A7A95" w:rsidRPr="005F62F4">
        <w:t xml:space="preserve">ggestions </w:t>
      </w:r>
      <w:r w:rsidR="001402E1" w:rsidRPr="005F62F4">
        <w:t xml:space="preserve">within these </w:t>
      </w:r>
      <w:r w:rsidR="002C7DF4" w:rsidRPr="005F62F4">
        <w:t xml:space="preserve">categories </w:t>
      </w:r>
      <w:r w:rsidR="0071786B" w:rsidRPr="005F62F4">
        <w:t xml:space="preserve">are summarised below. We note that there were varying levels of support among stakeholders, and that </w:t>
      </w:r>
      <w:proofErr w:type="gramStart"/>
      <w:r w:rsidR="0071786B" w:rsidRPr="005F62F4">
        <w:t>a number of</w:t>
      </w:r>
      <w:proofErr w:type="gramEnd"/>
      <w:r w:rsidR="0071786B" w:rsidRPr="005F62F4">
        <w:t xml:space="preserve"> suggestions fall outside the scope of the review and may not be feasible under current PL mechanisms.</w:t>
      </w:r>
    </w:p>
    <w:p w14:paraId="2CBB4A2B" w14:textId="14DD5C01" w:rsidR="00841FE6" w:rsidRPr="005F62F4" w:rsidRDefault="00B9776D" w:rsidP="004F2931">
      <w:pPr>
        <w:pStyle w:val="Heading3"/>
      </w:pPr>
      <w:r w:rsidRPr="005F62F4">
        <w:t xml:space="preserve">Clarification of </w:t>
      </w:r>
      <w:r w:rsidR="00345A44" w:rsidRPr="005F62F4">
        <w:t>e</w:t>
      </w:r>
      <w:r w:rsidR="00EC2CF0" w:rsidRPr="005F62F4">
        <w:t xml:space="preserve">ligibility </w:t>
      </w:r>
      <w:r w:rsidR="00345A44" w:rsidRPr="005F62F4">
        <w:t>c</w:t>
      </w:r>
      <w:r w:rsidR="00EC2CF0" w:rsidRPr="005F62F4">
        <w:t>riteria:</w:t>
      </w:r>
    </w:p>
    <w:p w14:paraId="35CB5F00" w14:textId="726AD8E3" w:rsidR="00F1371F" w:rsidRPr="005F62F4" w:rsidRDefault="00452830" w:rsidP="007C4445">
      <w:pPr>
        <w:pStyle w:val="Bullet1"/>
      </w:pPr>
      <w:r w:rsidRPr="005F62F4">
        <w:t>Amend</w:t>
      </w:r>
      <w:r w:rsidR="00CE6154" w:rsidRPr="005F62F4">
        <w:t>ing</w:t>
      </w:r>
      <w:r w:rsidRPr="005F62F4">
        <w:t xml:space="preserve"> the </w:t>
      </w:r>
      <w:r w:rsidR="003010BB" w:rsidRPr="005F62F4">
        <w:t xml:space="preserve">PL </w:t>
      </w:r>
      <w:r w:rsidRPr="005F62F4">
        <w:t xml:space="preserve">criteria to </w:t>
      </w:r>
      <w:r w:rsidRPr="005F62F4">
        <w:rPr>
          <w:rStyle w:val="Strong"/>
        </w:rPr>
        <w:t xml:space="preserve">include a </w:t>
      </w:r>
      <w:r w:rsidR="00993A60" w:rsidRPr="005F62F4">
        <w:rPr>
          <w:rStyle w:val="Strong"/>
        </w:rPr>
        <w:t xml:space="preserve">definition </w:t>
      </w:r>
      <w:r w:rsidR="00046587" w:rsidRPr="005F62F4">
        <w:rPr>
          <w:rStyle w:val="Strong"/>
        </w:rPr>
        <w:t>of essential</w:t>
      </w:r>
      <w:r w:rsidR="00046587" w:rsidRPr="005F62F4">
        <w:t xml:space="preserve"> in Criterion 4(b)</w:t>
      </w:r>
      <w:r w:rsidR="00EB4B25" w:rsidRPr="005F62F4">
        <w:t xml:space="preserve"> </w:t>
      </w:r>
      <w:r w:rsidR="003C3CBC" w:rsidRPr="005F62F4">
        <w:t xml:space="preserve">and clarify the </w:t>
      </w:r>
      <w:r w:rsidR="003C3CBC" w:rsidRPr="005F62F4">
        <w:rPr>
          <w:rStyle w:val="Strong"/>
        </w:rPr>
        <w:t>meaning of integral</w:t>
      </w:r>
      <w:r w:rsidR="003C3CBC" w:rsidRPr="005F62F4">
        <w:t xml:space="preserve"> for the purposes of surgical guides and </w:t>
      </w:r>
      <w:proofErr w:type="spellStart"/>
      <w:r w:rsidR="003C3CBC" w:rsidRPr="005F62F4">
        <w:t>biomodels</w:t>
      </w:r>
      <w:proofErr w:type="spellEnd"/>
      <w:r w:rsidR="00BF4F53" w:rsidRPr="005F62F4">
        <w:t>.</w:t>
      </w:r>
    </w:p>
    <w:p w14:paraId="4378EDB3" w14:textId="25431B3C" w:rsidR="00F1371F" w:rsidRPr="005F62F4" w:rsidRDefault="00F1371F" w:rsidP="00F1371F">
      <w:pPr>
        <w:pStyle w:val="Bullet1"/>
      </w:pPr>
      <w:r w:rsidRPr="005F62F4">
        <w:t xml:space="preserve">Providing </w:t>
      </w:r>
      <w:r w:rsidRPr="005F62F4">
        <w:rPr>
          <w:rStyle w:val="Strong"/>
        </w:rPr>
        <w:t>guidance</w:t>
      </w:r>
      <w:r w:rsidR="00345A44" w:rsidRPr="005F62F4">
        <w:rPr>
          <w:rStyle w:val="Strong"/>
        </w:rPr>
        <w:t>,</w:t>
      </w:r>
      <w:r w:rsidRPr="005F62F4">
        <w:rPr>
          <w:rStyle w:val="Strong"/>
        </w:rPr>
        <w:t xml:space="preserve"> including examples and images</w:t>
      </w:r>
      <w:r w:rsidR="00345A44" w:rsidRPr="005F62F4">
        <w:rPr>
          <w:rStyle w:val="Strong"/>
        </w:rPr>
        <w:t>,</w:t>
      </w:r>
      <w:r w:rsidRPr="005F62F4">
        <w:t xml:space="preserve"> of </w:t>
      </w:r>
      <w:r w:rsidR="00317C4D" w:rsidRPr="005F62F4">
        <w:t>the</w:t>
      </w:r>
      <w:r w:rsidRPr="005F62F4">
        <w:t xml:space="preserve"> surgical guides and </w:t>
      </w:r>
      <w:proofErr w:type="spellStart"/>
      <w:r w:rsidRPr="005F62F4">
        <w:t>biomodels</w:t>
      </w:r>
      <w:proofErr w:type="spellEnd"/>
      <w:r w:rsidRPr="005F62F4">
        <w:t xml:space="preserve"> </w:t>
      </w:r>
      <w:r w:rsidR="0047062D" w:rsidRPr="005F62F4">
        <w:t xml:space="preserve">listed and the circumstances under which they are </w:t>
      </w:r>
      <w:r w:rsidRPr="005F62F4">
        <w:t>considered eligible</w:t>
      </w:r>
      <w:r w:rsidR="000E3335" w:rsidRPr="005F62F4">
        <w:t>.</w:t>
      </w:r>
    </w:p>
    <w:p w14:paraId="5EEBDCBD" w14:textId="1A7880E0" w:rsidR="00E808D4" w:rsidRPr="005F62F4" w:rsidRDefault="007A693F" w:rsidP="00F1371F">
      <w:pPr>
        <w:pStyle w:val="Bullet1"/>
      </w:pPr>
      <w:r w:rsidRPr="005F62F4">
        <w:rPr>
          <w:iCs/>
        </w:rPr>
        <w:t>Adding</w:t>
      </w:r>
      <w:r w:rsidR="005F3B49" w:rsidRPr="005F62F4">
        <w:rPr>
          <w:iCs/>
        </w:rPr>
        <w:t xml:space="preserve"> clear </w:t>
      </w:r>
      <w:r w:rsidR="005F3B49" w:rsidRPr="005F62F4">
        <w:rPr>
          <w:rStyle w:val="Strong"/>
        </w:rPr>
        <w:t>definition</w:t>
      </w:r>
      <w:r w:rsidR="004040CF" w:rsidRPr="005F62F4">
        <w:rPr>
          <w:rStyle w:val="Strong"/>
        </w:rPr>
        <w:t>s</w:t>
      </w:r>
      <w:r w:rsidR="005F3B49" w:rsidRPr="005F62F4">
        <w:rPr>
          <w:rStyle w:val="Strong"/>
        </w:rPr>
        <w:t xml:space="preserve"> of </w:t>
      </w:r>
      <w:r w:rsidR="004040CF" w:rsidRPr="005F62F4">
        <w:rPr>
          <w:rStyle w:val="Strong"/>
        </w:rPr>
        <w:t xml:space="preserve">relevant </w:t>
      </w:r>
      <w:r w:rsidR="00DA1839" w:rsidRPr="005F62F4">
        <w:rPr>
          <w:rStyle w:val="Strong"/>
        </w:rPr>
        <w:t>terms</w:t>
      </w:r>
      <w:r w:rsidR="00690A89" w:rsidRPr="005F62F4">
        <w:rPr>
          <w:iCs/>
        </w:rPr>
        <w:t>,</w:t>
      </w:r>
      <w:r w:rsidR="00DA1839" w:rsidRPr="005F62F4">
        <w:rPr>
          <w:iCs/>
        </w:rPr>
        <w:t xml:space="preserve"> including </w:t>
      </w:r>
      <w:r w:rsidR="005F3B49" w:rsidRPr="005F62F4">
        <w:rPr>
          <w:iCs/>
        </w:rPr>
        <w:t xml:space="preserve">diagnostic </w:t>
      </w:r>
      <w:r w:rsidR="00630F85" w:rsidRPr="005F62F4">
        <w:rPr>
          <w:iCs/>
        </w:rPr>
        <w:t xml:space="preserve">tools and </w:t>
      </w:r>
      <w:r w:rsidR="00DA1839" w:rsidRPr="005F62F4">
        <w:rPr>
          <w:iCs/>
        </w:rPr>
        <w:t xml:space="preserve">surgical tools </w:t>
      </w:r>
      <w:r w:rsidR="00C17E30" w:rsidRPr="005F62F4">
        <w:rPr>
          <w:iCs/>
        </w:rPr>
        <w:t>an</w:t>
      </w:r>
      <w:r w:rsidR="004040CF" w:rsidRPr="005F62F4">
        <w:rPr>
          <w:iCs/>
        </w:rPr>
        <w:t>d</w:t>
      </w:r>
      <w:r w:rsidR="00A337EE" w:rsidRPr="005F62F4">
        <w:rPr>
          <w:iCs/>
        </w:rPr>
        <w:t xml:space="preserve"> the difference between these and </w:t>
      </w:r>
      <w:proofErr w:type="spellStart"/>
      <w:r w:rsidR="00A337EE" w:rsidRPr="005F62F4">
        <w:rPr>
          <w:iCs/>
        </w:rPr>
        <w:t>biomodels</w:t>
      </w:r>
      <w:proofErr w:type="spellEnd"/>
      <w:r w:rsidR="00A337EE" w:rsidRPr="005F62F4">
        <w:rPr>
          <w:iCs/>
        </w:rPr>
        <w:t xml:space="preserve"> and surgical guides</w:t>
      </w:r>
      <w:r w:rsidR="00A63E46" w:rsidRPr="005F62F4">
        <w:rPr>
          <w:iCs/>
        </w:rPr>
        <w:t xml:space="preserve"> considered eligible for listing on the PL</w:t>
      </w:r>
      <w:r w:rsidR="00C17E30" w:rsidRPr="005F62F4">
        <w:rPr>
          <w:iCs/>
        </w:rPr>
        <w:t>.</w:t>
      </w:r>
    </w:p>
    <w:p w14:paraId="79E25042" w14:textId="0C5B6DF7" w:rsidR="00A20BDB" w:rsidRPr="005F62F4" w:rsidRDefault="00A20BDB" w:rsidP="004F2931">
      <w:pPr>
        <w:pStyle w:val="Heading3"/>
      </w:pPr>
      <w:r w:rsidRPr="005F62F4">
        <w:t xml:space="preserve">Review and </w:t>
      </w:r>
      <w:r w:rsidR="002C7DF4" w:rsidRPr="005F62F4">
        <w:t xml:space="preserve">re-categorisation </w:t>
      </w:r>
      <w:r w:rsidRPr="005F62F4">
        <w:t>of PL sub-categories and product groups</w:t>
      </w:r>
      <w:r w:rsidR="00F601D0" w:rsidRPr="005F62F4">
        <w:t>:</w:t>
      </w:r>
    </w:p>
    <w:p w14:paraId="7A2DF467" w14:textId="1F2FC13D" w:rsidR="00A20BDB" w:rsidRPr="005F62F4" w:rsidRDefault="00A20BDB" w:rsidP="00A20BDB">
      <w:pPr>
        <w:pStyle w:val="Bullet1"/>
      </w:pPr>
      <w:r w:rsidRPr="005F62F4">
        <w:rPr>
          <w:rStyle w:val="Strong"/>
        </w:rPr>
        <w:t>Separating dental implant guides from</w:t>
      </w:r>
      <w:r w:rsidRPr="005F62F4">
        <w:t xml:space="preserve"> </w:t>
      </w:r>
      <w:r w:rsidR="00671F20" w:rsidRPr="005F62F4">
        <w:rPr>
          <w:b/>
          <w:bCs/>
        </w:rPr>
        <w:t>CMF</w:t>
      </w:r>
      <w:r w:rsidR="00671F20" w:rsidRPr="005F62F4">
        <w:t xml:space="preserve"> </w:t>
      </w:r>
      <w:r w:rsidRPr="005F62F4">
        <w:rPr>
          <w:rStyle w:val="Strong"/>
        </w:rPr>
        <w:t>surgical guides</w:t>
      </w:r>
      <w:r w:rsidRPr="005F62F4">
        <w:t xml:space="preserve"> and re</w:t>
      </w:r>
      <w:r w:rsidR="000E3335" w:rsidRPr="005F62F4">
        <w:noBreakHyphen/>
      </w:r>
      <w:r w:rsidRPr="005F62F4">
        <w:t>categorising the</w:t>
      </w:r>
      <w:r w:rsidR="007E11D1" w:rsidRPr="005F62F4">
        <w:t xml:space="preserve"> for</w:t>
      </w:r>
      <w:r w:rsidR="006A5414" w:rsidRPr="005F62F4">
        <w:t xml:space="preserve">mer </w:t>
      </w:r>
      <w:r w:rsidRPr="005F62F4">
        <w:t xml:space="preserve">to the subcategory 07.03 Dental Implants and 07.03.03 </w:t>
      </w:r>
      <w:proofErr w:type="spellStart"/>
      <w:r w:rsidRPr="005F62F4">
        <w:t>Endosseous</w:t>
      </w:r>
      <w:proofErr w:type="spellEnd"/>
      <w:r w:rsidRPr="005F62F4">
        <w:t xml:space="preserve"> Implants product group</w:t>
      </w:r>
      <w:r w:rsidR="0031748C" w:rsidRPr="005F62F4">
        <w:t>.</w:t>
      </w:r>
    </w:p>
    <w:p w14:paraId="5005FA25" w14:textId="6E676B99" w:rsidR="00A20BDB" w:rsidRPr="005F62F4" w:rsidRDefault="00A20BDB" w:rsidP="00A20BDB">
      <w:pPr>
        <w:pStyle w:val="Bullet1"/>
      </w:pPr>
      <w:r w:rsidRPr="005F62F4">
        <w:t xml:space="preserve">Redefining subgroups for surgical guides to </w:t>
      </w:r>
      <w:r w:rsidRPr="005F62F4">
        <w:rPr>
          <w:rStyle w:val="Strong"/>
        </w:rPr>
        <w:t>separate out splint guides</w:t>
      </w:r>
      <w:r w:rsidR="00BA2DB3" w:rsidRPr="005F62F4">
        <w:rPr>
          <w:rStyle w:val="Strong"/>
        </w:rPr>
        <w:t xml:space="preserve">, </w:t>
      </w:r>
      <w:r w:rsidR="00BA2DB3" w:rsidRPr="005F62F4">
        <w:rPr>
          <w:bCs/>
        </w:rPr>
        <w:t>which</w:t>
      </w:r>
      <w:r w:rsidRPr="005F62F4">
        <w:t xml:space="preserve"> could be more suitably reimbursed at a lower benefit than </w:t>
      </w:r>
      <w:r w:rsidR="008A183D" w:rsidRPr="005F62F4">
        <w:t xml:space="preserve">other </w:t>
      </w:r>
      <w:r w:rsidRPr="005F62F4">
        <w:t>surgical guides</w:t>
      </w:r>
      <w:r w:rsidR="003418CB" w:rsidRPr="005F62F4">
        <w:t xml:space="preserve">, because </w:t>
      </w:r>
      <w:r w:rsidR="00C702F6" w:rsidRPr="005F62F4">
        <w:t>they are less costly to produce</w:t>
      </w:r>
      <w:r w:rsidR="0031748C" w:rsidRPr="005F62F4">
        <w:t>.</w:t>
      </w:r>
    </w:p>
    <w:p w14:paraId="6210FDE9" w14:textId="5153DC6F" w:rsidR="00FF4173" w:rsidRPr="005F62F4" w:rsidRDefault="00FF4173" w:rsidP="00A20BDB">
      <w:pPr>
        <w:pStyle w:val="Bullet1"/>
      </w:pPr>
      <w:r w:rsidRPr="005F62F4">
        <w:t xml:space="preserve">Considering whether </w:t>
      </w:r>
      <w:r w:rsidR="00E74CEF" w:rsidRPr="005F62F4">
        <w:t xml:space="preserve">surgical guides and </w:t>
      </w:r>
      <w:proofErr w:type="spellStart"/>
      <w:r w:rsidR="00E74CEF" w:rsidRPr="005F62F4">
        <w:t>biomodels</w:t>
      </w:r>
      <w:proofErr w:type="spellEnd"/>
      <w:r w:rsidR="00E74CEF" w:rsidRPr="005F62F4">
        <w:t xml:space="preserve"> </w:t>
      </w:r>
      <w:r w:rsidR="00476F17" w:rsidRPr="005F62F4">
        <w:t xml:space="preserve">should be </w:t>
      </w:r>
      <w:r w:rsidR="00476F17" w:rsidRPr="005F62F4">
        <w:rPr>
          <w:b/>
        </w:rPr>
        <w:t xml:space="preserve">moved </w:t>
      </w:r>
      <w:r w:rsidR="00476F17" w:rsidRPr="005F62F4">
        <w:t xml:space="preserve">to Part C of the PL or </w:t>
      </w:r>
      <w:r w:rsidR="00F90F28" w:rsidRPr="005F62F4">
        <w:t xml:space="preserve">be </w:t>
      </w:r>
      <w:r w:rsidR="00F90F28" w:rsidRPr="005F62F4">
        <w:rPr>
          <w:b/>
        </w:rPr>
        <w:t xml:space="preserve">required to be </w:t>
      </w:r>
      <w:r w:rsidR="00476F17" w:rsidRPr="005F62F4">
        <w:rPr>
          <w:b/>
        </w:rPr>
        <w:t>packaged</w:t>
      </w:r>
      <w:r w:rsidR="00476F17" w:rsidRPr="005F62F4">
        <w:t xml:space="preserve"> with </w:t>
      </w:r>
      <w:proofErr w:type="spellStart"/>
      <w:r w:rsidR="00476F17" w:rsidRPr="005F62F4">
        <w:t>biomodelled</w:t>
      </w:r>
      <w:proofErr w:type="spellEnd"/>
      <w:r w:rsidR="00476F17" w:rsidRPr="005F62F4">
        <w:t xml:space="preserve"> implants.</w:t>
      </w:r>
    </w:p>
    <w:p w14:paraId="105A387C" w14:textId="7349D48C" w:rsidR="00A20BDB" w:rsidRPr="005F62F4" w:rsidRDefault="00A20BDB" w:rsidP="00A20BDB">
      <w:pPr>
        <w:pStyle w:val="Bullet1"/>
      </w:pPr>
      <w:r w:rsidRPr="005F62F4">
        <w:rPr>
          <w:rStyle w:val="Strong"/>
        </w:rPr>
        <w:t>Collaborating</w:t>
      </w:r>
      <w:r w:rsidRPr="005F62F4">
        <w:t xml:space="preserve"> with </w:t>
      </w:r>
      <w:r w:rsidR="000142DB" w:rsidRPr="005F62F4">
        <w:t>surgeons</w:t>
      </w:r>
      <w:r w:rsidRPr="005F62F4">
        <w:t>, industry representatives and sponsors</w:t>
      </w:r>
      <w:r w:rsidRPr="005F62F4">
        <w:rPr>
          <w:bCs/>
        </w:rPr>
        <w:t xml:space="preserve"> when considering future changes.</w:t>
      </w:r>
    </w:p>
    <w:p w14:paraId="2F68B68C" w14:textId="2CA15C5C" w:rsidR="00EC2CF0" w:rsidRPr="005F62F4" w:rsidRDefault="0042295C" w:rsidP="004F2931">
      <w:pPr>
        <w:pStyle w:val="Heading3"/>
      </w:pPr>
      <w:r w:rsidRPr="005F62F4">
        <w:lastRenderedPageBreak/>
        <w:t>Restriction of</w:t>
      </w:r>
      <w:r w:rsidR="002C7DF4" w:rsidRPr="005F62F4">
        <w:t xml:space="preserve"> </w:t>
      </w:r>
      <w:r w:rsidR="000E3335" w:rsidRPr="005F62F4">
        <w:t>circumstances in which</w:t>
      </w:r>
      <w:r w:rsidR="009E4943" w:rsidRPr="005F62F4">
        <w:t xml:space="preserve"> </w:t>
      </w:r>
      <w:r w:rsidR="005D4EDD" w:rsidRPr="005F62F4">
        <w:t xml:space="preserve">benefits </w:t>
      </w:r>
      <w:r w:rsidR="000E3335" w:rsidRPr="005F62F4">
        <w:t xml:space="preserve">are </w:t>
      </w:r>
      <w:r w:rsidR="005D4EDD" w:rsidRPr="005F62F4">
        <w:t>payable:</w:t>
      </w:r>
    </w:p>
    <w:p w14:paraId="06FE3F64" w14:textId="2689F8D7" w:rsidR="00DD22AC" w:rsidRPr="005F62F4" w:rsidRDefault="00DD22AC" w:rsidP="000E0F06">
      <w:pPr>
        <w:pStyle w:val="Bullet1Keep"/>
      </w:pPr>
      <w:r w:rsidRPr="005F62F4">
        <w:t>Limiting benefits to MBS items in specific categories (</w:t>
      </w:r>
      <w:proofErr w:type="gramStart"/>
      <w:r w:rsidRPr="005F62F4">
        <w:t>e.g.</w:t>
      </w:r>
      <w:proofErr w:type="gramEnd"/>
      <w:r w:rsidRPr="005F62F4">
        <w:t xml:space="preserve"> plastic and reconstructive).</w:t>
      </w:r>
    </w:p>
    <w:p w14:paraId="2D97A4A9" w14:textId="5E14674A" w:rsidR="00AF45A0" w:rsidRPr="005F62F4" w:rsidRDefault="00CE6154" w:rsidP="000E0F06">
      <w:pPr>
        <w:pStyle w:val="Bullet1Keep"/>
      </w:pPr>
      <w:r w:rsidRPr="005F62F4">
        <w:t>L</w:t>
      </w:r>
      <w:r w:rsidR="00EF602C" w:rsidRPr="005F62F4">
        <w:t xml:space="preserve">imiting benefits </w:t>
      </w:r>
      <w:r w:rsidR="00D46352" w:rsidRPr="005F62F4">
        <w:t xml:space="preserve">for </w:t>
      </w:r>
      <w:r w:rsidR="00EF602C" w:rsidRPr="005F62F4">
        <w:t xml:space="preserve">surgical guides and </w:t>
      </w:r>
      <w:proofErr w:type="spellStart"/>
      <w:r w:rsidR="00EF602C" w:rsidRPr="005F62F4">
        <w:t>biomodels</w:t>
      </w:r>
      <w:proofErr w:type="spellEnd"/>
      <w:r w:rsidR="00EF602C" w:rsidRPr="005F62F4">
        <w:t xml:space="preserve"> </w:t>
      </w:r>
      <w:r w:rsidR="00D46352" w:rsidRPr="005F62F4">
        <w:t xml:space="preserve">to only </w:t>
      </w:r>
      <w:r w:rsidR="0003757E" w:rsidRPr="005F62F4">
        <w:t>those</w:t>
      </w:r>
      <w:r w:rsidR="00D46352" w:rsidRPr="005F62F4">
        <w:t xml:space="preserve"> </w:t>
      </w:r>
      <w:r w:rsidR="00086F92" w:rsidRPr="005F62F4">
        <w:t xml:space="preserve">used </w:t>
      </w:r>
      <w:r w:rsidR="00561ABC" w:rsidRPr="005F62F4">
        <w:t xml:space="preserve">in </w:t>
      </w:r>
      <w:r w:rsidR="00EF602C" w:rsidRPr="005F62F4">
        <w:t xml:space="preserve">complex CMF surgeries. Mechanisms could include </w:t>
      </w:r>
      <w:r w:rsidR="002A7A95" w:rsidRPr="005F62F4">
        <w:rPr>
          <w:rStyle w:val="Strong"/>
        </w:rPr>
        <w:t>link</w:t>
      </w:r>
      <w:r w:rsidR="00434E71" w:rsidRPr="005F62F4">
        <w:rPr>
          <w:rStyle w:val="Strong"/>
        </w:rPr>
        <w:t>ing</w:t>
      </w:r>
      <w:r w:rsidR="002A7A95" w:rsidRPr="005F62F4">
        <w:rPr>
          <w:rStyle w:val="Strong"/>
        </w:rPr>
        <w:t xml:space="preserve"> eligibility</w:t>
      </w:r>
      <w:r w:rsidR="00EF602C" w:rsidRPr="005F62F4">
        <w:rPr>
          <w:rStyle w:val="Strong"/>
        </w:rPr>
        <w:t xml:space="preserve"> to specific M</w:t>
      </w:r>
      <w:r w:rsidR="00A35F7F" w:rsidRPr="005F62F4">
        <w:rPr>
          <w:rStyle w:val="Strong"/>
        </w:rPr>
        <w:t>BS item numbers</w:t>
      </w:r>
      <w:r w:rsidR="003C3CBC" w:rsidRPr="005F62F4">
        <w:t xml:space="preserve"> where use</w:t>
      </w:r>
      <w:r w:rsidR="00EB4B25" w:rsidRPr="005F62F4">
        <w:t xml:space="preserve"> </w:t>
      </w:r>
      <w:r w:rsidR="002F13F3" w:rsidRPr="005F62F4">
        <w:t xml:space="preserve">is </w:t>
      </w:r>
      <w:r w:rsidR="003C3CBC" w:rsidRPr="005F62F4">
        <w:t>considered essential</w:t>
      </w:r>
      <w:r w:rsidR="00DC17D6" w:rsidRPr="005F62F4">
        <w:t xml:space="preserve">. </w:t>
      </w:r>
      <w:r w:rsidR="000E0F06" w:rsidRPr="005F62F4">
        <w:t xml:space="preserve">While </w:t>
      </w:r>
      <w:r w:rsidR="004D6D39" w:rsidRPr="005F62F4">
        <w:t>there was s</w:t>
      </w:r>
      <w:r w:rsidR="003169D6" w:rsidRPr="005F62F4">
        <w:t>ignificant</w:t>
      </w:r>
      <w:r w:rsidR="004D6D39" w:rsidRPr="005F62F4">
        <w:t xml:space="preserve"> </w:t>
      </w:r>
      <w:r w:rsidR="003169D6" w:rsidRPr="005F62F4">
        <w:t>in-</w:t>
      </w:r>
      <w:proofErr w:type="gramStart"/>
      <w:r w:rsidR="003169D6" w:rsidRPr="005F62F4">
        <w:t>principle</w:t>
      </w:r>
      <w:proofErr w:type="gramEnd"/>
      <w:r w:rsidR="003169D6" w:rsidRPr="005F62F4">
        <w:t xml:space="preserve"> </w:t>
      </w:r>
      <w:r w:rsidR="004D6D39" w:rsidRPr="005F62F4">
        <w:t xml:space="preserve">support for this approach </w:t>
      </w:r>
      <w:r w:rsidR="00D92D09" w:rsidRPr="005F62F4">
        <w:t>from some stakeholders</w:t>
      </w:r>
      <w:r w:rsidR="003169D6" w:rsidRPr="005F62F4">
        <w:t>,</w:t>
      </w:r>
      <w:r w:rsidR="00D92D09" w:rsidRPr="005F62F4">
        <w:t xml:space="preserve"> it was not unanimous</w:t>
      </w:r>
      <w:r w:rsidR="003169D6" w:rsidRPr="005F62F4">
        <w:t xml:space="preserve"> and not without significant caveats. F</w:t>
      </w:r>
      <w:r w:rsidR="000E0F06" w:rsidRPr="005F62F4">
        <w:t xml:space="preserve">urther consultation </w:t>
      </w:r>
      <w:r w:rsidR="001F4015" w:rsidRPr="005F62F4">
        <w:t xml:space="preserve">with clinical experts would be needed to inform </w:t>
      </w:r>
      <w:r w:rsidR="00787A99" w:rsidRPr="005F62F4">
        <w:t>such limits.</w:t>
      </w:r>
    </w:p>
    <w:p w14:paraId="69431172" w14:textId="0951946A" w:rsidR="0001659E" w:rsidRPr="005F62F4" w:rsidRDefault="00951604" w:rsidP="0042295C">
      <w:pPr>
        <w:pStyle w:val="Bullet1"/>
      </w:pPr>
      <w:r w:rsidRPr="005F62F4">
        <w:t xml:space="preserve">Pending clarification </w:t>
      </w:r>
      <w:r w:rsidR="00AA621F" w:rsidRPr="005F62F4">
        <w:t>of</w:t>
      </w:r>
      <w:r w:rsidRPr="005F62F4">
        <w:t xml:space="preserve"> the PL eligibility criteria, considering </w:t>
      </w:r>
      <w:r w:rsidR="00602ED8" w:rsidRPr="005F62F4">
        <w:t>limiting</w:t>
      </w:r>
      <w:r w:rsidR="0001659E" w:rsidRPr="005F62F4">
        <w:t xml:space="preserve"> </w:t>
      </w:r>
      <w:r w:rsidR="00D46352" w:rsidRPr="005F62F4">
        <w:t>benefits</w:t>
      </w:r>
      <w:r w:rsidR="0001659E" w:rsidRPr="005F62F4">
        <w:t xml:space="preserve"> for </w:t>
      </w:r>
      <w:proofErr w:type="spellStart"/>
      <w:r w:rsidR="0001659E" w:rsidRPr="005F62F4">
        <w:rPr>
          <w:rStyle w:val="Strong"/>
        </w:rPr>
        <w:t>biomodels</w:t>
      </w:r>
      <w:proofErr w:type="spellEnd"/>
      <w:r w:rsidR="0001659E" w:rsidRPr="005F62F4">
        <w:t xml:space="preserve"> </w:t>
      </w:r>
      <w:r w:rsidR="0003757E" w:rsidRPr="005F62F4">
        <w:t xml:space="preserve">to only include instances </w:t>
      </w:r>
      <w:r w:rsidR="0003757E" w:rsidRPr="005F62F4">
        <w:rPr>
          <w:rStyle w:val="Strong"/>
        </w:rPr>
        <w:t xml:space="preserve">where they are used </w:t>
      </w:r>
      <w:r w:rsidR="005B5993" w:rsidRPr="005F62F4">
        <w:rPr>
          <w:rStyle w:val="Strong"/>
        </w:rPr>
        <w:t xml:space="preserve">intraoperatively </w:t>
      </w:r>
      <w:r w:rsidR="00F51E0E" w:rsidRPr="005F62F4">
        <w:rPr>
          <w:rStyle w:val="Strong"/>
        </w:rPr>
        <w:t>to support the implantation of a prosthesis</w:t>
      </w:r>
      <w:r w:rsidR="00F51E0E" w:rsidRPr="005F62F4">
        <w:t xml:space="preserve"> </w:t>
      </w:r>
      <w:r w:rsidR="00C920C5" w:rsidRPr="005F62F4">
        <w:t>(</w:t>
      </w:r>
      <w:proofErr w:type="gramStart"/>
      <w:r w:rsidR="00C920C5" w:rsidRPr="005F62F4">
        <w:t>e.g.</w:t>
      </w:r>
      <w:proofErr w:type="gramEnd"/>
      <w:r w:rsidR="00C920C5" w:rsidRPr="005F62F4">
        <w:t xml:space="preserve"> to bend an off-the-shelf plate)</w:t>
      </w:r>
      <w:r w:rsidR="0031748C" w:rsidRPr="005F62F4">
        <w:t>.</w:t>
      </w:r>
    </w:p>
    <w:p w14:paraId="05194EDC" w14:textId="1BF4CE12" w:rsidR="003D5EFA" w:rsidRPr="005F62F4" w:rsidRDefault="0097346F" w:rsidP="0042295C">
      <w:pPr>
        <w:pStyle w:val="Bullet1"/>
        <w:rPr>
          <w:bCs/>
        </w:rPr>
      </w:pPr>
      <w:r w:rsidRPr="005F62F4">
        <w:rPr>
          <w:rStyle w:val="Strong"/>
        </w:rPr>
        <w:t xml:space="preserve">Limiting the number of surgical guides and </w:t>
      </w:r>
      <w:proofErr w:type="spellStart"/>
      <w:r w:rsidRPr="005F62F4">
        <w:rPr>
          <w:rStyle w:val="Strong"/>
        </w:rPr>
        <w:t>biomodels</w:t>
      </w:r>
      <w:proofErr w:type="spellEnd"/>
      <w:r w:rsidRPr="005F62F4">
        <w:t xml:space="preserve"> </w:t>
      </w:r>
      <w:r w:rsidR="001E1351" w:rsidRPr="005F62F4">
        <w:rPr>
          <w:rStyle w:val="Strong"/>
        </w:rPr>
        <w:t xml:space="preserve">per procedure/separation </w:t>
      </w:r>
      <w:r w:rsidR="00CB6306" w:rsidRPr="005F62F4">
        <w:t>for</w:t>
      </w:r>
      <w:r w:rsidR="00CB6306" w:rsidRPr="005F62F4">
        <w:rPr>
          <w:bCs/>
        </w:rPr>
        <w:t xml:space="preserve"> which a benefit is payable</w:t>
      </w:r>
      <w:r w:rsidRPr="005F62F4">
        <w:rPr>
          <w:bCs/>
        </w:rPr>
        <w:t xml:space="preserve"> </w:t>
      </w:r>
      <w:r w:rsidR="00CB6306" w:rsidRPr="005F62F4">
        <w:rPr>
          <w:bCs/>
        </w:rPr>
        <w:t>under the PL</w:t>
      </w:r>
      <w:r w:rsidRPr="005F62F4">
        <w:rPr>
          <w:bCs/>
        </w:rPr>
        <w:t>.</w:t>
      </w:r>
      <w:r w:rsidR="00DD2C13" w:rsidRPr="005F62F4">
        <w:rPr>
          <w:bCs/>
        </w:rPr>
        <w:t xml:space="preserve"> Suggestions for limits, however, ranged from one surgical guide and one </w:t>
      </w:r>
      <w:proofErr w:type="spellStart"/>
      <w:r w:rsidR="00DD2C13" w:rsidRPr="005F62F4">
        <w:rPr>
          <w:bCs/>
        </w:rPr>
        <w:t>biomodel</w:t>
      </w:r>
      <w:proofErr w:type="spellEnd"/>
      <w:r w:rsidR="00DD2C13" w:rsidRPr="005F62F4">
        <w:rPr>
          <w:bCs/>
        </w:rPr>
        <w:t xml:space="preserve"> per plate to </w:t>
      </w:r>
      <w:r w:rsidR="00061598" w:rsidRPr="005F62F4">
        <w:rPr>
          <w:bCs/>
        </w:rPr>
        <w:t>10</w:t>
      </w:r>
      <w:r w:rsidR="00981135" w:rsidRPr="005F62F4">
        <w:rPr>
          <w:bCs/>
        </w:rPr>
        <w:t xml:space="preserve"> </w:t>
      </w:r>
      <w:r w:rsidR="007407C7" w:rsidRPr="005F62F4">
        <w:rPr>
          <w:bCs/>
        </w:rPr>
        <w:t>surgical guides/</w:t>
      </w:r>
      <w:proofErr w:type="spellStart"/>
      <w:r w:rsidR="007407C7" w:rsidRPr="005F62F4">
        <w:rPr>
          <w:bCs/>
        </w:rPr>
        <w:t>biomodels</w:t>
      </w:r>
      <w:proofErr w:type="spellEnd"/>
      <w:r w:rsidR="007407C7" w:rsidRPr="005F62F4">
        <w:rPr>
          <w:bCs/>
        </w:rPr>
        <w:t xml:space="preserve"> </w:t>
      </w:r>
      <w:r w:rsidR="00981135" w:rsidRPr="005F62F4">
        <w:rPr>
          <w:bCs/>
        </w:rPr>
        <w:t xml:space="preserve">per procedure. </w:t>
      </w:r>
      <w:r w:rsidRPr="005F62F4">
        <w:rPr>
          <w:bCs/>
        </w:rPr>
        <w:t xml:space="preserve">If more </w:t>
      </w:r>
      <w:r w:rsidR="00DC7074" w:rsidRPr="005F62F4">
        <w:rPr>
          <w:bCs/>
        </w:rPr>
        <w:t xml:space="preserve">than the prescribed limit </w:t>
      </w:r>
      <w:proofErr w:type="gramStart"/>
      <w:r w:rsidRPr="005F62F4">
        <w:rPr>
          <w:bCs/>
        </w:rPr>
        <w:t>are</w:t>
      </w:r>
      <w:proofErr w:type="gramEnd"/>
      <w:r w:rsidRPr="005F62F4">
        <w:rPr>
          <w:bCs/>
        </w:rPr>
        <w:t xml:space="preserve"> required, then individual case discussions could occur </w:t>
      </w:r>
      <w:r w:rsidR="00E2503D" w:rsidRPr="005F62F4">
        <w:rPr>
          <w:bCs/>
        </w:rPr>
        <w:t xml:space="preserve">though an ‘exceptional requests’ process </w:t>
      </w:r>
      <w:r w:rsidR="00454D48" w:rsidRPr="005F62F4">
        <w:rPr>
          <w:bCs/>
        </w:rPr>
        <w:t xml:space="preserve">(e.g. requiring surgeons to provide the rationale for approval by an independent body) </w:t>
      </w:r>
      <w:r w:rsidR="00A916E3" w:rsidRPr="005F62F4">
        <w:rPr>
          <w:bCs/>
        </w:rPr>
        <w:t xml:space="preserve">and/or </w:t>
      </w:r>
      <w:r w:rsidR="00AA54B2" w:rsidRPr="005F62F4">
        <w:rPr>
          <w:bCs/>
        </w:rPr>
        <w:t xml:space="preserve">by negotiation </w:t>
      </w:r>
      <w:r w:rsidRPr="005F62F4">
        <w:rPr>
          <w:bCs/>
        </w:rPr>
        <w:t>with private health insurers.</w:t>
      </w:r>
    </w:p>
    <w:p w14:paraId="1936219E" w14:textId="55F4B7C0" w:rsidR="00F50EAD" w:rsidRPr="005F62F4" w:rsidRDefault="00F50EAD" w:rsidP="00F50EAD">
      <w:pPr>
        <w:pStyle w:val="Para"/>
      </w:pPr>
      <w:r w:rsidRPr="005F62F4">
        <w:t xml:space="preserve">As noted </w:t>
      </w:r>
      <w:r w:rsidR="00AA37B8" w:rsidRPr="005F62F4">
        <w:t>previously</w:t>
      </w:r>
      <w:r w:rsidRPr="005F62F4">
        <w:t>, some stakeholders cautioned that linking benefits to MBS items was an oversimplification, as it is not always possible to characterise procedure types (as indicated by MBS item numbers) as ‘simple’ or ‘complex’ without understanding individual clinical circumstances. One peak body suggested that this approach was ‘arbitrary and restrictive’, and inappropriate particularly in the context of rapidly</w:t>
      </w:r>
      <w:r w:rsidR="00D23F93">
        <w:t xml:space="preserve"> </w:t>
      </w:r>
      <w:r w:rsidRPr="005F62F4">
        <w:t>evolving technology.</w:t>
      </w:r>
    </w:p>
    <w:p w14:paraId="2B73185E" w14:textId="199240F6" w:rsidR="0097346F" w:rsidRPr="005F62F4" w:rsidDel="00AC7199" w:rsidRDefault="00F50EAD" w:rsidP="00F50EAD">
      <w:pPr>
        <w:pStyle w:val="Para"/>
        <w:rPr>
          <w:bCs/>
        </w:rPr>
      </w:pPr>
      <w:r w:rsidRPr="005F62F4">
        <w:rPr>
          <w:rStyle w:val="ParaChar"/>
        </w:rPr>
        <w:t>Others</w:t>
      </w:r>
      <w:r w:rsidR="00650725" w:rsidRPr="005F62F4">
        <w:rPr>
          <w:rStyle w:val="ParaChar"/>
        </w:rPr>
        <w:t xml:space="preserve"> </w:t>
      </w:r>
      <w:r w:rsidR="007C011D" w:rsidRPr="005F62F4">
        <w:rPr>
          <w:rStyle w:val="ParaChar"/>
        </w:rPr>
        <w:t xml:space="preserve">argued that </w:t>
      </w:r>
      <w:r w:rsidR="00F101B4" w:rsidRPr="005F62F4">
        <w:rPr>
          <w:rStyle w:val="ParaChar"/>
          <w:i/>
          <w:iCs/>
        </w:rPr>
        <w:t>any</w:t>
      </w:r>
      <w:r w:rsidR="00F101B4" w:rsidRPr="005F62F4">
        <w:rPr>
          <w:rStyle w:val="ParaChar"/>
        </w:rPr>
        <w:t xml:space="preserve"> </w:t>
      </w:r>
      <w:r w:rsidR="008F19FB" w:rsidRPr="005F62F4">
        <w:rPr>
          <w:rStyle w:val="ParaChar"/>
        </w:rPr>
        <w:t xml:space="preserve">of the suggested </w:t>
      </w:r>
      <w:r w:rsidR="000E5BFD" w:rsidRPr="005F62F4">
        <w:rPr>
          <w:rStyle w:val="ParaChar"/>
        </w:rPr>
        <w:t>restrictions</w:t>
      </w:r>
      <w:r w:rsidR="00D91469" w:rsidRPr="005F62F4">
        <w:rPr>
          <w:rStyle w:val="ParaChar"/>
        </w:rPr>
        <w:t xml:space="preserve"> may</w:t>
      </w:r>
      <w:r w:rsidR="008F19FB" w:rsidRPr="005F62F4">
        <w:rPr>
          <w:rStyle w:val="ParaChar"/>
        </w:rPr>
        <w:t xml:space="preserve"> </w:t>
      </w:r>
      <w:r w:rsidR="00625885" w:rsidRPr="005F62F4">
        <w:rPr>
          <w:rStyle w:val="ParaChar"/>
        </w:rPr>
        <w:t>impact</w:t>
      </w:r>
      <w:r w:rsidR="00650725" w:rsidRPr="005F62F4">
        <w:rPr>
          <w:rStyle w:val="ParaChar"/>
        </w:rPr>
        <w:t xml:space="preserve"> inappropriate</w:t>
      </w:r>
      <w:r w:rsidR="00625885" w:rsidRPr="005F62F4">
        <w:rPr>
          <w:rStyle w:val="ParaChar"/>
        </w:rPr>
        <w:t>ly on clinicians’ choice</w:t>
      </w:r>
      <w:r w:rsidR="00650725" w:rsidRPr="005F62F4">
        <w:rPr>
          <w:rStyle w:val="ParaChar"/>
        </w:rPr>
        <w:t xml:space="preserve">, </w:t>
      </w:r>
      <w:r w:rsidR="00BC21BB" w:rsidRPr="005F62F4">
        <w:rPr>
          <w:rStyle w:val="ParaChar"/>
        </w:rPr>
        <w:t>is likely to have unintended consequences (</w:t>
      </w:r>
      <w:proofErr w:type="gramStart"/>
      <w:r w:rsidR="00BC21BB" w:rsidRPr="005F62F4">
        <w:rPr>
          <w:rStyle w:val="ParaChar"/>
        </w:rPr>
        <w:t>e.g.</w:t>
      </w:r>
      <w:proofErr w:type="gramEnd"/>
      <w:r w:rsidR="00BC21BB" w:rsidRPr="005F62F4">
        <w:rPr>
          <w:rStyle w:val="ParaChar"/>
        </w:rPr>
        <w:t xml:space="preserve"> shifting of the cost burden</w:t>
      </w:r>
      <w:r w:rsidR="00B14F41" w:rsidRPr="005F62F4">
        <w:rPr>
          <w:rStyle w:val="ParaChar"/>
        </w:rPr>
        <w:t xml:space="preserve">, </w:t>
      </w:r>
      <w:r w:rsidR="00DC5319" w:rsidRPr="005F62F4">
        <w:rPr>
          <w:rStyle w:val="ParaChar"/>
        </w:rPr>
        <w:t>splitting of single procedures into multiple</w:t>
      </w:r>
      <w:r w:rsidR="009B7A69" w:rsidRPr="005F62F4">
        <w:rPr>
          <w:rStyle w:val="ParaChar"/>
        </w:rPr>
        <w:t xml:space="preserve"> ones</w:t>
      </w:r>
      <w:r w:rsidR="00BC21BB" w:rsidRPr="005F62F4">
        <w:rPr>
          <w:rStyle w:val="ParaChar"/>
        </w:rPr>
        <w:t>)</w:t>
      </w:r>
      <w:r w:rsidRPr="005F62F4">
        <w:rPr>
          <w:rStyle w:val="ParaChar"/>
        </w:rPr>
        <w:t>,</w:t>
      </w:r>
      <w:r w:rsidR="00BC21BB" w:rsidRPr="005F62F4">
        <w:rPr>
          <w:rStyle w:val="ParaChar"/>
        </w:rPr>
        <w:t xml:space="preserve"> </w:t>
      </w:r>
      <w:r w:rsidR="00650725" w:rsidRPr="005F62F4">
        <w:rPr>
          <w:rStyle w:val="ParaChar"/>
        </w:rPr>
        <w:t xml:space="preserve">or that </w:t>
      </w:r>
      <w:r w:rsidR="00FA2857" w:rsidRPr="005F62F4">
        <w:rPr>
          <w:rStyle w:val="ParaChar"/>
        </w:rPr>
        <w:t xml:space="preserve">any such limits should </w:t>
      </w:r>
      <w:r w:rsidR="008E6387" w:rsidRPr="005F62F4">
        <w:rPr>
          <w:rStyle w:val="ParaChar"/>
        </w:rPr>
        <w:t xml:space="preserve">at least </w:t>
      </w:r>
      <w:r w:rsidR="00FA2857" w:rsidRPr="005F62F4">
        <w:rPr>
          <w:rStyle w:val="ParaChar"/>
        </w:rPr>
        <w:t>be informed by f</w:t>
      </w:r>
      <w:r w:rsidR="0014504C" w:rsidRPr="005F62F4">
        <w:rPr>
          <w:rStyle w:val="ParaChar"/>
        </w:rPr>
        <w:t>urther consultation to identify appropriate limit</w:t>
      </w:r>
      <w:r w:rsidRPr="005F62F4">
        <w:rPr>
          <w:rStyle w:val="ParaChar"/>
        </w:rPr>
        <w:t>s</w:t>
      </w:r>
      <w:r w:rsidR="0014504C" w:rsidRPr="005F62F4">
        <w:rPr>
          <w:rStyle w:val="ParaChar"/>
        </w:rPr>
        <w:t xml:space="preserve"> in different clinical circumstances.</w:t>
      </w:r>
    </w:p>
    <w:p w14:paraId="6E75161E" w14:textId="77777777" w:rsidR="007D5F25" w:rsidRPr="00017F61" w:rsidRDefault="007D5F25" w:rsidP="00017F61">
      <w:r w:rsidRPr="00017F61">
        <w:br w:type="page"/>
      </w:r>
    </w:p>
    <w:p w14:paraId="517B8B5E" w14:textId="1F17C88A" w:rsidR="00F1371F" w:rsidRPr="005F62F4" w:rsidRDefault="00F1371F" w:rsidP="004F2931">
      <w:pPr>
        <w:pStyle w:val="Heading3"/>
      </w:pPr>
      <w:r w:rsidRPr="005F62F4">
        <w:lastRenderedPageBreak/>
        <w:t xml:space="preserve">Review of </w:t>
      </w:r>
      <w:r w:rsidR="003E283E" w:rsidRPr="005F62F4">
        <w:t xml:space="preserve">benefits and </w:t>
      </w:r>
      <w:r w:rsidR="00311AEE" w:rsidRPr="005F62F4">
        <w:t>claiming</w:t>
      </w:r>
      <w:r w:rsidR="003E283E" w:rsidRPr="005F62F4">
        <w:t xml:space="preserve"> </w:t>
      </w:r>
      <w:r w:rsidRPr="005F62F4">
        <w:t>arrangements</w:t>
      </w:r>
      <w:r w:rsidR="001E1351" w:rsidRPr="005F62F4">
        <w:t>:</w:t>
      </w:r>
    </w:p>
    <w:p w14:paraId="24C26CB4" w14:textId="55D5AABB" w:rsidR="006E11B1" w:rsidRPr="005F62F4" w:rsidRDefault="006E11B1" w:rsidP="00AF6512">
      <w:pPr>
        <w:pStyle w:val="Bullet1"/>
        <w:numPr>
          <w:ilvl w:val="0"/>
          <w:numId w:val="20"/>
        </w:numPr>
      </w:pPr>
      <w:r w:rsidRPr="005F62F4">
        <w:t xml:space="preserve">Introducing </w:t>
      </w:r>
      <w:r w:rsidRPr="005F62F4">
        <w:rPr>
          <w:rStyle w:val="Strong"/>
        </w:rPr>
        <w:t>a stratified</w:t>
      </w:r>
      <w:r w:rsidRPr="005F62F4" w:rsidDel="00F83FE6">
        <w:rPr>
          <w:rStyle w:val="Strong"/>
        </w:rPr>
        <w:t xml:space="preserve"> a</w:t>
      </w:r>
      <w:r w:rsidRPr="005F62F4">
        <w:rPr>
          <w:rStyle w:val="Strong"/>
        </w:rPr>
        <w:t>pproach to benefits payable</w:t>
      </w:r>
      <w:r w:rsidRPr="005F62F4">
        <w:t xml:space="preserve">, such as funding 100% of </w:t>
      </w:r>
      <w:r w:rsidR="005505E5" w:rsidRPr="005F62F4">
        <w:t xml:space="preserve">the </w:t>
      </w:r>
      <w:r w:rsidR="006135A6" w:rsidRPr="005F62F4">
        <w:t xml:space="preserve">first </w:t>
      </w:r>
      <w:r w:rsidRPr="005F62F4">
        <w:t xml:space="preserve">product, 75% of </w:t>
      </w:r>
      <w:r w:rsidR="005505E5" w:rsidRPr="005F62F4">
        <w:t xml:space="preserve">the </w:t>
      </w:r>
      <w:r w:rsidR="006135A6" w:rsidRPr="005F62F4">
        <w:t xml:space="preserve">second, </w:t>
      </w:r>
      <w:r w:rsidRPr="005F62F4">
        <w:t xml:space="preserve">and so </w:t>
      </w:r>
      <w:r w:rsidR="002D4148" w:rsidRPr="005F62F4">
        <w:t>on</w:t>
      </w:r>
      <w:r w:rsidR="0031748C" w:rsidRPr="005F62F4">
        <w:t>.</w:t>
      </w:r>
    </w:p>
    <w:p w14:paraId="30A9D8FC" w14:textId="3DCFDEBB" w:rsidR="003E7A57" w:rsidRPr="005F62F4" w:rsidRDefault="003E7A57" w:rsidP="00AF6512">
      <w:pPr>
        <w:pStyle w:val="Bullet1"/>
        <w:numPr>
          <w:ilvl w:val="0"/>
          <w:numId w:val="20"/>
        </w:numPr>
      </w:pPr>
      <w:r w:rsidRPr="005F62F4">
        <w:t xml:space="preserve">Considering </w:t>
      </w:r>
      <w:r w:rsidRPr="005F62F4">
        <w:rPr>
          <w:rStyle w:val="Strong"/>
        </w:rPr>
        <w:t>a tiered approach</w:t>
      </w:r>
      <w:r w:rsidRPr="005F62F4">
        <w:t>, where benefits payable</w:t>
      </w:r>
      <w:r w:rsidR="00FA46DF" w:rsidRPr="005F62F4">
        <w:t xml:space="preserve"> may be higher for more complex surgeries</w:t>
      </w:r>
      <w:r w:rsidR="0031748C" w:rsidRPr="005F62F4">
        <w:t>.</w:t>
      </w:r>
    </w:p>
    <w:p w14:paraId="5A2181E9" w14:textId="1D8C5485" w:rsidR="007C4337" w:rsidRPr="005F62F4" w:rsidRDefault="008002D7" w:rsidP="00AF6512">
      <w:pPr>
        <w:pStyle w:val="Bullet1"/>
        <w:numPr>
          <w:ilvl w:val="0"/>
          <w:numId w:val="20"/>
        </w:numPr>
      </w:pPr>
      <w:r w:rsidRPr="005F62F4">
        <w:t>Listing</w:t>
      </w:r>
      <w:r w:rsidR="00434E71" w:rsidRPr="005F62F4">
        <w:t xml:space="preserve"> surgical guides and </w:t>
      </w:r>
      <w:proofErr w:type="spellStart"/>
      <w:r w:rsidR="00434E71" w:rsidRPr="005F62F4">
        <w:t>biomodels</w:t>
      </w:r>
      <w:proofErr w:type="spellEnd"/>
      <w:r w:rsidR="00434E71" w:rsidRPr="005F62F4">
        <w:t xml:space="preserve"> </w:t>
      </w:r>
      <w:r w:rsidR="00592DAE" w:rsidRPr="005F62F4">
        <w:t xml:space="preserve">only </w:t>
      </w:r>
      <w:r w:rsidRPr="005F62F4">
        <w:t>as</w:t>
      </w:r>
      <w:r w:rsidR="00434E71" w:rsidRPr="005F62F4">
        <w:t xml:space="preserve"> part of</w:t>
      </w:r>
      <w:r w:rsidR="0055691F" w:rsidRPr="005F62F4">
        <w:t xml:space="preserve"> </w:t>
      </w:r>
      <w:r w:rsidR="0055691F" w:rsidRPr="005F62F4">
        <w:rPr>
          <w:rStyle w:val="Strong"/>
        </w:rPr>
        <w:t>kits</w:t>
      </w:r>
      <w:r w:rsidR="00434E71" w:rsidRPr="005F62F4">
        <w:t xml:space="preserve"> and </w:t>
      </w:r>
      <w:r w:rsidR="00B64C35" w:rsidRPr="005F62F4">
        <w:t xml:space="preserve">defining a benefit for </w:t>
      </w:r>
      <w:r w:rsidR="00434E71" w:rsidRPr="005F62F4">
        <w:t>the kit</w:t>
      </w:r>
      <w:r w:rsidRPr="005F62F4">
        <w:t xml:space="preserve"> (</w:t>
      </w:r>
      <w:r w:rsidR="00BF59E7" w:rsidRPr="005F62F4">
        <w:t>noting, however, that</w:t>
      </w:r>
      <w:r w:rsidRPr="005F62F4">
        <w:t xml:space="preserve"> this may produce wastage</w:t>
      </w:r>
      <w:r w:rsidR="008D6C0F" w:rsidRPr="005F62F4">
        <w:t xml:space="preserve"> through unused items in the kit</w:t>
      </w:r>
      <w:r w:rsidRPr="005F62F4">
        <w:t>)</w:t>
      </w:r>
      <w:r w:rsidR="00F3144D" w:rsidRPr="005F62F4">
        <w:t>.</w:t>
      </w:r>
    </w:p>
    <w:p w14:paraId="20FA5D8B" w14:textId="4F9B46C2" w:rsidR="0055448A" w:rsidRPr="005F62F4" w:rsidRDefault="0055448A" w:rsidP="00AF6512">
      <w:pPr>
        <w:pStyle w:val="Bullet1"/>
        <w:numPr>
          <w:ilvl w:val="0"/>
          <w:numId w:val="20"/>
        </w:numPr>
      </w:pPr>
      <w:r w:rsidRPr="005F62F4">
        <w:t xml:space="preserve">Capping benefits for surgical guides and </w:t>
      </w:r>
      <w:proofErr w:type="spellStart"/>
      <w:r w:rsidRPr="005F62F4">
        <w:t>biomodels</w:t>
      </w:r>
      <w:proofErr w:type="spellEnd"/>
      <w:r w:rsidRPr="005F62F4">
        <w:t xml:space="preserve"> as a percentage of </w:t>
      </w:r>
      <w:r w:rsidR="005306AA" w:rsidRPr="005F62F4">
        <w:t>implant cost</w:t>
      </w:r>
      <w:r w:rsidR="00580E28" w:rsidRPr="005F62F4">
        <w:t xml:space="preserve"> or relative to MBS benefits</w:t>
      </w:r>
      <w:r w:rsidR="005306AA" w:rsidRPr="005F62F4">
        <w:t>.</w:t>
      </w:r>
    </w:p>
    <w:p w14:paraId="4E385ECD" w14:textId="300DEAED" w:rsidR="0055691F" w:rsidRPr="005F62F4" w:rsidRDefault="00F8521F" w:rsidP="00AF6512">
      <w:pPr>
        <w:pStyle w:val="Bullet1"/>
        <w:numPr>
          <w:ilvl w:val="0"/>
          <w:numId w:val="20"/>
        </w:numPr>
      </w:pPr>
      <w:r w:rsidRPr="005F62F4">
        <w:t xml:space="preserve">Requiring that kits that do not include implants be </w:t>
      </w:r>
      <w:r w:rsidRPr="005F62F4">
        <w:rPr>
          <w:rStyle w:val="Strong"/>
        </w:rPr>
        <w:t xml:space="preserve">accredited or endorsed </w:t>
      </w:r>
      <w:r w:rsidRPr="005F62F4">
        <w:t>by relevant implant manufacturers.</w:t>
      </w:r>
    </w:p>
    <w:p w14:paraId="493BA55C" w14:textId="1AD2EE98" w:rsidR="00B970EE" w:rsidRPr="005F62F4" w:rsidRDefault="00407072" w:rsidP="00AF6512">
      <w:pPr>
        <w:pStyle w:val="Bullet1"/>
        <w:numPr>
          <w:ilvl w:val="0"/>
          <w:numId w:val="20"/>
        </w:numPr>
      </w:pPr>
      <w:r w:rsidRPr="005F62F4">
        <w:t>Provid</w:t>
      </w:r>
      <w:r w:rsidR="002241FA" w:rsidRPr="005F62F4">
        <w:t xml:space="preserve">ing a separate </w:t>
      </w:r>
      <w:r w:rsidR="006E7F45" w:rsidRPr="005F62F4">
        <w:t xml:space="preserve">funding mechanism </w:t>
      </w:r>
      <w:r w:rsidR="00413E0B" w:rsidRPr="005F62F4">
        <w:t xml:space="preserve">for </w:t>
      </w:r>
      <w:r w:rsidR="00CB7037" w:rsidRPr="005F62F4">
        <w:t>virtual surgical planning</w:t>
      </w:r>
      <w:r w:rsidR="00413E0B" w:rsidRPr="005F62F4">
        <w:t xml:space="preserve"> </w:t>
      </w:r>
      <w:r w:rsidR="0092581F" w:rsidRPr="005F62F4">
        <w:t xml:space="preserve">(and virtual </w:t>
      </w:r>
      <w:proofErr w:type="spellStart"/>
      <w:r w:rsidR="0092581F" w:rsidRPr="005F62F4">
        <w:t>biomodels</w:t>
      </w:r>
      <w:proofErr w:type="spellEnd"/>
      <w:r w:rsidR="0092581F" w:rsidRPr="005F62F4">
        <w:t xml:space="preserve">) </w:t>
      </w:r>
      <w:r w:rsidR="00413E0B" w:rsidRPr="005F62F4">
        <w:t>either through the PL or via the MBS</w:t>
      </w:r>
      <w:r w:rsidR="006477C7" w:rsidRPr="005F62F4">
        <w:t xml:space="preserve">. Virtual surgical planning is </w:t>
      </w:r>
      <w:r w:rsidR="00CB7037" w:rsidRPr="005F62F4">
        <w:t xml:space="preserve">currently ‘absorbed’ in the benefit for surgical guides and </w:t>
      </w:r>
      <w:proofErr w:type="spellStart"/>
      <w:r w:rsidR="00CB7037" w:rsidRPr="005F62F4">
        <w:t>biomodels</w:t>
      </w:r>
      <w:proofErr w:type="spellEnd"/>
      <w:r w:rsidR="00C3422A" w:rsidRPr="005F62F4">
        <w:t xml:space="preserve"> (</w:t>
      </w:r>
      <w:r w:rsidR="00CB7037" w:rsidRPr="005F62F4">
        <w:t>as well as patient-specific implants</w:t>
      </w:r>
      <w:r w:rsidR="00C3422A" w:rsidRPr="005F62F4">
        <w:t>) listed on the PL,</w:t>
      </w:r>
      <w:r w:rsidR="007A44DB" w:rsidRPr="005F62F4">
        <w:t xml:space="preserve"> </w:t>
      </w:r>
      <w:r w:rsidR="00814006" w:rsidRPr="005F62F4">
        <w:t xml:space="preserve">meaning that </w:t>
      </w:r>
      <w:r w:rsidR="00C3422A" w:rsidRPr="005F62F4">
        <w:t>it</w:t>
      </w:r>
      <w:r w:rsidR="00814006" w:rsidRPr="005F62F4">
        <w:t xml:space="preserve"> may be effectively funded multiple times for </w:t>
      </w:r>
      <w:r w:rsidR="00C3422A" w:rsidRPr="005F62F4">
        <w:t>a single</w:t>
      </w:r>
      <w:r w:rsidR="00814006" w:rsidRPr="005F62F4">
        <w:t xml:space="preserve"> procedure</w:t>
      </w:r>
      <w:r w:rsidR="00CB7037" w:rsidRPr="005F62F4">
        <w:t>.</w:t>
      </w:r>
    </w:p>
    <w:p w14:paraId="1F6A6C80" w14:textId="346D45F4" w:rsidR="000453DB" w:rsidRPr="005F62F4" w:rsidRDefault="00562942" w:rsidP="00C9242A">
      <w:pPr>
        <w:pStyle w:val="Bullet1Keep"/>
      </w:pPr>
      <w:r w:rsidRPr="005F62F4">
        <w:rPr>
          <w:rStyle w:val="Strong"/>
        </w:rPr>
        <w:t>R</w:t>
      </w:r>
      <w:r w:rsidR="00DA52F7" w:rsidRPr="005F62F4">
        <w:rPr>
          <w:rStyle w:val="Strong"/>
        </w:rPr>
        <w:t>eview</w:t>
      </w:r>
      <w:r w:rsidR="00A736BB" w:rsidRPr="005F62F4">
        <w:rPr>
          <w:rStyle w:val="Strong"/>
        </w:rPr>
        <w:t>ing</w:t>
      </w:r>
      <w:r w:rsidRPr="005F62F4">
        <w:rPr>
          <w:rStyle w:val="Strong"/>
        </w:rPr>
        <w:t xml:space="preserve"> costs</w:t>
      </w:r>
      <w:r w:rsidR="00DA52F7" w:rsidRPr="005F62F4">
        <w:rPr>
          <w:rStyle w:val="Strong"/>
        </w:rPr>
        <w:t xml:space="preserve"> </w:t>
      </w:r>
      <w:r w:rsidR="00DA52F7" w:rsidRPr="005F62F4">
        <w:t xml:space="preserve">to </w:t>
      </w:r>
      <w:r w:rsidR="000453DB" w:rsidRPr="005F62F4">
        <w:t>ensure that:</w:t>
      </w:r>
    </w:p>
    <w:p w14:paraId="426C0F95" w14:textId="44E91CDA" w:rsidR="00191C15" w:rsidRPr="005F62F4" w:rsidRDefault="00DA5836" w:rsidP="00C9242A">
      <w:pPr>
        <w:pStyle w:val="Bullet2"/>
      </w:pPr>
      <w:r w:rsidRPr="005F62F4">
        <w:t>t</w:t>
      </w:r>
      <w:r w:rsidR="000453DB" w:rsidRPr="005F62F4">
        <w:t>he PL benefits listed are in line with manufacturing costs</w:t>
      </w:r>
    </w:p>
    <w:p w14:paraId="59270E98" w14:textId="26F47829" w:rsidR="00046381" w:rsidRPr="005F62F4" w:rsidRDefault="00DA5836" w:rsidP="00C9242A">
      <w:pPr>
        <w:pStyle w:val="Bullet2"/>
      </w:pPr>
      <w:r w:rsidRPr="005F62F4">
        <w:t>t</w:t>
      </w:r>
      <w:r w:rsidR="00191C15" w:rsidRPr="005F62F4">
        <w:t xml:space="preserve">he PL benefits paid for surgical guides and </w:t>
      </w:r>
      <w:proofErr w:type="spellStart"/>
      <w:r w:rsidR="00191C15" w:rsidRPr="005F62F4">
        <w:t>biomodels</w:t>
      </w:r>
      <w:proofErr w:type="spellEnd"/>
      <w:r w:rsidR="00191C15" w:rsidRPr="005F62F4">
        <w:t xml:space="preserve"> are proportionate to the </w:t>
      </w:r>
      <w:r w:rsidR="0055670B" w:rsidRPr="005F62F4">
        <w:t>cost of the surgery and the cost of the implants</w:t>
      </w:r>
    </w:p>
    <w:p w14:paraId="4769DA1B" w14:textId="34DE77EE" w:rsidR="00CD6DA8" w:rsidRPr="005F62F4" w:rsidRDefault="00DA5836" w:rsidP="00C9242A">
      <w:pPr>
        <w:pStyle w:val="Bullet2"/>
      </w:pPr>
      <w:r w:rsidRPr="005F62F4">
        <w:t>t</w:t>
      </w:r>
      <w:r w:rsidR="00CD6DA8" w:rsidRPr="005F62F4">
        <w:t>he costs of products are comparable to the minimum prices available in the public sector and overseas</w:t>
      </w:r>
      <w:r w:rsidR="00422D83" w:rsidRPr="005F62F4">
        <w:t>.</w:t>
      </w:r>
    </w:p>
    <w:p w14:paraId="46926EE5" w14:textId="77777777" w:rsidR="007D5F25" w:rsidRPr="00017F61" w:rsidRDefault="007D5F25" w:rsidP="00017F61">
      <w:bookmarkStart w:id="237" w:name="_Ref120199658"/>
      <w:r w:rsidRPr="00017F61">
        <w:br w:type="page"/>
      </w:r>
    </w:p>
    <w:p w14:paraId="446851A2" w14:textId="0A825F65" w:rsidR="009E1CB4" w:rsidRPr="005F62F4" w:rsidRDefault="009E1CB4" w:rsidP="00B81D29">
      <w:pPr>
        <w:pStyle w:val="Heading3"/>
      </w:pPr>
      <w:r w:rsidRPr="005F62F4">
        <w:lastRenderedPageBreak/>
        <w:t>Further and stronger evidence</w:t>
      </w:r>
    </w:p>
    <w:p w14:paraId="76C3F3D1" w14:textId="2917ECCD" w:rsidR="00754667" w:rsidRPr="005F62F4" w:rsidRDefault="00245446" w:rsidP="00F728DC">
      <w:pPr>
        <w:pStyle w:val="ParaKeep"/>
      </w:pPr>
      <w:r w:rsidRPr="005F62F4">
        <w:t>S</w:t>
      </w:r>
      <w:r w:rsidR="00754667" w:rsidRPr="005F62F4">
        <w:t>ome s</w:t>
      </w:r>
      <w:r w:rsidRPr="005F62F4">
        <w:t xml:space="preserve">takeholders noted the need for </w:t>
      </w:r>
      <w:r w:rsidR="00754667" w:rsidRPr="005F62F4">
        <w:t xml:space="preserve">more </w:t>
      </w:r>
      <w:r w:rsidR="00F62811" w:rsidRPr="005F62F4">
        <w:t>and/or higher</w:t>
      </w:r>
      <w:r w:rsidR="0007491B">
        <w:t>-</w:t>
      </w:r>
      <w:r w:rsidR="00F62811" w:rsidRPr="005F62F4">
        <w:t xml:space="preserve">quality </w:t>
      </w:r>
      <w:r w:rsidR="00754667" w:rsidRPr="005F62F4">
        <w:t xml:space="preserve">evidence for both the clinical effectiveness and relative costs of surgical guides and </w:t>
      </w:r>
      <w:proofErr w:type="spellStart"/>
      <w:r w:rsidR="00754667" w:rsidRPr="005F62F4">
        <w:t>biomodels</w:t>
      </w:r>
      <w:proofErr w:type="spellEnd"/>
      <w:r w:rsidR="00754667" w:rsidRPr="005F62F4">
        <w:t xml:space="preserve"> to inform funding decisions.</w:t>
      </w:r>
      <w:r w:rsidR="00193DD4" w:rsidRPr="005F62F4">
        <w:rPr>
          <w:rStyle w:val="FootnoteReference"/>
        </w:rPr>
        <w:footnoteReference w:id="21"/>
      </w:r>
      <w:r w:rsidR="00754667" w:rsidRPr="005F62F4">
        <w:t xml:space="preserve"> However, </w:t>
      </w:r>
      <w:r w:rsidR="00387E3E" w:rsidRPr="005F62F4">
        <w:t>others suggested that these products already represented the standard of care</w:t>
      </w:r>
      <w:r w:rsidR="00026933" w:rsidRPr="005F62F4">
        <w:t xml:space="preserve"> in some instances, and that </w:t>
      </w:r>
      <w:r w:rsidR="00B8116E" w:rsidRPr="005F62F4">
        <w:t>the need for</w:t>
      </w:r>
      <w:r w:rsidR="00643431" w:rsidRPr="005F62F4">
        <w:t xml:space="preserve"> economic evaluation should </w:t>
      </w:r>
      <w:r w:rsidR="00B8116E" w:rsidRPr="005F62F4">
        <w:t>b</w:t>
      </w:r>
      <w:r w:rsidR="00643431" w:rsidRPr="005F62F4">
        <w:t>e balanced wit</w:t>
      </w:r>
      <w:r w:rsidR="00B8116E" w:rsidRPr="005F62F4">
        <w:t>h</w:t>
      </w:r>
      <w:r w:rsidR="00643431" w:rsidRPr="005F62F4">
        <w:t xml:space="preserve"> the need to invest in innovation and development.</w:t>
      </w:r>
    </w:p>
    <w:p w14:paraId="74A757ED" w14:textId="0C7FA8C5" w:rsidR="00832970" w:rsidRPr="005F62F4" w:rsidRDefault="00832970" w:rsidP="003C01CC">
      <w:pPr>
        <w:pStyle w:val="Pullquote"/>
      </w:pPr>
      <w:r w:rsidRPr="005F62F4">
        <w:t>Post-listing reviews need to find the balance in acknowledging that that early stages of developing medical innovation can cost more but can also deliver increased efficiency and/or improved clinical outcomes into the future</w:t>
      </w:r>
      <w:r w:rsidR="00296E4B" w:rsidRPr="005F62F4">
        <w:t>…This is a developing area of prostheses use and should be supported unless there is more definitive evidence of reduced clinical outcomes or excessive costs.</w:t>
      </w:r>
      <w:r w:rsidRPr="005F62F4">
        <w:t xml:space="preserve"> (Peak body)</w:t>
      </w:r>
    </w:p>
    <w:p w14:paraId="315AE41F" w14:textId="15E43510" w:rsidR="00210B79" w:rsidRPr="005F62F4" w:rsidRDefault="00210B79" w:rsidP="00210B79">
      <w:pPr>
        <w:pStyle w:val="Para"/>
      </w:pPr>
      <w:r w:rsidRPr="005F62F4">
        <w:t xml:space="preserve">Many stakeholders noted the clinical importance of surgical guides and </w:t>
      </w:r>
      <w:proofErr w:type="spellStart"/>
      <w:r w:rsidRPr="005F62F4">
        <w:t>biomodels</w:t>
      </w:r>
      <w:proofErr w:type="spellEnd"/>
      <w:r w:rsidRPr="005F62F4">
        <w:t>, regardless of the question of PL eligibility, and highlighted the need for alternative funding models to be in place should they be removed from the PL</w:t>
      </w:r>
      <w:r w:rsidR="00E611B7" w:rsidRPr="005F62F4">
        <w:t xml:space="preserve"> (or limited to </w:t>
      </w:r>
      <w:r w:rsidR="007B3CF0" w:rsidRPr="005F62F4">
        <w:t>certain circumstances)</w:t>
      </w:r>
      <w:r w:rsidRPr="005F62F4">
        <w:t>.</w:t>
      </w:r>
      <w:r w:rsidR="00934C91" w:rsidRPr="005F62F4">
        <w:t xml:space="preserve"> They highlighted that failure to consider this is likely to have unintended consequences, as</w:t>
      </w:r>
      <w:r w:rsidR="00306539" w:rsidRPr="005F62F4">
        <w:t xml:space="preserve"> the funding burden would be shifted, for example</w:t>
      </w:r>
      <w:r w:rsidR="006477C7" w:rsidRPr="005F62F4">
        <w:t>,</w:t>
      </w:r>
      <w:r w:rsidR="00306539" w:rsidRPr="005F62F4">
        <w:t xml:space="preserve"> to the public sector </w:t>
      </w:r>
      <w:r w:rsidR="00356893" w:rsidRPr="005F62F4">
        <w:t>or to patients.</w:t>
      </w:r>
    </w:p>
    <w:p w14:paraId="484ECFD2" w14:textId="146302B9" w:rsidR="008B5CE8" w:rsidRPr="005F62F4" w:rsidRDefault="00BD5D10" w:rsidP="00E969B9">
      <w:pPr>
        <w:pStyle w:val="Para"/>
      </w:pPr>
      <w:r w:rsidRPr="005F62F4">
        <w:t>W</w:t>
      </w:r>
      <w:r w:rsidR="005346AD" w:rsidRPr="005F62F4" w:rsidDel="00046381">
        <w:t xml:space="preserve">hile outside the scope of this review, </w:t>
      </w:r>
      <w:r w:rsidR="000142DB" w:rsidRPr="005F62F4">
        <w:t>surgeons</w:t>
      </w:r>
      <w:r w:rsidR="008B5CE8" w:rsidRPr="005F62F4" w:rsidDel="00046381">
        <w:t xml:space="preserve"> suggested that t</w:t>
      </w:r>
      <w:r w:rsidR="008B5CE8" w:rsidRPr="005F62F4" w:rsidDel="009762C4">
        <w:t xml:space="preserve">he </w:t>
      </w:r>
      <w:r w:rsidR="00E969B9" w:rsidRPr="005F62F4">
        <w:t>costs</w:t>
      </w:r>
      <w:r w:rsidR="008B5CE8" w:rsidRPr="005F62F4">
        <w:t xml:space="preserve"> </w:t>
      </w:r>
      <w:r w:rsidR="005346AD" w:rsidRPr="005F62F4">
        <w:t xml:space="preserve">and </w:t>
      </w:r>
      <w:r w:rsidR="00E969B9" w:rsidRPr="005F62F4">
        <w:t>benefits</w:t>
      </w:r>
      <w:r w:rsidR="005346AD" w:rsidRPr="005F62F4">
        <w:t xml:space="preserve"> </w:t>
      </w:r>
      <w:r w:rsidR="008B5CE8" w:rsidRPr="005F62F4">
        <w:t>of point</w:t>
      </w:r>
      <w:r w:rsidR="00E969B9" w:rsidRPr="005F62F4">
        <w:t>-</w:t>
      </w:r>
      <w:r w:rsidR="008B5CE8" w:rsidRPr="005F62F4">
        <w:t>of</w:t>
      </w:r>
      <w:r w:rsidR="00E969B9" w:rsidRPr="005F62F4">
        <w:t>-</w:t>
      </w:r>
      <w:r w:rsidR="008B5CE8" w:rsidRPr="005F62F4">
        <w:t>care manufacturing hubs</w:t>
      </w:r>
      <w:r w:rsidR="008B5CE8" w:rsidRPr="005F62F4" w:rsidDel="009762C4">
        <w:t xml:space="preserve"> </w:t>
      </w:r>
      <w:r w:rsidR="005346AD" w:rsidRPr="005F62F4" w:rsidDel="009762C4">
        <w:t xml:space="preserve">be </w:t>
      </w:r>
      <w:r w:rsidR="00DC68E4" w:rsidRPr="005F62F4" w:rsidDel="009762C4">
        <w:t xml:space="preserve">further </w:t>
      </w:r>
      <w:r w:rsidR="005346AD" w:rsidRPr="005F62F4" w:rsidDel="009762C4">
        <w:t>explored, noting that such facilities are currently operating both</w:t>
      </w:r>
      <w:r w:rsidR="008B5CE8" w:rsidRPr="005F62F4" w:rsidDel="009762C4">
        <w:t xml:space="preserve"> in Australia and overseas</w:t>
      </w:r>
      <w:r w:rsidR="005346AD" w:rsidRPr="005F62F4">
        <w:t>.</w:t>
      </w:r>
      <w:bookmarkEnd w:id="237"/>
    </w:p>
    <w:p w14:paraId="5A5A85D5" w14:textId="77777777" w:rsidR="007D5F25" w:rsidRPr="00017F61" w:rsidRDefault="007D5F25" w:rsidP="00017F61">
      <w:r w:rsidRPr="00017F61">
        <w:br w:type="page"/>
      </w:r>
    </w:p>
    <w:p w14:paraId="298DD9ED" w14:textId="6A1FA06E" w:rsidR="00063F13" w:rsidRPr="005F62F4" w:rsidRDefault="00063F13" w:rsidP="004F2931">
      <w:pPr>
        <w:pStyle w:val="Heading3"/>
      </w:pPr>
      <w:r w:rsidRPr="005F62F4">
        <w:lastRenderedPageBreak/>
        <w:t>Review of governance arrangements</w:t>
      </w:r>
    </w:p>
    <w:p w14:paraId="282FF96E" w14:textId="6ED47051" w:rsidR="008479C0" w:rsidRPr="005F62F4" w:rsidRDefault="008479C0" w:rsidP="002D125E">
      <w:pPr>
        <w:pStyle w:val="Para"/>
      </w:pPr>
      <w:r w:rsidRPr="005F62F4">
        <w:t>Some sta</w:t>
      </w:r>
      <w:r w:rsidR="003F4AA9" w:rsidRPr="005F62F4">
        <w:t xml:space="preserve">keholders suggested </w:t>
      </w:r>
      <w:r w:rsidR="001E6414" w:rsidRPr="005F62F4">
        <w:t>that the PL may benefit from</w:t>
      </w:r>
      <w:r w:rsidR="003F4AA9" w:rsidRPr="005F62F4">
        <w:t xml:space="preserve"> more</w:t>
      </w:r>
      <w:r w:rsidR="003F4AA9" w:rsidRPr="005F62F4">
        <w:rPr>
          <w:b/>
          <w:bCs/>
        </w:rPr>
        <w:t xml:space="preserve"> r</w:t>
      </w:r>
      <w:r w:rsidR="002D125E" w:rsidRPr="005F62F4">
        <w:rPr>
          <w:b/>
          <w:bCs/>
        </w:rPr>
        <w:t>obust governance arrangements</w:t>
      </w:r>
      <w:r w:rsidR="002D125E" w:rsidRPr="005F62F4">
        <w:t xml:space="preserve"> that include </w:t>
      </w:r>
      <w:r w:rsidR="00F72927" w:rsidRPr="005F62F4">
        <w:t xml:space="preserve">a fit-for-purpose clinical advisory group and </w:t>
      </w:r>
      <w:r w:rsidR="002D125E" w:rsidRPr="005F62F4">
        <w:t xml:space="preserve">mechanisms for ongoing consultation and engagement with </w:t>
      </w:r>
      <w:r w:rsidR="00124E04" w:rsidRPr="005F62F4">
        <w:t>clinical experts</w:t>
      </w:r>
      <w:r w:rsidR="00D21E5C" w:rsidRPr="005F62F4">
        <w:t>, industry representatives and sponsors</w:t>
      </w:r>
      <w:r w:rsidR="00124E04" w:rsidRPr="005F62F4">
        <w:t>.</w:t>
      </w:r>
    </w:p>
    <w:p w14:paraId="0FB65F97" w14:textId="66E5B488" w:rsidR="00435C1D" w:rsidRPr="005F62F4" w:rsidRDefault="00BC71CC" w:rsidP="00E969B9">
      <w:pPr>
        <w:pStyle w:val="Para"/>
      </w:pPr>
      <w:r w:rsidRPr="005F62F4">
        <w:t>One sta</w:t>
      </w:r>
      <w:r w:rsidR="00132CFE" w:rsidRPr="005F62F4">
        <w:t xml:space="preserve">keholder suggested </w:t>
      </w:r>
      <w:r w:rsidR="004B04C9" w:rsidRPr="005F62F4">
        <w:t xml:space="preserve">that </w:t>
      </w:r>
      <w:r w:rsidR="00774B75" w:rsidRPr="005F62F4">
        <w:t xml:space="preserve">PLAC </w:t>
      </w:r>
      <w:r w:rsidR="00C31DF6" w:rsidRPr="005F62F4">
        <w:t xml:space="preserve">– </w:t>
      </w:r>
      <w:r w:rsidR="007322E1" w:rsidRPr="005F62F4">
        <w:t>or the new Medical Devices and Human Tissue Advisory Committee (MDHTAC)</w:t>
      </w:r>
      <w:r w:rsidR="004B04C9" w:rsidRPr="005F62F4">
        <w:t xml:space="preserve"> </w:t>
      </w:r>
      <w:r w:rsidR="00C31DF6" w:rsidRPr="005F62F4">
        <w:t xml:space="preserve">– </w:t>
      </w:r>
      <w:r w:rsidR="00DE6507" w:rsidRPr="005F62F4">
        <w:t>may be</w:t>
      </w:r>
      <w:r w:rsidR="00C31DF6" w:rsidRPr="005F62F4">
        <w:t xml:space="preserve"> appropriately placed</w:t>
      </w:r>
      <w:r w:rsidR="00DE6507" w:rsidRPr="005F62F4">
        <w:t xml:space="preserve"> to provide and/or facilitate such consultation and governance mechanisms.</w:t>
      </w:r>
      <w:r w:rsidR="00E525D6" w:rsidRPr="005F62F4">
        <w:rPr>
          <w:rStyle w:val="FootnoteReference"/>
        </w:rPr>
        <w:footnoteReference w:id="22"/>
      </w:r>
      <w:r w:rsidR="00DE6507" w:rsidRPr="005F62F4">
        <w:t xml:space="preserve"> However, this (</w:t>
      </w:r>
      <w:proofErr w:type="gramStart"/>
      <w:r w:rsidR="00DE6507" w:rsidRPr="005F62F4">
        <w:t>i.e.</w:t>
      </w:r>
      <w:proofErr w:type="gramEnd"/>
      <w:r w:rsidR="00DE6507" w:rsidRPr="005F62F4">
        <w:t xml:space="preserve"> consideration of broader eligibility and restriction issues) may represent an expansion of the currently defined role of these committees.</w:t>
      </w:r>
    </w:p>
    <w:p w14:paraId="11983C9F" w14:textId="77777777" w:rsidR="00830B8B" w:rsidRPr="005F62F4" w:rsidRDefault="00830B8B" w:rsidP="00E969B9">
      <w:pPr>
        <w:pStyle w:val="Para"/>
        <w:sectPr w:rsidR="00830B8B" w:rsidRPr="005F62F4" w:rsidSect="006653A9">
          <w:pgSz w:w="11906" w:h="16838"/>
          <w:pgMar w:top="1134" w:right="1134" w:bottom="1134" w:left="1440" w:header="708" w:footer="708" w:gutter="0"/>
          <w:cols w:space="708"/>
          <w:titlePg/>
          <w:docGrid w:linePitch="360"/>
        </w:sectPr>
      </w:pPr>
    </w:p>
    <w:p w14:paraId="3E4DD679" w14:textId="6FF5C913" w:rsidR="003F3A81" w:rsidRPr="005F62F4" w:rsidRDefault="00196CDB" w:rsidP="004F2931">
      <w:pPr>
        <w:pStyle w:val="Heading1"/>
      </w:pPr>
      <w:bookmarkStart w:id="238" w:name="_Toc120178335"/>
      <w:bookmarkStart w:id="239" w:name="_Ref120199691"/>
      <w:bookmarkStart w:id="240" w:name="_Toc129954616"/>
      <w:r w:rsidRPr="005F62F4">
        <w:lastRenderedPageBreak/>
        <w:t xml:space="preserve">: </w:t>
      </w:r>
      <w:r w:rsidR="003C7438" w:rsidRPr="005F62F4">
        <w:t>Conclusions</w:t>
      </w:r>
      <w:bookmarkEnd w:id="238"/>
      <w:bookmarkEnd w:id="239"/>
      <w:bookmarkEnd w:id="240"/>
    </w:p>
    <w:p w14:paraId="6C3B3C9F" w14:textId="2F2DACCE" w:rsidR="00055987" w:rsidRPr="005F62F4" w:rsidRDefault="007A19D0" w:rsidP="001D18D7">
      <w:pPr>
        <w:pStyle w:val="Para"/>
        <w:rPr>
          <w:lang w:eastAsia="en-AU"/>
        </w:rPr>
      </w:pPr>
      <w:r w:rsidRPr="005F62F4">
        <w:rPr>
          <w:lang w:eastAsia="en-AU"/>
        </w:rPr>
        <w:t xml:space="preserve">As noted </w:t>
      </w:r>
      <w:r w:rsidR="00234421" w:rsidRPr="005F62F4">
        <w:rPr>
          <w:lang w:eastAsia="en-AU"/>
        </w:rPr>
        <w:t xml:space="preserve">in </w:t>
      </w:r>
      <w:r w:rsidR="00234421" w:rsidRPr="005F62F4">
        <w:rPr>
          <w:lang w:eastAsia="en-AU"/>
        </w:rPr>
        <w:fldChar w:fldCharType="begin"/>
      </w:r>
      <w:r w:rsidR="00234421" w:rsidRPr="005F62F4">
        <w:rPr>
          <w:lang w:eastAsia="en-AU"/>
        </w:rPr>
        <w:instrText xml:space="preserve"> REF _Ref119344810 \n \h </w:instrText>
      </w:r>
      <w:r w:rsidR="005F62F4">
        <w:rPr>
          <w:lang w:eastAsia="en-AU"/>
        </w:rPr>
        <w:instrText xml:space="preserve"> \* MERGEFORMAT </w:instrText>
      </w:r>
      <w:r w:rsidR="00234421" w:rsidRPr="005F62F4">
        <w:rPr>
          <w:lang w:eastAsia="en-AU"/>
        </w:rPr>
      </w:r>
      <w:r w:rsidR="00234421" w:rsidRPr="005F62F4">
        <w:rPr>
          <w:lang w:eastAsia="en-AU"/>
        </w:rPr>
        <w:fldChar w:fldCharType="separate"/>
      </w:r>
      <w:r w:rsidR="005606BF">
        <w:rPr>
          <w:lang w:eastAsia="en-AU"/>
        </w:rPr>
        <w:t>Section 4</w:t>
      </w:r>
      <w:r w:rsidR="00234421" w:rsidRPr="005F62F4">
        <w:rPr>
          <w:lang w:eastAsia="en-AU"/>
        </w:rPr>
        <w:fldChar w:fldCharType="end"/>
      </w:r>
      <w:r w:rsidRPr="005F62F4">
        <w:rPr>
          <w:lang w:eastAsia="en-AU"/>
        </w:rPr>
        <w:t xml:space="preserve">, the terms used in the PL </w:t>
      </w:r>
      <w:r w:rsidR="002E3A7A" w:rsidRPr="005F62F4">
        <w:rPr>
          <w:lang w:eastAsia="en-AU"/>
        </w:rPr>
        <w:t>g</w:t>
      </w:r>
      <w:r w:rsidRPr="005F62F4">
        <w:rPr>
          <w:lang w:eastAsia="en-AU"/>
        </w:rPr>
        <w:t xml:space="preserve">uide to define the eligibility of surgical guides and </w:t>
      </w:r>
      <w:proofErr w:type="spellStart"/>
      <w:r w:rsidRPr="005F62F4">
        <w:rPr>
          <w:lang w:eastAsia="en-AU"/>
        </w:rPr>
        <w:t>biomodels</w:t>
      </w:r>
      <w:proofErr w:type="spellEnd"/>
      <w:r w:rsidRPr="005F62F4">
        <w:rPr>
          <w:lang w:eastAsia="en-AU"/>
        </w:rPr>
        <w:t xml:space="preserve"> are open to interpretation. </w:t>
      </w:r>
      <w:r w:rsidR="002F2650" w:rsidRPr="005F62F4">
        <w:rPr>
          <w:lang w:eastAsia="en-AU"/>
        </w:rPr>
        <w:t xml:space="preserve">Based on our review, we have </w:t>
      </w:r>
      <w:r w:rsidR="00002160" w:rsidRPr="005F62F4">
        <w:rPr>
          <w:lang w:eastAsia="en-AU"/>
        </w:rPr>
        <w:t xml:space="preserve">given some context and clarity to each of these terms and discussed the extent to which the in-scope surgical guides and </w:t>
      </w:r>
      <w:proofErr w:type="spellStart"/>
      <w:r w:rsidR="00002160" w:rsidRPr="005F62F4">
        <w:rPr>
          <w:lang w:eastAsia="en-AU"/>
        </w:rPr>
        <w:t>biomodels</w:t>
      </w:r>
      <w:proofErr w:type="spellEnd"/>
      <w:r w:rsidR="00002160" w:rsidRPr="005F62F4">
        <w:rPr>
          <w:lang w:eastAsia="en-AU"/>
        </w:rPr>
        <w:t xml:space="preserve"> meet these criteria. We have found that eligibility likely depends on </w:t>
      </w:r>
      <w:proofErr w:type="gramStart"/>
      <w:r w:rsidR="00002160" w:rsidRPr="005F62F4">
        <w:rPr>
          <w:lang w:eastAsia="en-AU"/>
        </w:rPr>
        <w:t>a number of</w:t>
      </w:r>
      <w:proofErr w:type="gramEnd"/>
      <w:r w:rsidR="00002160" w:rsidRPr="005F62F4">
        <w:rPr>
          <w:lang w:eastAsia="en-AU"/>
        </w:rPr>
        <w:t xml:space="preserve"> factors, including </w:t>
      </w:r>
      <w:r w:rsidR="008B782B" w:rsidRPr="005F62F4">
        <w:rPr>
          <w:lang w:eastAsia="en-AU"/>
        </w:rPr>
        <w:t>clinical circumstances (such as type and complexity of</w:t>
      </w:r>
      <w:r w:rsidR="00710421" w:rsidRPr="005F62F4">
        <w:rPr>
          <w:lang w:eastAsia="en-AU"/>
        </w:rPr>
        <w:t xml:space="preserve"> implant surgery).</w:t>
      </w:r>
    </w:p>
    <w:p w14:paraId="107657A7" w14:textId="005FA653" w:rsidR="009B089D" w:rsidRPr="005F62F4" w:rsidRDefault="009B089D" w:rsidP="00422D83">
      <w:pPr>
        <w:pStyle w:val="ParaKeep"/>
      </w:pPr>
      <w:r w:rsidRPr="005F62F4">
        <w:t xml:space="preserve">We </w:t>
      </w:r>
      <w:r w:rsidR="00CB3449" w:rsidRPr="005F62F4">
        <w:t>suggest</w:t>
      </w:r>
      <w:r w:rsidRPr="005F62F4">
        <w:t xml:space="preserve"> that the department </w:t>
      </w:r>
      <w:r w:rsidR="00DF4861" w:rsidRPr="005F62F4">
        <w:t>consider:</w:t>
      </w:r>
    </w:p>
    <w:p w14:paraId="516C0F26" w14:textId="154BAED5" w:rsidR="00DF4861" w:rsidRPr="005F62F4" w:rsidRDefault="00DF4861" w:rsidP="00422D83">
      <w:pPr>
        <w:pStyle w:val="Bullet1"/>
      </w:pPr>
      <w:r w:rsidRPr="005F62F4">
        <w:t>Clarifying PL eligibility criteria (</w:t>
      </w:r>
      <w:r w:rsidR="00EB2B8A" w:rsidRPr="005F62F4">
        <w:t>and giving examples of eligible</w:t>
      </w:r>
      <w:r w:rsidR="00156EBC" w:rsidRPr="005F62F4">
        <w:t xml:space="preserve"> and </w:t>
      </w:r>
      <w:r w:rsidR="00EB2B8A" w:rsidRPr="005F62F4">
        <w:t xml:space="preserve">ineligible types and usage of surgical guides and </w:t>
      </w:r>
      <w:proofErr w:type="spellStart"/>
      <w:r w:rsidR="00EB2B8A" w:rsidRPr="005F62F4">
        <w:t>biomodels</w:t>
      </w:r>
      <w:proofErr w:type="spellEnd"/>
      <w:r w:rsidR="009D14A8" w:rsidRPr="005F62F4">
        <w:t>)</w:t>
      </w:r>
      <w:r w:rsidR="00F66037" w:rsidRPr="005F62F4">
        <w:t>.</w:t>
      </w:r>
      <w:r w:rsidR="00836ADB" w:rsidRPr="005F62F4">
        <w:t xml:space="preserve"> This could include </w:t>
      </w:r>
      <w:r w:rsidR="00E94402" w:rsidRPr="005F62F4">
        <w:t>the development of regularly</w:t>
      </w:r>
      <w:r w:rsidR="00F42F75" w:rsidRPr="005F62F4">
        <w:t xml:space="preserve"> </w:t>
      </w:r>
      <w:r w:rsidR="00E94402" w:rsidRPr="005F62F4">
        <w:t xml:space="preserve">updated guidelines </w:t>
      </w:r>
      <w:r w:rsidR="005D2A98" w:rsidRPr="005F62F4">
        <w:t>driven by expert clinicians.</w:t>
      </w:r>
    </w:p>
    <w:p w14:paraId="61C2B6A8" w14:textId="7527B2D7" w:rsidR="0068772B" w:rsidRPr="005F62F4" w:rsidRDefault="005C2BB6" w:rsidP="00422D83">
      <w:pPr>
        <w:pStyle w:val="Bullet1"/>
      </w:pPr>
      <w:r w:rsidRPr="005F62F4">
        <w:t>Addressing s</w:t>
      </w:r>
      <w:r w:rsidR="0068772B" w:rsidRPr="005F62F4">
        <w:t>ome of these issues in the context of concurrent work to reorganise</w:t>
      </w:r>
      <w:r w:rsidRPr="005F62F4">
        <w:t xml:space="preserve"> or </w:t>
      </w:r>
      <w:proofErr w:type="spellStart"/>
      <w:r w:rsidR="0068772B" w:rsidRPr="005F62F4">
        <w:t>recategori</w:t>
      </w:r>
      <w:r w:rsidR="0050412F" w:rsidRPr="005F62F4">
        <w:t>s</w:t>
      </w:r>
      <w:r w:rsidR="0068772B" w:rsidRPr="005F62F4">
        <w:t>e</w:t>
      </w:r>
      <w:proofErr w:type="spellEnd"/>
      <w:r w:rsidR="0068772B" w:rsidRPr="005F62F4">
        <w:t xml:space="preserve"> </w:t>
      </w:r>
      <w:r w:rsidR="007D5184" w:rsidRPr="005F62F4">
        <w:t xml:space="preserve">products currently listed on </w:t>
      </w:r>
      <w:r w:rsidR="0068772B" w:rsidRPr="005F62F4">
        <w:t>the PL</w:t>
      </w:r>
      <w:r w:rsidR="00F66037" w:rsidRPr="005F62F4">
        <w:t>.</w:t>
      </w:r>
    </w:p>
    <w:p w14:paraId="68D2ACE5" w14:textId="60038039" w:rsidR="007E4743" w:rsidRPr="005F62F4" w:rsidRDefault="007E4743" w:rsidP="00422D83">
      <w:pPr>
        <w:pStyle w:val="Bullet1"/>
      </w:pPr>
      <w:r w:rsidRPr="005F62F4">
        <w:t xml:space="preserve">Clarifying the role of </w:t>
      </w:r>
      <w:r w:rsidR="0054557A" w:rsidRPr="005F62F4">
        <w:t xml:space="preserve">and pricing structures for </w:t>
      </w:r>
      <w:r w:rsidRPr="005F62F4">
        <w:t>surgical guides</w:t>
      </w:r>
      <w:r w:rsidR="00A6310A" w:rsidRPr="005F62F4">
        <w:t xml:space="preserve"> and</w:t>
      </w:r>
      <w:r w:rsidRPr="005F62F4">
        <w:t xml:space="preserve"> </w:t>
      </w:r>
      <w:proofErr w:type="spellStart"/>
      <w:r w:rsidRPr="005F62F4">
        <w:t>biomodels</w:t>
      </w:r>
      <w:proofErr w:type="spellEnd"/>
      <w:r w:rsidRPr="005F62F4">
        <w:t xml:space="preserve"> </w:t>
      </w:r>
      <w:r w:rsidR="0054557A" w:rsidRPr="005F62F4">
        <w:t xml:space="preserve">supplied </w:t>
      </w:r>
      <w:r w:rsidR="00A6310A" w:rsidRPr="005F62F4">
        <w:t xml:space="preserve">as individual products </w:t>
      </w:r>
      <w:r w:rsidRPr="005F62F4">
        <w:t xml:space="preserve">and </w:t>
      </w:r>
      <w:r w:rsidR="00A6310A" w:rsidRPr="005F62F4">
        <w:t>as elements of</w:t>
      </w:r>
      <w:r w:rsidRPr="005F62F4">
        <w:t xml:space="preserve"> ‘kits’ or bundles currently listed on the PL</w:t>
      </w:r>
      <w:r w:rsidR="00F66037" w:rsidRPr="005F62F4">
        <w:t>.</w:t>
      </w:r>
    </w:p>
    <w:p w14:paraId="00EBB8DB" w14:textId="7AB1C901" w:rsidR="007519F7" w:rsidRPr="005F62F4" w:rsidRDefault="007519F7" w:rsidP="00422D83">
      <w:pPr>
        <w:pStyle w:val="Bullet1"/>
      </w:pPr>
      <w:r w:rsidRPr="005F62F4">
        <w:t>Considering alter</w:t>
      </w:r>
      <w:r w:rsidR="007D34C0" w:rsidRPr="005F62F4">
        <w:t>n</w:t>
      </w:r>
      <w:r w:rsidRPr="005F62F4">
        <w:t xml:space="preserve">ative </w:t>
      </w:r>
      <w:r w:rsidR="007D34C0" w:rsidRPr="005F62F4">
        <w:t>funding structures for virtual surgical planning</w:t>
      </w:r>
      <w:r w:rsidR="00D00616" w:rsidRPr="005F62F4">
        <w:t>.</w:t>
      </w:r>
    </w:p>
    <w:p w14:paraId="56AEE821" w14:textId="11C7137E" w:rsidR="00C35F3B" w:rsidRPr="005F62F4" w:rsidRDefault="007800B2" w:rsidP="00422D83">
      <w:pPr>
        <w:pStyle w:val="Bullet1Keep"/>
      </w:pPr>
      <w:r w:rsidRPr="005F62F4">
        <w:t xml:space="preserve">In consultation </w:t>
      </w:r>
      <w:r w:rsidR="0085781A" w:rsidRPr="005F62F4">
        <w:t>with relevant clinical experts, p</w:t>
      </w:r>
      <w:r w:rsidR="00F529D2" w:rsidRPr="005F62F4">
        <w:t xml:space="preserve">lacing </w:t>
      </w:r>
      <w:r w:rsidR="00C35F3B" w:rsidRPr="005F62F4">
        <w:t xml:space="preserve">limits on the benefits payable through the PL, </w:t>
      </w:r>
      <w:r w:rsidR="00F95D8B" w:rsidRPr="005F62F4">
        <w:t>for example</w:t>
      </w:r>
      <w:r w:rsidR="00C35F3B" w:rsidRPr="005F62F4">
        <w:t>:</w:t>
      </w:r>
    </w:p>
    <w:p w14:paraId="28405028" w14:textId="5FB61DCD" w:rsidR="007D5184" w:rsidRPr="005F62F4" w:rsidRDefault="00136D2B" w:rsidP="00A85FFB">
      <w:pPr>
        <w:pStyle w:val="Bullet2"/>
      </w:pPr>
      <w:r>
        <w:t>s</w:t>
      </w:r>
      <w:r w:rsidR="007D5184" w:rsidRPr="005F62F4">
        <w:t xml:space="preserve">pecifying the MBS </w:t>
      </w:r>
      <w:r w:rsidR="00084D6C" w:rsidRPr="005F62F4">
        <w:t xml:space="preserve">category or </w:t>
      </w:r>
      <w:r w:rsidR="007D5184" w:rsidRPr="005F62F4">
        <w:t xml:space="preserve">items </w:t>
      </w:r>
      <w:r w:rsidR="004B649E" w:rsidRPr="005F62F4">
        <w:t xml:space="preserve">for which surgical guides and </w:t>
      </w:r>
      <w:proofErr w:type="spellStart"/>
      <w:r w:rsidR="004B649E" w:rsidRPr="005F62F4">
        <w:t>biomodels</w:t>
      </w:r>
      <w:proofErr w:type="spellEnd"/>
      <w:r w:rsidR="004B649E" w:rsidRPr="005F62F4">
        <w:t xml:space="preserve"> </w:t>
      </w:r>
      <w:r w:rsidR="00F529D2" w:rsidRPr="005F62F4">
        <w:t>are eligible for benefits through the PL mechanism</w:t>
      </w:r>
    </w:p>
    <w:p w14:paraId="3EDB3CCD" w14:textId="56A75C8D" w:rsidR="00C35F3B" w:rsidRPr="005F62F4" w:rsidRDefault="00136D2B" w:rsidP="00A85FFB">
      <w:pPr>
        <w:pStyle w:val="Bullet2"/>
      </w:pPr>
      <w:r>
        <w:t>l</w:t>
      </w:r>
      <w:r w:rsidR="00C35F3B" w:rsidRPr="005F62F4">
        <w:t xml:space="preserve">imiting the number of surgical guides and </w:t>
      </w:r>
      <w:proofErr w:type="spellStart"/>
      <w:r w:rsidR="00C35F3B" w:rsidRPr="005F62F4">
        <w:t>biomodels</w:t>
      </w:r>
      <w:proofErr w:type="spellEnd"/>
      <w:r w:rsidR="00C35F3B" w:rsidRPr="005F62F4">
        <w:t xml:space="preserve"> </w:t>
      </w:r>
      <w:r w:rsidR="00A128DB" w:rsidRPr="005F62F4">
        <w:t xml:space="preserve">for which a PL benefit </w:t>
      </w:r>
      <w:r w:rsidR="001025BB" w:rsidRPr="005F62F4">
        <w:t>is paid per separation</w:t>
      </w:r>
    </w:p>
    <w:p w14:paraId="563C8035" w14:textId="662914EC" w:rsidR="00480740" w:rsidRPr="005F62F4" w:rsidRDefault="00136D2B" w:rsidP="00A85FFB">
      <w:pPr>
        <w:pStyle w:val="Bullet2"/>
      </w:pPr>
      <w:r>
        <w:t>c</w:t>
      </w:r>
      <w:r w:rsidR="00F95D8B" w:rsidRPr="005F62F4">
        <w:t>onsidering</w:t>
      </w:r>
      <w:r w:rsidR="00480740" w:rsidRPr="005F62F4">
        <w:t xml:space="preserve"> </w:t>
      </w:r>
      <w:r w:rsidR="006563B1" w:rsidRPr="005F62F4">
        <w:t xml:space="preserve">alternative </w:t>
      </w:r>
      <w:r w:rsidR="00480740" w:rsidRPr="005F62F4">
        <w:t xml:space="preserve">approaches to </w:t>
      </w:r>
      <w:r w:rsidR="00A572C4" w:rsidRPr="005F62F4">
        <w:t>listing of benefits, such as stratified or tiered appro</w:t>
      </w:r>
      <w:r w:rsidR="00061DAB" w:rsidRPr="005F62F4">
        <w:t>ac</w:t>
      </w:r>
      <w:r w:rsidR="00A572C4" w:rsidRPr="005F62F4">
        <w:t>hes</w:t>
      </w:r>
      <w:r w:rsidR="00F66037" w:rsidRPr="005F62F4">
        <w:t>.</w:t>
      </w:r>
    </w:p>
    <w:p w14:paraId="6FBF4CC3" w14:textId="55D5A719" w:rsidR="001025BB" w:rsidRPr="005F62F4" w:rsidRDefault="00F66037" w:rsidP="00422D83">
      <w:pPr>
        <w:pStyle w:val="Bullet1"/>
      </w:pPr>
      <w:r w:rsidRPr="005F62F4">
        <w:t>I</w:t>
      </w:r>
      <w:r w:rsidR="001025BB" w:rsidRPr="005F62F4">
        <w:t>nvestigating</w:t>
      </w:r>
      <w:r w:rsidR="006F2BD1" w:rsidRPr="005F62F4">
        <w:t>, and taking actions to address,</w:t>
      </w:r>
      <w:r w:rsidR="001025BB" w:rsidRPr="005F62F4">
        <w:t xml:space="preserve"> </w:t>
      </w:r>
      <w:r w:rsidR="002F266D" w:rsidRPr="005F62F4">
        <w:t xml:space="preserve">areas where benefits </w:t>
      </w:r>
      <w:r w:rsidR="006E331C" w:rsidRPr="005F62F4">
        <w:t xml:space="preserve">may </w:t>
      </w:r>
      <w:r w:rsidR="002F266D" w:rsidRPr="005F62F4">
        <w:t>be claimed inappropriat</w:t>
      </w:r>
      <w:r w:rsidR="006E185B" w:rsidRPr="005F62F4">
        <w:t>ely</w:t>
      </w:r>
      <w:r w:rsidR="002F266D" w:rsidRPr="005F62F4">
        <w:t xml:space="preserve"> (</w:t>
      </w:r>
      <w:proofErr w:type="gramStart"/>
      <w:r w:rsidR="002F266D" w:rsidRPr="005F62F4">
        <w:t>e.g.</w:t>
      </w:r>
      <w:proofErr w:type="gramEnd"/>
      <w:r w:rsidR="002F266D" w:rsidRPr="005F62F4">
        <w:t xml:space="preserve"> in the absence of a prosthesis</w:t>
      </w:r>
      <w:r w:rsidR="006E185B" w:rsidRPr="005F62F4">
        <w:t>, or where the procedure could be performed outside of a hospital or hospital-substitute setting</w:t>
      </w:r>
      <w:r w:rsidR="002F266D" w:rsidRPr="005F62F4">
        <w:t>)</w:t>
      </w:r>
      <w:r w:rsidRPr="005F62F4">
        <w:t>.</w:t>
      </w:r>
    </w:p>
    <w:p w14:paraId="49D3BAAA" w14:textId="579EA86E" w:rsidR="00FF07BE" w:rsidRPr="005F62F4" w:rsidRDefault="00FF07BE" w:rsidP="00136D2B">
      <w:pPr>
        <w:pStyle w:val="Bullet1Keep"/>
      </w:pPr>
      <w:r w:rsidRPr="005F62F4">
        <w:t xml:space="preserve">Conducting an economic analysis </w:t>
      </w:r>
      <w:r w:rsidR="0085781A" w:rsidRPr="005F62F4">
        <w:t>(</w:t>
      </w:r>
      <w:proofErr w:type="gramStart"/>
      <w:r w:rsidR="0085781A" w:rsidRPr="005F62F4">
        <w:t>e.g.</w:t>
      </w:r>
      <w:proofErr w:type="gramEnd"/>
      <w:r w:rsidR="0085781A" w:rsidRPr="005F62F4">
        <w:t xml:space="preserve"> IHACPA review) </w:t>
      </w:r>
      <w:r w:rsidRPr="005F62F4">
        <w:t>to:</w:t>
      </w:r>
    </w:p>
    <w:p w14:paraId="5AACD7E2" w14:textId="77777777" w:rsidR="00FF07BE" w:rsidRPr="005F62F4" w:rsidRDefault="00FF07BE" w:rsidP="00FF07BE">
      <w:pPr>
        <w:pStyle w:val="Bullet2"/>
      </w:pPr>
      <w:r w:rsidRPr="005F62F4">
        <w:t xml:space="preserve">review the benefit amounts specified on the PL for the listed surgical guides and </w:t>
      </w:r>
      <w:proofErr w:type="spellStart"/>
      <w:r w:rsidRPr="005F62F4">
        <w:t>biomodels</w:t>
      </w:r>
      <w:proofErr w:type="spellEnd"/>
      <w:r w:rsidRPr="005F62F4">
        <w:t>, for example to determine if the benefits listed on the PL are consistent with the cost of manufacture</w:t>
      </w:r>
    </w:p>
    <w:p w14:paraId="33E2E7EC" w14:textId="77777777" w:rsidR="00FF07BE" w:rsidRPr="005F62F4" w:rsidRDefault="00FF07BE" w:rsidP="00FF07BE">
      <w:pPr>
        <w:pStyle w:val="Bullet2"/>
      </w:pPr>
      <w:r w:rsidRPr="005F62F4">
        <w:t>explore whether the benefits paid are proportionate to other costs associated with implantation of prostheses (including other items supplied as part of kits)</w:t>
      </w:r>
    </w:p>
    <w:p w14:paraId="22E81503" w14:textId="4C15AB96" w:rsidR="00FF07BE" w:rsidRPr="005F62F4" w:rsidRDefault="00FF07BE" w:rsidP="00FF07BE">
      <w:pPr>
        <w:pStyle w:val="Bullet2"/>
      </w:pPr>
      <w:r w:rsidRPr="005F62F4">
        <w:t>determine whether the costs of products are comparable to the minimum prices available in the public sector and overseas.</w:t>
      </w:r>
    </w:p>
    <w:p w14:paraId="31F31DFF" w14:textId="06FD219A" w:rsidR="00BC511D" w:rsidRPr="005F62F4" w:rsidRDefault="00E3547B" w:rsidP="00BC511D">
      <w:pPr>
        <w:pStyle w:val="Bullet1"/>
      </w:pPr>
      <w:r w:rsidRPr="005F62F4">
        <w:t>Exploring options for</w:t>
      </w:r>
      <w:r w:rsidR="00176624" w:rsidRPr="005F62F4">
        <w:t xml:space="preserve"> </w:t>
      </w:r>
      <w:r w:rsidR="00C74016" w:rsidRPr="005F62F4">
        <w:t xml:space="preserve">future </w:t>
      </w:r>
      <w:r w:rsidR="00B37AB5" w:rsidRPr="005F62F4">
        <w:t xml:space="preserve">consultation </w:t>
      </w:r>
      <w:r w:rsidR="00244E8E" w:rsidRPr="005F62F4">
        <w:t xml:space="preserve">and governance </w:t>
      </w:r>
      <w:r w:rsidR="00B37AB5" w:rsidRPr="005F62F4">
        <w:t xml:space="preserve">arrangements </w:t>
      </w:r>
      <w:r w:rsidR="00244E8E" w:rsidRPr="005F62F4">
        <w:t xml:space="preserve">to ensure </w:t>
      </w:r>
      <w:r w:rsidR="003B01C2" w:rsidRPr="005F62F4">
        <w:t>any changes</w:t>
      </w:r>
      <w:r w:rsidR="00433074" w:rsidRPr="005F62F4">
        <w:t xml:space="preserve"> and guidance to the sector</w:t>
      </w:r>
      <w:r w:rsidR="003B01C2" w:rsidRPr="005F62F4">
        <w:t xml:space="preserve"> </w:t>
      </w:r>
      <w:r w:rsidR="00590AEB" w:rsidRPr="005F62F4">
        <w:t xml:space="preserve">are </w:t>
      </w:r>
      <w:r w:rsidR="00C74016" w:rsidRPr="005F62F4">
        <w:t xml:space="preserve">appropriately </w:t>
      </w:r>
      <w:r w:rsidR="00590AEB" w:rsidRPr="005F62F4">
        <w:t xml:space="preserve">informed by </w:t>
      </w:r>
      <w:r w:rsidR="00F60BBD" w:rsidRPr="005F62F4">
        <w:t xml:space="preserve">stakeholder </w:t>
      </w:r>
      <w:r w:rsidR="00590AEB" w:rsidRPr="005F62F4">
        <w:t>input</w:t>
      </w:r>
      <w:r w:rsidR="00591311" w:rsidRPr="005F62F4">
        <w:t>.</w:t>
      </w:r>
    </w:p>
    <w:p w14:paraId="73EA78C5" w14:textId="77777777" w:rsidR="004D1801" w:rsidRPr="005F62F4" w:rsidRDefault="004D1801" w:rsidP="004D1801">
      <w:bookmarkStart w:id="241" w:name="_Toc120178336"/>
      <w:r w:rsidRPr="005F62F4">
        <w:br w:type="page"/>
      </w:r>
    </w:p>
    <w:p w14:paraId="6E2C2CCD" w14:textId="140A8DB1" w:rsidR="00C71D62" w:rsidRPr="005F62F4" w:rsidRDefault="00B65991" w:rsidP="00F91352">
      <w:pPr>
        <w:pStyle w:val="Heading2"/>
      </w:pPr>
      <w:bookmarkStart w:id="242" w:name="_Toc129954617"/>
      <w:r w:rsidRPr="005F62F4">
        <w:lastRenderedPageBreak/>
        <w:t>Limitations</w:t>
      </w:r>
      <w:bookmarkEnd w:id="241"/>
      <w:bookmarkEnd w:id="242"/>
    </w:p>
    <w:p w14:paraId="690A768A" w14:textId="1724B6A9" w:rsidR="001467DC" w:rsidRPr="005F62F4" w:rsidRDefault="001467DC" w:rsidP="001D18D7">
      <w:pPr>
        <w:pStyle w:val="Para"/>
        <w:rPr>
          <w:lang w:eastAsia="en-AU"/>
        </w:rPr>
      </w:pPr>
      <w:r w:rsidRPr="005F62F4">
        <w:rPr>
          <w:rStyle w:val="Strong"/>
        </w:rPr>
        <w:t>Data limitation</w:t>
      </w:r>
      <w:r w:rsidR="00DD2ED4" w:rsidRPr="005F62F4">
        <w:rPr>
          <w:rStyle w:val="Strong"/>
        </w:rPr>
        <w:t>s:</w:t>
      </w:r>
      <w:r w:rsidR="00E66F2B" w:rsidRPr="005F62F4">
        <w:rPr>
          <w:lang w:eastAsia="en-AU"/>
        </w:rPr>
        <w:t xml:space="preserve"> </w:t>
      </w:r>
      <w:r w:rsidR="00F07B49" w:rsidRPr="005F62F4">
        <w:rPr>
          <w:lang w:eastAsia="en-AU"/>
        </w:rPr>
        <w:t>W</w:t>
      </w:r>
      <w:r w:rsidR="00E66F2B" w:rsidRPr="005F62F4">
        <w:rPr>
          <w:lang w:eastAsia="en-AU"/>
        </w:rPr>
        <w:t>e were unable to ascertain the extent to which PL-listed products are currently being used in complex CMF surgeries</w:t>
      </w:r>
      <w:r w:rsidR="004C608F" w:rsidRPr="005F62F4">
        <w:rPr>
          <w:lang w:eastAsia="en-AU"/>
        </w:rPr>
        <w:t>.</w:t>
      </w:r>
      <w:r w:rsidR="00FC1B2F" w:rsidRPr="005F62F4">
        <w:rPr>
          <w:lang w:eastAsia="en-AU"/>
        </w:rPr>
        <w:t xml:space="preserve"> </w:t>
      </w:r>
      <w:r w:rsidR="001D538E" w:rsidRPr="005F62F4">
        <w:rPr>
          <w:lang w:eastAsia="en-AU"/>
        </w:rPr>
        <w:t xml:space="preserve">HCP1 data was often limited to the top items in a category. </w:t>
      </w:r>
      <w:r w:rsidR="00E14E0D" w:rsidRPr="005F62F4">
        <w:rPr>
          <w:lang w:eastAsia="en-AU"/>
        </w:rPr>
        <w:t>We</w:t>
      </w:r>
      <w:r w:rsidR="00501C9C" w:rsidRPr="005F62F4">
        <w:rPr>
          <w:lang w:eastAsia="en-AU"/>
        </w:rPr>
        <w:t xml:space="preserve"> were unable to explore</w:t>
      </w:r>
      <w:r w:rsidR="001D538E" w:rsidRPr="005F62F4">
        <w:rPr>
          <w:lang w:eastAsia="en-AU"/>
        </w:rPr>
        <w:t xml:space="preserve"> </w:t>
      </w:r>
      <w:r w:rsidR="00501C9C" w:rsidRPr="005F62F4">
        <w:rPr>
          <w:lang w:eastAsia="en-AU"/>
        </w:rPr>
        <w:t>individual product use by</w:t>
      </w:r>
      <w:r w:rsidR="001D538E" w:rsidRPr="005F62F4">
        <w:rPr>
          <w:lang w:eastAsia="en-AU"/>
        </w:rPr>
        <w:t xml:space="preserve"> MBS item number</w:t>
      </w:r>
      <w:r w:rsidR="00501C9C" w:rsidRPr="005F62F4">
        <w:rPr>
          <w:lang w:eastAsia="en-AU"/>
        </w:rPr>
        <w:t>, or</w:t>
      </w:r>
      <w:r w:rsidR="006F6453" w:rsidRPr="005F62F4">
        <w:rPr>
          <w:lang w:eastAsia="en-AU"/>
        </w:rPr>
        <w:t xml:space="preserve"> </w:t>
      </w:r>
      <w:r w:rsidR="00501C9C" w:rsidRPr="005F62F4">
        <w:rPr>
          <w:lang w:eastAsia="en-AU"/>
        </w:rPr>
        <w:t>the</w:t>
      </w:r>
      <w:r w:rsidR="006F6453" w:rsidRPr="005F62F4">
        <w:rPr>
          <w:lang w:eastAsia="en-AU"/>
        </w:rPr>
        <w:t xml:space="preserve"> </w:t>
      </w:r>
      <w:r w:rsidR="00A95CD0" w:rsidRPr="005F62F4">
        <w:rPr>
          <w:lang w:eastAsia="en-AU"/>
        </w:rPr>
        <w:t>split of overnight cases versus day cases from hospital</w:t>
      </w:r>
      <w:r w:rsidR="006F6E51" w:rsidRPr="005F62F4">
        <w:rPr>
          <w:lang w:eastAsia="en-AU"/>
        </w:rPr>
        <w:t xml:space="preserve"> separation</w:t>
      </w:r>
      <w:r w:rsidR="00A95CD0" w:rsidRPr="005F62F4">
        <w:rPr>
          <w:lang w:eastAsia="en-AU"/>
        </w:rPr>
        <w:t xml:space="preserve"> data</w:t>
      </w:r>
      <w:r w:rsidR="001D538E" w:rsidRPr="005F62F4">
        <w:rPr>
          <w:lang w:eastAsia="en-AU"/>
        </w:rPr>
        <w:t xml:space="preserve">, which </w:t>
      </w:r>
      <w:r w:rsidR="00C57404" w:rsidRPr="005F62F4">
        <w:rPr>
          <w:lang w:eastAsia="en-AU"/>
        </w:rPr>
        <w:t xml:space="preserve">may have been a useful </w:t>
      </w:r>
      <w:r w:rsidR="00AB3C75" w:rsidRPr="005F62F4">
        <w:rPr>
          <w:lang w:eastAsia="en-AU"/>
        </w:rPr>
        <w:t xml:space="preserve">marker for complexity. </w:t>
      </w:r>
      <w:r w:rsidR="00E14E0D" w:rsidRPr="005F62F4">
        <w:rPr>
          <w:lang w:eastAsia="en-AU"/>
        </w:rPr>
        <w:t xml:space="preserve">Further, </w:t>
      </w:r>
      <w:r w:rsidR="0082600A" w:rsidRPr="005F62F4">
        <w:rPr>
          <w:lang w:eastAsia="en-AU"/>
        </w:rPr>
        <w:t xml:space="preserve">the data included a significant </w:t>
      </w:r>
      <w:r w:rsidR="00C65027" w:rsidRPr="005F62F4">
        <w:rPr>
          <w:lang w:eastAsia="en-AU"/>
        </w:rPr>
        <w:t>proportion of admissions for which</w:t>
      </w:r>
      <w:r w:rsidR="0082600A" w:rsidRPr="005F62F4">
        <w:rPr>
          <w:lang w:eastAsia="en-AU"/>
        </w:rPr>
        <w:t xml:space="preserve"> MBS items were </w:t>
      </w:r>
      <w:r w:rsidR="00191D45" w:rsidRPr="005F62F4">
        <w:rPr>
          <w:lang w:eastAsia="en-AU"/>
        </w:rPr>
        <w:t>un</w:t>
      </w:r>
      <w:r w:rsidR="006563B1" w:rsidRPr="005F62F4">
        <w:rPr>
          <w:lang w:eastAsia="en-AU"/>
        </w:rPr>
        <w:t>specified</w:t>
      </w:r>
      <w:r w:rsidR="00191D45" w:rsidRPr="005F62F4">
        <w:rPr>
          <w:lang w:eastAsia="en-AU"/>
        </w:rPr>
        <w:t>.</w:t>
      </w:r>
    </w:p>
    <w:p w14:paraId="3C6AD960" w14:textId="76801F23" w:rsidR="006D689D" w:rsidRPr="005F62F4" w:rsidRDefault="001467DC" w:rsidP="006E2775">
      <w:pPr>
        <w:pStyle w:val="Para"/>
      </w:pPr>
      <w:r w:rsidRPr="005F62F4">
        <w:rPr>
          <w:rStyle w:val="Strong"/>
        </w:rPr>
        <w:t>Consultation limitations</w:t>
      </w:r>
      <w:r w:rsidR="00DD2ED4" w:rsidRPr="005F62F4">
        <w:rPr>
          <w:rStyle w:val="Strong"/>
        </w:rPr>
        <w:t>:</w:t>
      </w:r>
      <w:r w:rsidR="00DD2ED4" w:rsidRPr="005F62F4">
        <w:t xml:space="preserve"> </w:t>
      </w:r>
      <w:r w:rsidR="00347E77" w:rsidRPr="005F62F4">
        <w:t>T</w:t>
      </w:r>
      <w:r w:rsidR="00DD2ED4" w:rsidRPr="005F62F4">
        <w:t>he</w:t>
      </w:r>
      <w:r w:rsidRPr="005F62F4">
        <w:t xml:space="preserve"> views of the </w:t>
      </w:r>
      <w:r w:rsidR="00A84B0D" w:rsidRPr="005F62F4">
        <w:t>surgeons</w:t>
      </w:r>
      <w:r w:rsidR="00983752" w:rsidRPr="005F62F4">
        <w:t xml:space="preserve"> consulted</w:t>
      </w:r>
      <w:r w:rsidRPr="005F62F4">
        <w:t xml:space="preserve"> may not necessarily reflect the views of </w:t>
      </w:r>
      <w:r w:rsidR="00547CF3" w:rsidRPr="005F62F4">
        <w:t xml:space="preserve">other </w:t>
      </w:r>
      <w:r w:rsidRPr="005F62F4">
        <w:t xml:space="preserve">surgeons with varying levels of </w:t>
      </w:r>
      <w:r w:rsidR="00E66F2B" w:rsidRPr="005F62F4">
        <w:t>expertise, experience and training</w:t>
      </w:r>
      <w:r w:rsidR="0031114E" w:rsidRPr="005F62F4">
        <w:t>, or of those in other surgical fields (</w:t>
      </w:r>
      <w:proofErr w:type="gramStart"/>
      <w:r w:rsidR="0031114E" w:rsidRPr="005F62F4">
        <w:t>e.g.</w:t>
      </w:r>
      <w:proofErr w:type="gramEnd"/>
      <w:r w:rsidR="0031114E" w:rsidRPr="005F62F4">
        <w:t xml:space="preserve"> orthopaedic surgery)</w:t>
      </w:r>
      <w:r w:rsidR="00E66F2B" w:rsidRPr="005F62F4">
        <w:t>.</w:t>
      </w:r>
      <w:r w:rsidR="0000257B" w:rsidRPr="005F62F4">
        <w:t xml:space="preserve"> Reported conflicts of interest by 3 surgeons did not appear to influence their responses given the overall consistency in feedback across the stakeholder category.</w:t>
      </w:r>
      <w:bookmarkEnd w:id="219"/>
    </w:p>
    <w:p w14:paraId="309BA29E" w14:textId="7E47A4C2" w:rsidR="00A3638E" w:rsidRPr="005F62F4" w:rsidRDefault="00A3638E" w:rsidP="006E2775">
      <w:pPr>
        <w:pStyle w:val="Para"/>
        <w:rPr>
          <w:lang w:eastAsia="en-AU"/>
        </w:rPr>
      </w:pPr>
      <w:r w:rsidRPr="005F62F4">
        <w:rPr>
          <w:b/>
          <w:bCs/>
        </w:rPr>
        <w:t>Evidence limitations:</w:t>
      </w:r>
      <w:r w:rsidRPr="005F62F4">
        <w:t xml:space="preserve"> Our systematic review found evidence for only one product listed on the PL</w:t>
      </w:r>
      <w:r w:rsidR="00B07916" w:rsidRPr="005F62F4">
        <w:t xml:space="preserve">, </w:t>
      </w:r>
      <w:r w:rsidR="000B3225" w:rsidRPr="005F62F4">
        <w:t xml:space="preserve">and most included studies had </w:t>
      </w:r>
      <w:r w:rsidR="00D83353" w:rsidRPr="005F62F4">
        <w:t>at least a moderate risk of bias</w:t>
      </w:r>
      <w:r w:rsidRPr="005F62F4">
        <w:t xml:space="preserve">. While the synthesised literature </w:t>
      </w:r>
      <w:r w:rsidR="00BE79C8" w:rsidRPr="005F62F4">
        <w:t xml:space="preserve">included support for </w:t>
      </w:r>
      <w:r w:rsidR="00BD726A" w:rsidRPr="005F62F4">
        <w:t xml:space="preserve">the use of surgical guides and </w:t>
      </w:r>
      <w:proofErr w:type="spellStart"/>
      <w:r w:rsidR="00BD726A" w:rsidRPr="005F62F4">
        <w:t>biomodels</w:t>
      </w:r>
      <w:proofErr w:type="spellEnd"/>
      <w:r w:rsidR="00BD726A" w:rsidRPr="005F62F4">
        <w:t xml:space="preserve"> in a range of surgical contexts, </w:t>
      </w:r>
      <w:r w:rsidR="00B07916" w:rsidRPr="005F62F4">
        <w:t>a</w:t>
      </w:r>
      <w:r w:rsidR="00112810" w:rsidRPr="005F62F4">
        <w:t xml:space="preserve">uthors of these systematic reviews and meta-analyses similarly reflected on </w:t>
      </w:r>
      <w:r w:rsidR="00C47FE9" w:rsidRPr="005F62F4">
        <w:t xml:space="preserve">limitations of the evidence base, including </w:t>
      </w:r>
      <w:r w:rsidR="008A31D9" w:rsidRPr="005F62F4">
        <w:t xml:space="preserve">the small number of studies identified, a paucity of </w:t>
      </w:r>
      <w:r w:rsidR="00C47FE9" w:rsidRPr="005F62F4">
        <w:t>randomised controlled trials</w:t>
      </w:r>
      <w:r w:rsidR="00E02695" w:rsidRPr="005F62F4">
        <w:t>,</w:t>
      </w:r>
      <w:r w:rsidR="00C47FE9" w:rsidRPr="005F62F4">
        <w:t xml:space="preserve"> </w:t>
      </w:r>
      <w:r w:rsidR="0098799B" w:rsidRPr="005F62F4">
        <w:t>small sample sizes</w:t>
      </w:r>
      <w:r w:rsidR="00E02695" w:rsidRPr="005F62F4">
        <w:t xml:space="preserve"> and </w:t>
      </w:r>
      <w:r w:rsidR="007909FE" w:rsidRPr="005F62F4">
        <w:t xml:space="preserve">the </w:t>
      </w:r>
      <w:r w:rsidR="00E02695" w:rsidRPr="005F62F4">
        <w:t>presence of confounding factors</w:t>
      </w:r>
      <w:r w:rsidR="0098799B" w:rsidRPr="005F62F4">
        <w:t>.</w:t>
      </w:r>
      <w:r w:rsidR="00DB142D" w:rsidRPr="005F62F4">
        <w:t xml:space="preserve"> </w:t>
      </w:r>
      <w:r w:rsidR="00870D2E" w:rsidRPr="005F62F4">
        <w:t>The applicability of the broader evidence to specific products listed on the PL is also unclear.</w:t>
      </w:r>
    </w:p>
    <w:p w14:paraId="7ED7C51A" w14:textId="34DED030" w:rsidR="00E12102" w:rsidRPr="005F62F4" w:rsidRDefault="00E12102" w:rsidP="00422A43">
      <w:pPr>
        <w:sectPr w:rsidR="00E12102" w:rsidRPr="005F62F4" w:rsidSect="006653A9">
          <w:pgSz w:w="11906" w:h="16838"/>
          <w:pgMar w:top="1134" w:right="1134" w:bottom="1134" w:left="1440" w:header="708" w:footer="708" w:gutter="0"/>
          <w:cols w:space="708"/>
          <w:titlePg/>
          <w:docGrid w:linePitch="360"/>
        </w:sectPr>
      </w:pPr>
    </w:p>
    <w:p w14:paraId="36B179DF" w14:textId="430E124D" w:rsidR="00923556" w:rsidRPr="005F62F4" w:rsidRDefault="00923556" w:rsidP="00276F86">
      <w:pPr>
        <w:pStyle w:val="Heading01"/>
      </w:pPr>
      <w:bookmarkStart w:id="243" w:name="_Toc120178338"/>
      <w:bookmarkStart w:id="244" w:name="_Toc129954618"/>
      <w:r w:rsidRPr="005F62F4">
        <w:lastRenderedPageBreak/>
        <w:t>References</w:t>
      </w:r>
      <w:bookmarkEnd w:id="243"/>
      <w:bookmarkEnd w:id="244"/>
    </w:p>
    <w:p w14:paraId="004FFB21" w14:textId="77777777" w:rsidR="00C91B8B" w:rsidRPr="005F62F4" w:rsidRDefault="00C91B8B" w:rsidP="002B57E2">
      <w:pPr>
        <w:pStyle w:val="Bibliography"/>
        <w:rPr>
          <w:b/>
        </w:rPr>
      </w:pPr>
      <w:proofErr w:type="spellStart"/>
      <w:r w:rsidRPr="005F62F4">
        <w:t>Abdelhay</w:t>
      </w:r>
      <w:proofErr w:type="spellEnd"/>
      <w:r w:rsidRPr="005F62F4">
        <w:t xml:space="preserve"> N, Prasad S and Gibson MP (2021) 'Failure rates associated with guided versus non-guided dental implant placement: a systematic review and meta-analysis', BDJ Open, 7(1):1–9, doi:10.1038/s41405-021-00086-1.</w:t>
      </w:r>
    </w:p>
    <w:p w14:paraId="1761DC8F" w14:textId="77777777" w:rsidR="00C91B8B" w:rsidRPr="005F62F4" w:rsidRDefault="00C91B8B" w:rsidP="002B57E2">
      <w:pPr>
        <w:pStyle w:val="Bibliography"/>
        <w:rPr>
          <w:b/>
        </w:rPr>
      </w:pPr>
      <w:r w:rsidRPr="005F62F4">
        <w:t xml:space="preserve">Aman ZS, </w:t>
      </w:r>
      <w:proofErr w:type="spellStart"/>
      <w:r w:rsidRPr="005F62F4">
        <w:t>DePhillipo</w:t>
      </w:r>
      <w:proofErr w:type="spellEnd"/>
      <w:r w:rsidRPr="005F62F4">
        <w:t xml:space="preserve"> NN, Peebles LA, </w:t>
      </w:r>
      <w:proofErr w:type="spellStart"/>
      <w:r w:rsidRPr="005F62F4">
        <w:t>Familiari</w:t>
      </w:r>
      <w:proofErr w:type="spellEnd"/>
      <w:r w:rsidRPr="005F62F4">
        <w:t xml:space="preserve"> F, </w:t>
      </w:r>
      <w:proofErr w:type="spellStart"/>
      <w:r w:rsidRPr="005F62F4">
        <w:t>LaPrade</w:t>
      </w:r>
      <w:proofErr w:type="spellEnd"/>
      <w:r w:rsidRPr="005F62F4">
        <w:t xml:space="preserve"> RF and Dekker TJ (2022) 'Improved accuracy of coronal alignment can be attained using 3D-printed patient-specific instrumentation for knee osteotomies: a systematic review of level III and IV studies', Arthroscopy - Journal of Arthroscopic and Related Surgery, 38(9):2741–2758, </w:t>
      </w:r>
      <w:proofErr w:type="gramStart"/>
      <w:r w:rsidRPr="005F62F4">
        <w:t>doi:10.1016/j.arthro</w:t>
      </w:r>
      <w:proofErr w:type="gramEnd"/>
      <w:r w:rsidRPr="005F62F4">
        <w:t>.2022.02.023.</w:t>
      </w:r>
    </w:p>
    <w:p w14:paraId="20571CF0" w14:textId="77777777" w:rsidR="00C91B8B" w:rsidRPr="005F62F4" w:rsidRDefault="00C91B8B" w:rsidP="002B57E2">
      <w:pPr>
        <w:pStyle w:val="Bibliography"/>
        <w:rPr>
          <w:b/>
        </w:rPr>
      </w:pPr>
      <w:r w:rsidRPr="005F62F4">
        <w:t xml:space="preserve">Ansari UH, Thompson R and Hoffman GR (2019) 'Computerized tomographic assisted </w:t>
      </w:r>
      <w:proofErr w:type="spellStart"/>
      <w:r w:rsidRPr="005F62F4">
        <w:t>biomodel</w:t>
      </w:r>
      <w:proofErr w:type="spellEnd"/>
      <w:r w:rsidRPr="005F62F4">
        <w:t xml:space="preserve"> fabrication utilizing 3D printing is a useful adjunct to facilitate the surgical resection and/or reconstruction of the maxillofacial skeleton: a 16-year institutional review', Biology, Engineering and Medicine, 4(1):1–5, doi:10.15761/bem.1000164.</w:t>
      </w:r>
    </w:p>
    <w:p w14:paraId="48FDF3DE" w14:textId="0DC36770" w:rsidR="00C91B8B" w:rsidRPr="005F62F4" w:rsidRDefault="00C91B8B" w:rsidP="002B57E2">
      <w:pPr>
        <w:pStyle w:val="Bibliography"/>
        <w:rPr>
          <w:b/>
        </w:rPr>
      </w:pPr>
      <w:r w:rsidRPr="005F62F4">
        <w:t xml:space="preserve">Australian and New Zealand Association of Oral and Maxillofacial Surgeons (n.d.) </w:t>
      </w:r>
      <w:hyperlink r:id="rId25" w:history="1">
        <w:r w:rsidRPr="005F62F4">
          <w:rPr>
            <w:rStyle w:val="Hyperlink"/>
          </w:rPr>
          <w:t>Corrective Jaw Surgery</w:t>
        </w:r>
      </w:hyperlink>
      <w:r w:rsidRPr="005F62F4">
        <w:t xml:space="preserve"> - ANZAOMS website, accessed 9 November 2022.</w:t>
      </w:r>
    </w:p>
    <w:p w14:paraId="51815F0B" w14:textId="400F8346" w:rsidR="00C91B8B" w:rsidRPr="005F62F4" w:rsidRDefault="00C91B8B" w:rsidP="002B57E2">
      <w:pPr>
        <w:pStyle w:val="Bibliography"/>
        <w:rPr>
          <w:b/>
        </w:rPr>
      </w:pPr>
      <w:r w:rsidRPr="005F62F4">
        <w:t xml:space="preserve">Australian Institute of Health and Welfare (n.d.) </w:t>
      </w:r>
      <w:hyperlink r:id="rId26" w:history="1">
        <w:r w:rsidRPr="005F62F4">
          <w:rPr>
            <w:rStyle w:val="Hyperlink"/>
          </w:rPr>
          <w:t>Separation</w:t>
        </w:r>
      </w:hyperlink>
      <w:r w:rsidRPr="005F62F4">
        <w:t>, accessed 25 November 2022.</w:t>
      </w:r>
    </w:p>
    <w:p w14:paraId="6B280934" w14:textId="77777777" w:rsidR="00C91B8B" w:rsidRPr="005F62F4" w:rsidRDefault="00C91B8B" w:rsidP="002B57E2">
      <w:pPr>
        <w:pStyle w:val="Bibliography"/>
        <w:rPr>
          <w:b/>
        </w:rPr>
      </w:pPr>
      <w:r w:rsidRPr="005F62F4">
        <w:t xml:space="preserve">Ayoub N, </w:t>
      </w:r>
      <w:proofErr w:type="spellStart"/>
      <w:r w:rsidRPr="005F62F4">
        <w:t>Ghassemi</w:t>
      </w:r>
      <w:proofErr w:type="spellEnd"/>
      <w:r w:rsidRPr="005F62F4">
        <w:t xml:space="preserve"> A, Rana M, </w:t>
      </w:r>
      <w:proofErr w:type="spellStart"/>
      <w:r w:rsidRPr="005F62F4">
        <w:t>Gerressen</w:t>
      </w:r>
      <w:proofErr w:type="spellEnd"/>
      <w:r w:rsidRPr="005F62F4">
        <w:t xml:space="preserve"> M, </w:t>
      </w:r>
      <w:proofErr w:type="spellStart"/>
      <w:r w:rsidRPr="005F62F4">
        <w:t>Riediger</w:t>
      </w:r>
      <w:proofErr w:type="spellEnd"/>
      <w:r w:rsidRPr="005F62F4">
        <w:t xml:space="preserve"> D, </w:t>
      </w:r>
      <w:proofErr w:type="spellStart"/>
      <w:r w:rsidRPr="005F62F4">
        <w:t>Hölzle</w:t>
      </w:r>
      <w:proofErr w:type="spellEnd"/>
      <w:r w:rsidRPr="005F62F4">
        <w:t xml:space="preserve"> F and </w:t>
      </w:r>
      <w:proofErr w:type="spellStart"/>
      <w:r w:rsidRPr="005F62F4">
        <w:t>Modabber</w:t>
      </w:r>
      <w:proofErr w:type="spellEnd"/>
      <w:r w:rsidRPr="005F62F4">
        <w:t xml:space="preserve"> A (2014) 'Evaluation of computer-assisted mandibular reconstruction with vascularized iliac crest bone graft compared to conventional surgery: A randomized prospective clinical trial', Trials, 15(1), doi:10.1186/1745-6215-15-114.</w:t>
      </w:r>
    </w:p>
    <w:p w14:paraId="79F5F26B" w14:textId="77777777" w:rsidR="00C91B8B" w:rsidRPr="005F62F4" w:rsidRDefault="00C91B8B" w:rsidP="002B57E2">
      <w:pPr>
        <w:pStyle w:val="Bibliography"/>
        <w:rPr>
          <w:b/>
        </w:rPr>
      </w:pPr>
      <w:r w:rsidRPr="005F62F4">
        <w:t xml:space="preserve">Ballard DH, Mills P, </w:t>
      </w:r>
      <w:proofErr w:type="spellStart"/>
      <w:r w:rsidRPr="005F62F4">
        <w:t>Duszak</w:t>
      </w:r>
      <w:proofErr w:type="spellEnd"/>
      <w:r w:rsidRPr="005F62F4">
        <w:t xml:space="preserve"> R, Weisman JA, Rybicki FJ and Woodard PK (2020) 'Medical 3D printing cost-savings in </w:t>
      </w:r>
      <w:proofErr w:type="spellStart"/>
      <w:r w:rsidRPr="005F62F4">
        <w:t>orthopedic</w:t>
      </w:r>
      <w:proofErr w:type="spellEnd"/>
      <w:r w:rsidRPr="005F62F4">
        <w:t xml:space="preserve"> and maxillofacial surgery: cost analysis of operating room time saved with 3D printed anatomic models and surgical guides', Academic Radiology, 27(8):1103–1113, </w:t>
      </w:r>
      <w:proofErr w:type="gramStart"/>
      <w:r w:rsidRPr="005F62F4">
        <w:t>doi:10.1016/j.acra</w:t>
      </w:r>
      <w:proofErr w:type="gramEnd"/>
      <w:r w:rsidRPr="005F62F4">
        <w:t>.2019.08.011.</w:t>
      </w:r>
    </w:p>
    <w:p w14:paraId="6B61EDAD" w14:textId="77777777" w:rsidR="00C91B8B" w:rsidRPr="005F62F4" w:rsidRDefault="00C91B8B" w:rsidP="002B57E2">
      <w:pPr>
        <w:pStyle w:val="Bibliography"/>
        <w:rPr>
          <w:b/>
        </w:rPr>
      </w:pPr>
      <w:r w:rsidRPr="005F62F4">
        <w:t xml:space="preserve">Barr ML, </w:t>
      </w:r>
      <w:proofErr w:type="spellStart"/>
      <w:r w:rsidRPr="005F62F4">
        <w:t>Haveles</w:t>
      </w:r>
      <w:proofErr w:type="spellEnd"/>
      <w:r w:rsidRPr="005F62F4">
        <w:t xml:space="preserve"> CS, </w:t>
      </w:r>
      <w:proofErr w:type="spellStart"/>
      <w:r w:rsidRPr="005F62F4">
        <w:t>Rezzadeh</w:t>
      </w:r>
      <w:proofErr w:type="spellEnd"/>
      <w:r w:rsidRPr="005F62F4">
        <w:t xml:space="preserve"> KS, Nolan IT, Castro R, Lee JC, </w:t>
      </w:r>
      <w:proofErr w:type="spellStart"/>
      <w:r w:rsidRPr="005F62F4">
        <w:t>Steinbacher</w:t>
      </w:r>
      <w:proofErr w:type="spellEnd"/>
      <w:r w:rsidRPr="005F62F4">
        <w:t xml:space="preserve"> D and Pfaff MJ (2020) 'Virtual surgical planning for mandibular reconstruction with the fibula free flap: a systematic review and meta-analysis', Annals of Plastic Surgery, 84(1):117–122, doi:10.1097/SAP.0000000000002006.</w:t>
      </w:r>
    </w:p>
    <w:p w14:paraId="26E7FAF6" w14:textId="77777777" w:rsidR="00C91B8B" w:rsidRPr="005F62F4" w:rsidRDefault="00C91B8B" w:rsidP="002B57E2">
      <w:pPr>
        <w:pStyle w:val="Bibliography"/>
        <w:rPr>
          <w:b/>
        </w:rPr>
      </w:pPr>
      <w:r w:rsidRPr="005F62F4">
        <w:t xml:space="preserve">Van den </w:t>
      </w:r>
      <w:proofErr w:type="spellStart"/>
      <w:r w:rsidRPr="005F62F4">
        <w:t>Bempt</w:t>
      </w:r>
      <w:proofErr w:type="spellEnd"/>
      <w:r w:rsidRPr="005F62F4">
        <w:t xml:space="preserve"> M, </w:t>
      </w:r>
      <w:proofErr w:type="spellStart"/>
      <w:r w:rsidRPr="005F62F4">
        <w:t>Liebregts</w:t>
      </w:r>
      <w:proofErr w:type="spellEnd"/>
      <w:r w:rsidRPr="005F62F4">
        <w:t xml:space="preserve"> J, Maal T, Berge S and Xi T (2018) 'Toward a higher accuracy in orthognathic surgery by using intraoperative computer navigation, 3D surgical guides, and/or customized osteosynthesis plates: A systematic review', Journal of Cranio-Maxillo-Facial Surgery, 46(2018):2108–2119.</w:t>
      </w:r>
    </w:p>
    <w:p w14:paraId="2C93859C" w14:textId="77777777" w:rsidR="00C91B8B" w:rsidRPr="005F62F4" w:rsidRDefault="00C91B8B" w:rsidP="002B57E2">
      <w:pPr>
        <w:pStyle w:val="Bibliography"/>
        <w:rPr>
          <w:b/>
        </w:rPr>
      </w:pPr>
      <w:r w:rsidRPr="005F62F4">
        <w:t xml:space="preserve">Boll LFC, Rodrigues GO, Rodrigues CG, </w:t>
      </w:r>
      <w:proofErr w:type="spellStart"/>
      <w:r w:rsidRPr="005F62F4">
        <w:t>Bertollo</w:t>
      </w:r>
      <w:proofErr w:type="spellEnd"/>
      <w:r w:rsidRPr="005F62F4">
        <w:t xml:space="preserve"> FL, Irigoyen MC and </w:t>
      </w:r>
      <w:proofErr w:type="spellStart"/>
      <w:r w:rsidRPr="005F62F4">
        <w:t>Goldmeier</w:t>
      </w:r>
      <w:proofErr w:type="spellEnd"/>
      <w:r w:rsidRPr="005F62F4">
        <w:t xml:space="preserve"> S (2019) 'Using a 3D printer in cardiac valve surgery: a systematic review', </w:t>
      </w:r>
      <w:proofErr w:type="spellStart"/>
      <w:r w:rsidRPr="005F62F4">
        <w:t>Revista</w:t>
      </w:r>
      <w:proofErr w:type="spellEnd"/>
      <w:r w:rsidRPr="005F62F4">
        <w:t xml:space="preserve"> da </w:t>
      </w:r>
      <w:proofErr w:type="spellStart"/>
      <w:r w:rsidRPr="005F62F4">
        <w:t>Associacao</w:t>
      </w:r>
      <w:proofErr w:type="spellEnd"/>
      <w:r w:rsidRPr="005F62F4">
        <w:t xml:space="preserve"> Medica </w:t>
      </w:r>
      <w:proofErr w:type="spellStart"/>
      <w:r w:rsidRPr="005F62F4">
        <w:t>Brasileira</w:t>
      </w:r>
      <w:proofErr w:type="spellEnd"/>
      <w:r w:rsidRPr="005F62F4">
        <w:t>, 65(6):818–824, doi:10.1590/1806-9282.65.6.818.</w:t>
      </w:r>
    </w:p>
    <w:p w14:paraId="32798E22" w14:textId="6712D6B8" w:rsidR="00C91B8B" w:rsidRPr="005F62F4" w:rsidRDefault="00C91B8B" w:rsidP="002B57E2">
      <w:pPr>
        <w:pStyle w:val="Bibliography"/>
        <w:rPr>
          <w:b/>
        </w:rPr>
      </w:pPr>
      <w:r w:rsidRPr="005F62F4">
        <w:t xml:space="preserve">Butler M (2023) </w:t>
      </w:r>
      <w:hyperlink r:id="rId27" w:history="1">
        <w:r w:rsidRPr="005F62F4">
          <w:rPr>
            <w:rStyle w:val="Hyperlink"/>
          </w:rPr>
          <w:t>Modernising the prostheses list committee process</w:t>
        </w:r>
      </w:hyperlink>
      <w:r w:rsidRPr="005F62F4">
        <w:t>, Department of Health and Aged Care website, accessed 13 February 2023.</w:t>
      </w:r>
    </w:p>
    <w:p w14:paraId="7C4E8DBB" w14:textId="77777777" w:rsidR="00C91B8B" w:rsidRPr="005F62F4" w:rsidRDefault="00C91B8B" w:rsidP="002B57E2">
      <w:pPr>
        <w:pStyle w:val="Bibliography"/>
        <w:rPr>
          <w:b/>
        </w:rPr>
      </w:pPr>
      <w:r w:rsidRPr="005F62F4">
        <w:t>Calvo-</w:t>
      </w:r>
      <w:proofErr w:type="spellStart"/>
      <w:r w:rsidRPr="005F62F4">
        <w:t>Haro</w:t>
      </w:r>
      <w:proofErr w:type="spellEnd"/>
      <w:r w:rsidRPr="005F62F4">
        <w:t xml:space="preserve"> JA, </w:t>
      </w:r>
      <w:proofErr w:type="spellStart"/>
      <w:r w:rsidRPr="005F62F4">
        <w:t>Pascau</w:t>
      </w:r>
      <w:proofErr w:type="spellEnd"/>
      <w:r w:rsidRPr="005F62F4">
        <w:t xml:space="preserve"> J, </w:t>
      </w:r>
      <w:proofErr w:type="spellStart"/>
      <w:r w:rsidRPr="005F62F4">
        <w:t>Asencio</w:t>
      </w:r>
      <w:proofErr w:type="spellEnd"/>
      <w:r w:rsidRPr="005F62F4">
        <w:t xml:space="preserve">-Pascual JM, Calvo-Manuel F, </w:t>
      </w:r>
      <w:proofErr w:type="spellStart"/>
      <w:r w:rsidRPr="005F62F4">
        <w:t>Cancho</w:t>
      </w:r>
      <w:proofErr w:type="spellEnd"/>
      <w:r w:rsidRPr="005F62F4">
        <w:t xml:space="preserve">-Gil MJ, Del </w:t>
      </w:r>
      <w:proofErr w:type="spellStart"/>
      <w:r w:rsidRPr="005F62F4">
        <w:t>Cañizo</w:t>
      </w:r>
      <w:proofErr w:type="spellEnd"/>
      <w:r w:rsidRPr="005F62F4">
        <w:t xml:space="preserve"> López JF, </w:t>
      </w:r>
      <w:proofErr w:type="spellStart"/>
      <w:r w:rsidRPr="005F62F4">
        <w:t>Fanjul</w:t>
      </w:r>
      <w:proofErr w:type="spellEnd"/>
      <w:r w:rsidRPr="005F62F4">
        <w:t>-Gómez M, García-Leal R, González-</w:t>
      </w:r>
      <w:proofErr w:type="spellStart"/>
      <w:r w:rsidRPr="005F62F4">
        <w:t>Casaurrán</w:t>
      </w:r>
      <w:proofErr w:type="spellEnd"/>
      <w:r w:rsidRPr="005F62F4">
        <w:t xml:space="preserve"> G, González-Leyte M, León-Luis JA, </w:t>
      </w:r>
      <w:proofErr w:type="spellStart"/>
      <w:r w:rsidRPr="005F62F4">
        <w:t>Mediavilla</w:t>
      </w:r>
      <w:proofErr w:type="spellEnd"/>
      <w:r w:rsidRPr="005F62F4">
        <w:t xml:space="preserve">-Santos L, </w:t>
      </w:r>
      <w:proofErr w:type="spellStart"/>
      <w:r w:rsidRPr="005F62F4">
        <w:t>Ochandiano-Caicoya</w:t>
      </w:r>
      <w:proofErr w:type="spellEnd"/>
      <w:r w:rsidRPr="005F62F4">
        <w:t xml:space="preserve"> S, Pérez-Caballero R, </w:t>
      </w:r>
      <w:proofErr w:type="spellStart"/>
      <w:r w:rsidRPr="005F62F4">
        <w:t>Ribed</w:t>
      </w:r>
      <w:proofErr w:type="spellEnd"/>
      <w:r w:rsidRPr="005F62F4">
        <w:t xml:space="preserve">-Sánchez A, Río-Gómez J, Sánchez-Pérez E, Serrano-Andreu J, </w:t>
      </w:r>
      <w:proofErr w:type="spellStart"/>
      <w:r w:rsidRPr="005F62F4">
        <w:t>Tousidonis</w:t>
      </w:r>
      <w:proofErr w:type="spellEnd"/>
      <w:r w:rsidRPr="005F62F4">
        <w:t>-Rial M, Vaquero-Martín J, García San José S and Perez-</w:t>
      </w:r>
      <w:proofErr w:type="spellStart"/>
      <w:r w:rsidRPr="005F62F4">
        <w:t>Mañanes</w:t>
      </w:r>
      <w:proofErr w:type="spellEnd"/>
      <w:r w:rsidRPr="005F62F4">
        <w:t xml:space="preserve"> R (2021) 'Point-of-care manufacturing: a single university hospital’s initial experience', 3D Printing in Medicine, 7(1):1–14, doi:10.1186/s41205-021-00101-z.</w:t>
      </w:r>
    </w:p>
    <w:p w14:paraId="6CA047E6" w14:textId="77777777" w:rsidR="00C91B8B" w:rsidRPr="005F62F4" w:rsidRDefault="00C91B8B" w:rsidP="002B57E2">
      <w:pPr>
        <w:pStyle w:val="Bibliography"/>
        <w:rPr>
          <w:b/>
        </w:rPr>
      </w:pPr>
      <w:proofErr w:type="spellStart"/>
      <w:r w:rsidRPr="005F62F4">
        <w:lastRenderedPageBreak/>
        <w:t>Canzi</w:t>
      </w:r>
      <w:proofErr w:type="spellEnd"/>
      <w:r w:rsidRPr="005F62F4">
        <w:t xml:space="preserve"> P, </w:t>
      </w:r>
      <w:proofErr w:type="spellStart"/>
      <w:r w:rsidRPr="005F62F4">
        <w:t>Magnetto</w:t>
      </w:r>
      <w:proofErr w:type="spellEnd"/>
      <w:r w:rsidRPr="005F62F4">
        <w:t xml:space="preserve"> M, Marconi S, </w:t>
      </w:r>
      <w:proofErr w:type="spellStart"/>
      <w:r w:rsidRPr="005F62F4">
        <w:t>Morbini</w:t>
      </w:r>
      <w:proofErr w:type="spellEnd"/>
      <w:r w:rsidRPr="005F62F4">
        <w:t xml:space="preserve"> P, </w:t>
      </w:r>
      <w:proofErr w:type="spellStart"/>
      <w:r w:rsidRPr="005F62F4">
        <w:t>Mauramati</w:t>
      </w:r>
      <w:proofErr w:type="spellEnd"/>
      <w:r w:rsidRPr="005F62F4">
        <w:t xml:space="preserve"> S, Aprile F, </w:t>
      </w:r>
      <w:proofErr w:type="spellStart"/>
      <w:r w:rsidRPr="005F62F4">
        <w:t>Avato</w:t>
      </w:r>
      <w:proofErr w:type="spellEnd"/>
      <w:r w:rsidRPr="005F62F4">
        <w:t xml:space="preserve"> I, </w:t>
      </w:r>
      <w:proofErr w:type="spellStart"/>
      <w:r w:rsidRPr="005F62F4">
        <w:t>Auricchio</w:t>
      </w:r>
      <w:proofErr w:type="spellEnd"/>
      <w:r w:rsidRPr="005F62F4">
        <w:t xml:space="preserve"> F and </w:t>
      </w:r>
      <w:proofErr w:type="spellStart"/>
      <w:r w:rsidRPr="005F62F4">
        <w:t>Benazzo</w:t>
      </w:r>
      <w:proofErr w:type="spellEnd"/>
      <w:r w:rsidRPr="005F62F4">
        <w:t xml:space="preserve"> M (2018) 'New frontiers and emerging applications of 3D printing in ENT surgery: a systematic review of the literature', Acta </w:t>
      </w:r>
      <w:proofErr w:type="spellStart"/>
      <w:r w:rsidRPr="005F62F4">
        <w:t>Otorhinolaryngologica</w:t>
      </w:r>
      <w:proofErr w:type="spellEnd"/>
      <w:r w:rsidRPr="005F62F4">
        <w:t xml:space="preserve"> </w:t>
      </w:r>
      <w:proofErr w:type="spellStart"/>
      <w:r w:rsidRPr="005F62F4">
        <w:t>Italica</w:t>
      </w:r>
      <w:proofErr w:type="spellEnd"/>
      <w:r w:rsidRPr="005F62F4">
        <w:t>, 38(4):286–303, doi:10.14639/0392-100X-1984.</w:t>
      </w:r>
    </w:p>
    <w:p w14:paraId="5BF34441" w14:textId="77777777" w:rsidR="00C91B8B" w:rsidRPr="005F62F4" w:rsidRDefault="00C91B8B" w:rsidP="002B57E2">
      <w:pPr>
        <w:pStyle w:val="Bibliography"/>
        <w:rPr>
          <w:b/>
        </w:rPr>
      </w:pPr>
      <w:r w:rsidRPr="005F62F4">
        <w:t>Chen Z, Mo S, Fan X, You Y, Ye G and Zhou N (2021) 'A meta-analysis and systematic review comparing the effectiveness of traditional and virtual surgical planning for orthognathic surgery: based on randomized clinical trials', Journal of Oral and Maxillofacial Surgery, 79(2</w:t>
      </w:r>
      <w:proofErr w:type="gramStart"/>
      <w:r w:rsidRPr="005F62F4">
        <w:t>):471.e</w:t>
      </w:r>
      <w:proofErr w:type="gramEnd"/>
      <w:r w:rsidRPr="005F62F4">
        <w:t>1-471.e19, doi:10.1016/j.joms.2020.09.005.</w:t>
      </w:r>
    </w:p>
    <w:p w14:paraId="1E8E5BA4" w14:textId="77777777" w:rsidR="00C91B8B" w:rsidRPr="005F62F4" w:rsidRDefault="00C91B8B" w:rsidP="002B57E2">
      <w:pPr>
        <w:pStyle w:val="Bibliography"/>
        <w:rPr>
          <w:b/>
        </w:rPr>
      </w:pPr>
      <w:proofErr w:type="spellStart"/>
      <w:r w:rsidRPr="005F62F4">
        <w:t>Chepelev</w:t>
      </w:r>
      <w:proofErr w:type="spellEnd"/>
      <w:r w:rsidRPr="005F62F4">
        <w:t xml:space="preserve"> L, Giannopoulos A, Tang A, </w:t>
      </w:r>
      <w:proofErr w:type="spellStart"/>
      <w:r w:rsidRPr="005F62F4">
        <w:t>Mitsouras</w:t>
      </w:r>
      <w:proofErr w:type="spellEnd"/>
      <w:r w:rsidRPr="005F62F4">
        <w:t xml:space="preserve"> D and Rybicki FJ (2017) 'Medical 3D printing: methods to standardize terminology and report trends', 3D Printing in Medicine, 3(1), doi:10.1186/s41205-017-0012-5.</w:t>
      </w:r>
    </w:p>
    <w:p w14:paraId="7C37C755" w14:textId="77777777" w:rsidR="00C91B8B" w:rsidRPr="005F62F4" w:rsidRDefault="00C91B8B" w:rsidP="002B57E2">
      <w:pPr>
        <w:pStyle w:val="Bibliography"/>
        <w:rPr>
          <w:b/>
        </w:rPr>
      </w:pPr>
      <w:r w:rsidRPr="005F62F4">
        <w:t xml:space="preserve">Croix G Saint, Zaidi SI, </w:t>
      </w:r>
      <w:proofErr w:type="spellStart"/>
      <w:r w:rsidRPr="005F62F4">
        <w:t>Loescher</w:t>
      </w:r>
      <w:proofErr w:type="spellEnd"/>
      <w:r w:rsidRPr="005F62F4">
        <w:t xml:space="preserve"> VS and </w:t>
      </w:r>
      <w:proofErr w:type="spellStart"/>
      <w:r w:rsidRPr="005F62F4">
        <w:t>Mihos</w:t>
      </w:r>
      <w:proofErr w:type="spellEnd"/>
      <w:r w:rsidRPr="005F62F4">
        <w:t xml:space="preserve"> CG (2020) 'Computed tomography-derived three-dimensional printed models versus two-dimensional transesophageal echocardiography for left atrial appendage occlusion device planning: A systematic review and meta-analysis', Journal of Atrial Fibrillation, 13(4):11–15, doi:10.4022/jafib.2433.</w:t>
      </w:r>
    </w:p>
    <w:p w14:paraId="02E700AB" w14:textId="7A893784" w:rsidR="00C91B8B" w:rsidRPr="005F62F4" w:rsidRDefault="00C91B8B" w:rsidP="002B57E2">
      <w:pPr>
        <w:pStyle w:val="Bibliography"/>
        <w:rPr>
          <w:b/>
        </w:rPr>
      </w:pPr>
      <w:r w:rsidRPr="005F62F4">
        <w:t xml:space="preserve">Department of Health (2017) </w:t>
      </w:r>
      <w:hyperlink r:id="rId28" w:history="1">
        <w:r w:rsidRPr="005F62F4">
          <w:rPr>
            <w:rStyle w:val="Hyperlink"/>
          </w:rPr>
          <w:t>Prostheses List guide</w:t>
        </w:r>
      </w:hyperlink>
      <w:r w:rsidRPr="005F62F4">
        <w:t>, Commonwealth of Australia.</w:t>
      </w:r>
    </w:p>
    <w:p w14:paraId="73114C1A" w14:textId="5FAC6B28" w:rsidR="00C91B8B" w:rsidRPr="005F62F4" w:rsidRDefault="00C91B8B" w:rsidP="002B57E2">
      <w:pPr>
        <w:pStyle w:val="Bibliography"/>
        <w:rPr>
          <w:b/>
        </w:rPr>
      </w:pPr>
      <w:r w:rsidRPr="005F62F4">
        <w:t xml:space="preserve">Department of Health and Aged Care (2022a) </w:t>
      </w:r>
      <w:hyperlink r:id="rId29" w:anchor="legislation" w:history="1">
        <w:r w:rsidRPr="005F62F4">
          <w:rPr>
            <w:rStyle w:val="Hyperlink"/>
          </w:rPr>
          <w:t>The Prostheses List</w:t>
        </w:r>
      </w:hyperlink>
      <w:r w:rsidRPr="005F62F4">
        <w:t>, accessed 8 November 2022.</w:t>
      </w:r>
    </w:p>
    <w:p w14:paraId="79A17330" w14:textId="7DA72F0E" w:rsidR="00C91B8B" w:rsidRPr="005F62F4" w:rsidRDefault="00C91B8B" w:rsidP="002B57E2">
      <w:pPr>
        <w:pStyle w:val="Bibliography"/>
        <w:rPr>
          <w:b/>
        </w:rPr>
      </w:pPr>
      <w:r w:rsidRPr="005F62F4">
        <w:t xml:space="preserve">Department of Health and Aged Care (2022b) </w:t>
      </w:r>
      <w:hyperlink r:id="rId30" w:history="1">
        <w:r w:rsidRPr="005F62F4">
          <w:rPr>
            <w:rStyle w:val="Hyperlink"/>
          </w:rPr>
          <w:t>The Prostheses List reforms</w:t>
        </w:r>
      </w:hyperlink>
      <w:r w:rsidRPr="005F62F4">
        <w:t>, Department of Health and Aged Care website, accessed 11 August 2022.</w:t>
      </w:r>
    </w:p>
    <w:p w14:paraId="41CCDF04" w14:textId="77777777" w:rsidR="00C91B8B" w:rsidRPr="005F62F4" w:rsidRDefault="00C91B8B" w:rsidP="002B57E2">
      <w:pPr>
        <w:pStyle w:val="Bibliography"/>
        <w:rPr>
          <w:b/>
        </w:rPr>
      </w:pPr>
      <w:proofErr w:type="spellStart"/>
      <w:r w:rsidRPr="005F62F4">
        <w:t>Eftekhar</w:t>
      </w:r>
      <w:proofErr w:type="spellEnd"/>
      <w:r w:rsidRPr="005F62F4">
        <w:t xml:space="preserve"> </w:t>
      </w:r>
      <w:proofErr w:type="spellStart"/>
      <w:r w:rsidRPr="005F62F4">
        <w:t>Ashtiani</w:t>
      </w:r>
      <w:proofErr w:type="spellEnd"/>
      <w:r w:rsidRPr="005F62F4">
        <w:t xml:space="preserve"> R, </w:t>
      </w:r>
      <w:proofErr w:type="spellStart"/>
      <w:r w:rsidRPr="005F62F4">
        <w:t>Ghasemi</w:t>
      </w:r>
      <w:proofErr w:type="spellEnd"/>
      <w:r w:rsidRPr="005F62F4">
        <w:t xml:space="preserve"> Z, Nami M, </w:t>
      </w:r>
      <w:proofErr w:type="spellStart"/>
      <w:r w:rsidRPr="005F62F4">
        <w:t>Mighani</w:t>
      </w:r>
      <w:proofErr w:type="spellEnd"/>
      <w:r w:rsidRPr="005F62F4">
        <w:t xml:space="preserve"> F and </w:t>
      </w:r>
      <w:proofErr w:type="spellStart"/>
      <w:r w:rsidRPr="005F62F4">
        <w:t>Namdari</w:t>
      </w:r>
      <w:proofErr w:type="spellEnd"/>
      <w:r w:rsidRPr="005F62F4">
        <w:t xml:space="preserve"> M (2021) 'Accuracy of static digital surgical guides for dental implants based on the guide system: A systematic review', Journal of Stomatology, Oral and Maxillofacial Surgery, 122(6):600–607, </w:t>
      </w:r>
      <w:proofErr w:type="gramStart"/>
      <w:r w:rsidRPr="005F62F4">
        <w:t>doi:10.1016/j.jormas</w:t>
      </w:r>
      <w:proofErr w:type="gramEnd"/>
      <w:r w:rsidRPr="005F62F4">
        <w:t>.2020.10.010.</w:t>
      </w:r>
    </w:p>
    <w:p w14:paraId="6B94698D" w14:textId="77777777" w:rsidR="00C91B8B" w:rsidRPr="005F62F4" w:rsidRDefault="00C91B8B" w:rsidP="002B57E2">
      <w:pPr>
        <w:pStyle w:val="Bibliography"/>
        <w:rPr>
          <w:b/>
        </w:rPr>
      </w:pPr>
      <w:proofErr w:type="spellStart"/>
      <w:r w:rsidRPr="005F62F4">
        <w:t>Francoisse</w:t>
      </w:r>
      <w:proofErr w:type="spellEnd"/>
      <w:r w:rsidRPr="005F62F4">
        <w:t xml:space="preserve"> C, </w:t>
      </w:r>
      <w:proofErr w:type="spellStart"/>
      <w:r w:rsidRPr="005F62F4">
        <w:t>Sescleifer</w:t>
      </w:r>
      <w:proofErr w:type="spellEnd"/>
      <w:r w:rsidRPr="005F62F4">
        <w:t xml:space="preserve"> A, King W and Lin A (2020) 'Three-dimensional printing in medicine: a systematic review of </w:t>
      </w:r>
      <w:proofErr w:type="spellStart"/>
      <w:r w:rsidRPr="005F62F4">
        <w:t>pediatric</w:t>
      </w:r>
      <w:proofErr w:type="spellEnd"/>
      <w:r w:rsidRPr="005F62F4">
        <w:t xml:space="preserve"> applications', </w:t>
      </w:r>
      <w:proofErr w:type="spellStart"/>
      <w:r w:rsidRPr="005F62F4">
        <w:t>Pediatric</w:t>
      </w:r>
      <w:proofErr w:type="spellEnd"/>
      <w:r w:rsidRPr="005F62F4">
        <w:t xml:space="preserve"> Research, 89(415–425).</w:t>
      </w:r>
    </w:p>
    <w:p w14:paraId="37A242E7" w14:textId="77777777" w:rsidR="00C91B8B" w:rsidRPr="005F62F4" w:rsidRDefault="00C91B8B" w:rsidP="002B57E2">
      <w:pPr>
        <w:pStyle w:val="Bibliography"/>
        <w:rPr>
          <w:b/>
        </w:rPr>
      </w:pPr>
      <w:proofErr w:type="spellStart"/>
      <w:r w:rsidRPr="005F62F4">
        <w:t>Gargallo-Albiol</w:t>
      </w:r>
      <w:proofErr w:type="spellEnd"/>
      <w:r w:rsidRPr="005F62F4">
        <w:t xml:space="preserve"> J, </w:t>
      </w:r>
      <w:proofErr w:type="spellStart"/>
      <w:r w:rsidRPr="005F62F4">
        <w:t>Barootchi</w:t>
      </w:r>
      <w:proofErr w:type="spellEnd"/>
      <w:r w:rsidRPr="005F62F4">
        <w:t xml:space="preserve"> S, Marqués-Guasch J and Wang H-L (2020) 'Fully guided versus half-guided and freehand implant placement: systematic review and meta-analysis', The International Journal of Oral &amp; Maxillofacial Implants, 35(6):1159–1169, doi:10.11607/jomi.7942.</w:t>
      </w:r>
    </w:p>
    <w:p w14:paraId="66ED7B59" w14:textId="77777777" w:rsidR="00C91B8B" w:rsidRPr="005F62F4" w:rsidRDefault="00C91B8B" w:rsidP="002B57E2">
      <w:pPr>
        <w:pStyle w:val="Bibliography"/>
        <w:rPr>
          <w:b/>
        </w:rPr>
      </w:pPr>
      <w:proofErr w:type="spellStart"/>
      <w:r w:rsidRPr="005F62F4">
        <w:t>Garritty</w:t>
      </w:r>
      <w:proofErr w:type="spellEnd"/>
      <w:r w:rsidRPr="005F62F4">
        <w:t xml:space="preserve"> C, </w:t>
      </w:r>
      <w:proofErr w:type="spellStart"/>
      <w:r w:rsidRPr="005F62F4">
        <w:t>Gartlehner</w:t>
      </w:r>
      <w:proofErr w:type="spellEnd"/>
      <w:r w:rsidRPr="005F62F4">
        <w:t xml:space="preserve"> G, </w:t>
      </w:r>
      <w:proofErr w:type="spellStart"/>
      <w:r w:rsidRPr="005F62F4">
        <w:t>Nussbaumer-Streit</w:t>
      </w:r>
      <w:proofErr w:type="spellEnd"/>
      <w:r w:rsidRPr="005F62F4">
        <w:t xml:space="preserve"> B, King VJ, Hamel C, Kamel C, </w:t>
      </w:r>
      <w:proofErr w:type="spellStart"/>
      <w:r w:rsidRPr="005F62F4">
        <w:t>Affengruber</w:t>
      </w:r>
      <w:proofErr w:type="spellEnd"/>
      <w:r w:rsidRPr="005F62F4">
        <w:t xml:space="preserve"> L and Stevens A (2021) 'Cochrane Rapid Reviews Methods Group offers evidence-informed guidance to conduct rapid reviews', Journal of Clinical Epidemiology, 130:13–22, </w:t>
      </w:r>
      <w:proofErr w:type="gramStart"/>
      <w:r w:rsidRPr="005F62F4">
        <w:t>doi:10.1016/j.jclinepi</w:t>
      </w:r>
      <w:proofErr w:type="gramEnd"/>
      <w:r w:rsidRPr="005F62F4">
        <w:t>.2020.10.007.</w:t>
      </w:r>
    </w:p>
    <w:p w14:paraId="3FA1E098" w14:textId="77777777" w:rsidR="00C91B8B" w:rsidRPr="005F62F4" w:rsidRDefault="00C91B8B" w:rsidP="002B57E2">
      <w:pPr>
        <w:pStyle w:val="Bibliography"/>
        <w:rPr>
          <w:b/>
        </w:rPr>
      </w:pPr>
      <w:proofErr w:type="spellStart"/>
      <w:r w:rsidRPr="005F62F4">
        <w:t>Ghantous</w:t>
      </w:r>
      <w:proofErr w:type="spellEnd"/>
      <w:r w:rsidRPr="005F62F4">
        <w:t xml:space="preserve"> Y, </w:t>
      </w:r>
      <w:proofErr w:type="spellStart"/>
      <w:r w:rsidRPr="005F62F4">
        <w:t>Nashef</w:t>
      </w:r>
      <w:proofErr w:type="spellEnd"/>
      <w:r w:rsidRPr="005F62F4">
        <w:t xml:space="preserve"> A, </w:t>
      </w:r>
      <w:proofErr w:type="spellStart"/>
      <w:r w:rsidRPr="005F62F4">
        <w:t>Mohanna</w:t>
      </w:r>
      <w:proofErr w:type="spellEnd"/>
      <w:r w:rsidRPr="005F62F4">
        <w:t xml:space="preserve"> A and Abu-El-</w:t>
      </w:r>
      <w:proofErr w:type="spellStart"/>
      <w:r w:rsidRPr="005F62F4">
        <w:t>Naaj</w:t>
      </w:r>
      <w:proofErr w:type="spellEnd"/>
      <w:r w:rsidRPr="005F62F4">
        <w:t xml:space="preserve"> I (2020) 'Three-dimensional technology applications in maxillofacial reconstructive surgery: current surgical implications', Nanomaterials, 10(12):2523, doi:10.3390/nano10122523.</w:t>
      </w:r>
    </w:p>
    <w:p w14:paraId="40320A33" w14:textId="55EA517D" w:rsidR="00C91B8B" w:rsidRPr="005F62F4" w:rsidRDefault="00C91B8B" w:rsidP="002B57E2">
      <w:pPr>
        <w:pStyle w:val="Bibliography"/>
        <w:rPr>
          <w:b/>
        </w:rPr>
      </w:pPr>
      <w:r w:rsidRPr="005F62F4">
        <w:t xml:space="preserve">Harris B and Lim J (2021) </w:t>
      </w:r>
      <w:hyperlink r:id="rId31" w:history="1">
        <w:r w:rsidRPr="005F62F4">
          <w:rPr>
            <w:rStyle w:val="Hyperlink"/>
          </w:rPr>
          <w:t>Prostheses List usage 2020-2021: product groups with the highest single-year volume growth across Australia</w:t>
        </w:r>
      </w:hyperlink>
      <w:r w:rsidRPr="005F62F4">
        <w:t xml:space="preserve">, 1st </w:t>
      </w:r>
      <w:proofErr w:type="spellStart"/>
      <w:r w:rsidRPr="005F62F4">
        <w:t>edn</w:t>
      </w:r>
      <w:proofErr w:type="spellEnd"/>
      <w:r w:rsidRPr="005F62F4">
        <w:t>, Private Healthcare Australia.</w:t>
      </w:r>
    </w:p>
    <w:p w14:paraId="5ABE1E58" w14:textId="77777777" w:rsidR="00C91B8B" w:rsidRPr="005F62F4" w:rsidRDefault="00C91B8B" w:rsidP="002B57E2">
      <w:pPr>
        <w:pStyle w:val="Bibliography"/>
        <w:rPr>
          <w:b/>
        </w:rPr>
      </w:pPr>
      <w:r w:rsidRPr="005F62F4">
        <w:t xml:space="preserve">Hong CJ, Giannopoulos AA, Hong BY, </w:t>
      </w:r>
      <w:proofErr w:type="spellStart"/>
      <w:r w:rsidRPr="005F62F4">
        <w:t>Witterick</w:t>
      </w:r>
      <w:proofErr w:type="spellEnd"/>
      <w:r w:rsidRPr="005F62F4">
        <w:t xml:space="preserve"> IJ, Irish JC, Lee J, </w:t>
      </w:r>
      <w:proofErr w:type="spellStart"/>
      <w:r w:rsidRPr="005F62F4">
        <w:t>Vescan</w:t>
      </w:r>
      <w:proofErr w:type="spellEnd"/>
      <w:r w:rsidRPr="005F62F4">
        <w:t xml:space="preserve"> A, </w:t>
      </w:r>
      <w:proofErr w:type="spellStart"/>
      <w:r w:rsidRPr="005F62F4">
        <w:t>Mitsouras</w:t>
      </w:r>
      <w:proofErr w:type="spellEnd"/>
      <w:r w:rsidRPr="005F62F4">
        <w:t xml:space="preserve"> D, Dang W, </w:t>
      </w:r>
      <w:proofErr w:type="spellStart"/>
      <w:r w:rsidRPr="005F62F4">
        <w:t>Campisi</w:t>
      </w:r>
      <w:proofErr w:type="spellEnd"/>
      <w:r w:rsidRPr="005F62F4">
        <w:t xml:space="preserve"> P, de Almeida JR and Monteiro E (2019) 'Clinical applications of three-dimensional printing in otolaryngology–head and neck surgery: a systematic review', Laryngoscope, 129(9):2045–2052, doi:10.1002/lary.27831.</w:t>
      </w:r>
    </w:p>
    <w:p w14:paraId="4A9EEB50" w14:textId="0903B0F3" w:rsidR="00C91B8B" w:rsidRPr="005F62F4" w:rsidRDefault="00C91B8B" w:rsidP="002B57E2">
      <w:pPr>
        <w:pStyle w:val="Bibliography"/>
        <w:rPr>
          <w:b/>
        </w:rPr>
      </w:pPr>
      <w:r w:rsidRPr="005F62F4">
        <w:t xml:space="preserve">International Congress of Oral Implantologists (n.d.) </w:t>
      </w:r>
      <w:hyperlink r:id="rId32" w:history="1">
        <w:r w:rsidRPr="005F62F4">
          <w:rPr>
            <w:rStyle w:val="Hyperlink"/>
          </w:rPr>
          <w:t>Alveolar ridge augmentation</w:t>
        </w:r>
      </w:hyperlink>
      <w:r w:rsidRPr="005F62F4">
        <w:t>, accessed 11</w:t>
      </w:r>
      <w:r w:rsidR="002B57E2" w:rsidRPr="005F62F4">
        <w:t> </w:t>
      </w:r>
      <w:r w:rsidRPr="005F62F4">
        <w:t>November 2022.</w:t>
      </w:r>
    </w:p>
    <w:p w14:paraId="4DB631A1" w14:textId="77777777" w:rsidR="00C91B8B" w:rsidRPr="005F62F4" w:rsidRDefault="00C91B8B" w:rsidP="002B57E2">
      <w:pPr>
        <w:pStyle w:val="Bibliography"/>
        <w:rPr>
          <w:b/>
        </w:rPr>
      </w:pPr>
      <w:r w:rsidRPr="005F62F4">
        <w:lastRenderedPageBreak/>
        <w:t xml:space="preserve">Johal M, Ma J, Parthasarathi K, Dunn M, Howes D, Wallace C, Palme C, </w:t>
      </w:r>
      <w:proofErr w:type="spellStart"/>
      <w:r w:rsidRPr="005F62F4">
        <w:t>Leinkram</w:t>
      </w:r>
      <w:proofErr w:type="spellEnd"/>
      <w:r w:rsidRPr="005F62F4">
        <w:t xml:space="preserve"> D, Cheng K and Clark J (2022) 'Institutional-based and commercial virtual surgical planning in maxillomandibular reconstruction - comparing the digital and postoperative scan', Journal of Plastic, Reconstructive &amp; Aesthetic Surgery, 75:1399–1407.</w:t>
      </w:r>
    </w:p>
    <w:p w14:paraId="619AD7F6" w14:textId="77777777" w:rsidR="00C91B8B" w:rsidRPr="005F62F4" w:rsidRDefault="00C91B8B" w:rsidP="002B57E2">
      <w:pPr>
        <w:pStyle w:val="Bibliography"/>
        <w:rPr>
          <w:b/>
        </w:rPr>
      </w:pPr>
      <w:r w:rsidRPr="005F62F4">
        <w:t xml:space="preserve">Jones JP, </w:t>
      </w:r>
      <w:proofErr w:type="spellStart"/>
      <w:r w:rsidRPr="005F62F4">
        <w:t>Amarista</w:t>
      </w:r>
      <w:proofErr w:type="spellEnd"/>
      <w:r w:rsidRPr="005F62F4">
        <w:t xml:space="preserve"> FJ, </w:t>
      </w:r>
      <w:proofErr w:type="spellStart"/>
      <w:r w:rsidRPr="005F62F4">
        <w:t>Jeske</w:t>
      </w:r>
      <w:proofErr w:type="spellEnd"/>
      <w:r w:rsidRPr="005F62F4">
        <w:t xml:space="preserve"> NA, </w:t>
      </w:r>
      <w:proofErr w:type="spellStart"/>
      <w:r w:rsidRPr="005F62F4">
        <w:t>Szalay</w:t>
      </w:r>
      <w:proofErr w:type="spellEnd"/>
      <w:r w:rsidRPr="005F62F4">
        <w:t xml:space="preserve"> D and Ellis E (2022) 'Comparison of the accuracy of maxillary positioning with interim splints versus patient-specific guides and plates in executing a virtual bimaxillary surgical plan', Journal of Oral and Maxillofacial Surgery, 80(5):827–837, </w:t>
      </w:r>
      <w:proofErr w:type="gramStart"/>
      <w:r w:rsidRPr="005F62F4">
        <w:t>doi:10.1016/j.joms</w:t>
      </w:r>
      <w:proofErr w:type="gramEnd"/>
      <w:r w:rsidRPr="005F62F4">
        <w:t>.2022.01.006.</w:t>
      </w:r>
    </w:p>
    <w:p w14:paraId="0C5BD67B" w14:textId="77777777" w:rsidR="00C91B8B" w:rsidRPr="005F62F4" w:rsidRDefault="00C91B8B" w:rsidP="002B57E2">
      <w:pPr>
        <w:pStyle w:val="Bibliography"/>
        <w:rPr>
          <w:b/>
        </w:rPr>
      </w:pPr>
      <w:r w:rsidRPr="005F62F4">
        <w:t xml:space="preserve">Kizaki K, </w:t>
      </w:r>
      <w:proofErr w:type="spellStart"/>
      <w:r w:rsidRPr="005F62F4">
        <w:t>Shanmugaraj</w:t>
      </w:r>
      <w:proofErr w:type="spellEnd"/>
      <w:r w:rsidRPr="005F62F4">
        <w:t xml:space="preserve"> A, Yamashita F, Simunovic N, Duong A, Khanna V and Ayeni OR (2019) 'Total knee arthroplasty using patient-specific instrumentation for osteoarthritis of the knee: a meta-analysis', BMC Musculoskeletal Disorders, 20(1):1–18, doi:10.1186/s12891-019-2940-2.</w:t>
      </w:r>
    </w:p>
    <w:p w14:paraId="3A3FE58E" w14:textId="77777777" w:rsidR="00C91B8B" w:rsidRPr="005F62F4" w:rsidRDefault="00C91B8B" w:rsidP="002B57E2">
      <w:pPr>
        <w:pStyle w:val="Bibliography"/>
        <w:rPr>
          <w:b/>
        </w:rPr>
      </w:pPr>
      <w:r w:rsidRPr="005F62F4">
        <w:t>Kumar S (2019) 'Evidence in surgery—levels and significance', Indian Journal of Surgery, 81(4):307–316, doi:10.1007/s12262-019-01939-8.</w:t>
      </w:r>
    </w:p>
    <w:p w14:paraId="40564D41" w14:textId="77777777" w:rsidR="00C91B8B" w:rsidRPr="005F62F4" w:rsidRDefault="00C91B8B" w:rsidP="002B57E2">
      <w:pPr>
        <w:pStyle w:val="Bibliography"/>
        <w:rPr>
          <w:b/>
        </w:rPr>
      </w:pPr>
      <w:proofErr w:type="spellStart"/>
      <w:r w:rsidRPr="005F62F4">
        <w:t>Lohfeld</w:t>
      </w:r>
      <w:proofErr w:type="spellEnd"/>
      <w:r w:rsidRPr="005F62F4">
        <w:t xml:space="preserve"> S, Barron V and McHugh PE (2005) '</w:t>
      </w:r>
      <w:proofErr w:type="spellStart"/>
      <w:r w:rsidRPr="005F62F4">
        <w:t>Biomodels</w:t>
      </w:r>
      <w:proofErr w:type="spellEnd"/>
      <w:r w:rsidRPr="005F62F4">
        <w:t xml:space="preserve"> of bone: a review', Annals of Biomedical Engineering, 33(10):1295–1311, doi:10.1007/S10439-005-5873-X.</w:t>
      </w:r>
    </w:p>
    <w:p w14:paraId="49DE9A31" w14:textId="77777777" w:rsidR="00C91B8B" w:rsidRPr="005F62F4" w:rsidRDefault="00C91B8B" w:rsidP="002B57E2">
      <w:pPr>
        <w:pStyle w:val="Bibliography"/>
        <w:rPr>
          <w:b/>
        </w:rPr>
      </w:pPr>
      <w:r w:rsidRPr="005F62F4">
        <w:t xml:space="preserve">De </w:t>
      </w:r>
      <w:proofErr w:type="spellStart"/>
      <w:r w:rsidRPr="005F62F4">
        <w:t>Maesschalck</w:t>
      </w:r>
      <w:proofErr w:type="spellEnd"/>
      <w:r w:rsidRPr="005F62F4">
        <w:t xml:space="preserve"> T, Courvoisier DS and </w:t>
      </w:r>
      <w:proofErr w:type="spellStart"/>
      <w:r w:rsidRPr="005F62F4">
        <w:t>Scolozzi</w:t>
      </w:r>
      <w:proofErr w:type="spellEnd"/>
      <w:r w:rsidRPr="005F62F4">
        <w:t xml:space="preserve"> P (2017) 'Computer-assisted versus traditional freehand technique in fibular free flap mandibular reconstruction: a morphological comparative study', European Archives of Oto-Rhino-Laryngology, 274(1):517–526, doi:10.1007/s00405-016-4246-4.</w:t>
      </w:r>
    </w:p>
    <w:p w14:paraId="7BCE32FF" w14:textId="6377D308" w:rsidR="00C91B8B" w:rsidRPr="005F62F4" w:rsidRDefault="00C91B8B" w:rsidP="002B57E2">
      <w:pPr>
        <w:pStyle w:val="Bibliography"/>
        <w:rPr>
          <w:b/>
        </w:rPr>
      </w:pPr>
      <w:r w:rsidRPr="005F62F4">
        <w:t xml:space="preserve">Mason J, </w:t>
      </w:r>
      <w:proofErr w:type="spellStart"/>
      <w:r w:rsidRPr="005F62F4">
        <w:t>Visintini</w:t>
      </w:r>
      <w:proofErr w:type="spellEnd"/>
      <w:r w:rsidRPr="005F62F4">
        <w:t xml:space="preserve"> S and Quay T (2019) </w:t>
      </w:r>
      <w:hyperlink r:id="rId33" w:history="1">
        <w:r w:rsidRPr="005F62F4">
          <w:rPr>
            <w:rStyle w:val="Hyperlink"/>
          </w:rPr>
          <w:t>'An overview of clinical applications of 3-D printing and bioprinting</w:t>
        </w:r>
      </w:hyperlink>
      <w:r w:rsidRPr="005F62F4">
        <w:t>', CADTH Issues in Emerging Health Technologies, Issue 175, Ottawa.</w:t>
      </w:r>
    </w:p>
    <w:p w14:paraId="308761BD" w14:textId="34B06460" w:rsidR="00C91B8B" w:rsidRPr="005F62F4" w:rsidRDefault="00C91B8B" w:rsidP="002B57E2">
      <w:pPr>
        <w:pStyle w:val="Bibliography"/>
        <w:rPr>
          <w:b/>
        </w:rPr>
      </w:pPr>
      <w:r w:rsidRPr="005F62F4">
        <w:t>Mazzola F, Smithers F, Cheng K, Mukherjee P, Low T, Sydney C, Palme C and Clark J (20</w:t>
      </w:r>
      <w:r w:rsidR="00BD492E" w:rsidRPr="005F62F4">
        <w:t>20</w:t>
      </w:r>
      <w:r w:rsidRPr="005F62F4">
        <w:t>) 'Time and cost-analysis of virtual surgical planning for head and neck reconstruction: a matched pair analysis', Oral Oncology, 100(</w:t>
      </w:r>
      <w:r w:rsidR="00FE3001" w:rsidRPr="005F62F4">
        <w:t>104491</w:t>
      </w:r>
      <w:r w:rsidRPr="005F62F4">
        <w:t>)</w:t>
      </w:r>
      <w:r w:rsidR="00BD492E" w:rsidRPr="005F62F4">
        <w:t xml:space="preserve">, </w:t>
      </w:r>
      <w:proofErr w:type="spellStart"/>
      <w:r w:rsidR="00BD492E" w:rsidRPr="005F62F4">
        <w:t>doi</w:t>
      </w:r>
      <w:proofErr w:type="spellEnd"/>
      <w:r w:rsidR="00BD492E" w:rsidRPr="005F62F4">
        <w:t>: 10.1016/j.oraloncology.2019.104491</w:t>
      </w:r>
      <w:r w:rsidRPr="005F62F4">
        <w:t>.</w:t>
      </w:r>
    </w:p>
    <w:p w14:paraId="54BD684D" w14:textId="77777777" w:rsidR="00C91B8B" w:rsidRPr="005F62F4" w:rsidRDefault="00C91B8B" w:rsidP="002B57E2">
      <w:pPr>
        <w:pStyle w:val="Bibliography"/>
        <w:rPr>
          <w:b/>
        </w:rPr>
      </w:pPr>
      <w:proofErr w:type="spellStart"/>
      <w:r w:rsidRPr="005F62F4">
        <w:t>Mcallister</w:t>
      </w:r>
      <w:proofErr w:type="spellEnd"/>
      <w:r w:rsidRPr="005F62F4">
        <w:t xml:space="preserve"> P, Watson M and Burke E (2018) 'A cost-effective, in-house, positioning and cutting guide system for orthognathic surgery', Journal Maxillofacial Oral Surgery, 17(1):112–114, doi:10.1007/s12663-017-1067-y.</w:t>
      </w:r>
    </w:p>
    <w:p w14:paraId="0157273F" w14:textId="77777777" w:rsidR="00C91B8B" w:rsidRPr="005F62F4" w:rsidRDefault="00C91B8B" w:rsidP="002B57E2">
      <w:pPr>
        <w:pStyle w:val="Bibliography"/>
        <w:rPr>
          <w:b/>
        </w:rPr>
      </w:pPr>
      <w:proofErr w:type="spellStart"/>
      <w:r w:rsidRPr="005F62F4">
        <w:t>Meglioli</w:t>
      </w:r>
      <w:proofErr w:type="spellEnd"/>
      <w:r w:rsidRPr="005F62F4">
        <w:t xml:space="preserve"> M, </w:t>
      </w:r>
      <w:proofErr w:type="spellStart"/>
      <w:r w:rsidRPr="005F62F4">
        <w:t>Naveau</w:t>
      </w:r>
      <w:proofErr w:type="spellEnd"/>
      <w:r w:rsidRPr="005F62F4">
        <w:t xml:space="preserve"> A, Macaluso G and </w:t>
      </w:r>
      <w:proofErr w:type="spellStart"/>
      <w:r w:rsidRPr="005F62F4">
        <w:t>Catros</w:t>
      </w:r>
      <w:proofErr w:type="spellEnd"/>
      <w:r w:rsidRPr="005F62F4">
        <w:t xml:space="preserve"> S (2020) '3D printed bone models in oral and craniomaxillofacial surgery: a systematic review', 3D Printing in Medicine, 6(1):30.</w:t>
      </w:r>
    </w:p>
    <w:p w14:paraId="07894421" w14:textId="06EF3E20" w:rsidR="00C91B8B" w:rsidRPr="005F62F4" w:rsidRDefault="00C91B8B" w:rsidP="002B57E2">
      <w:pPr>
        <w:pStyle w:val="Bibliography"/>
        <w:rPr>
          <w:b/>
        </w:rPr>
      </w:pPr>
      <w:r w:rsidRPr="005F62F4">
        <w:t xml:space="preserve">NHMRC (National Health and Medical Research Council) (2009) </w:t>
      </w:r>
      <w:hyperlink r:id="rId34" w:history="1">
        <w:r w:rsidRPr="005F62F4">
          <w:rPr>
            <w:rStyle w:val="Hyperlink"/>
          </w:rPr>
          <w:t>NHMRC levels of evidence and grades for recommendations for developers of guidelines</w:t>
        </w:r>
      </w:hyperlink>
      <w:r w:rsidRPr="005F62F4">
        <w:t>, NHMRC, Canberra.</w:t>
      </w:r>
    </w:p>
    <w:p w14:paraId="380747DC" w14:textId="77777777" w:rsidR="00C91B8B" w:rsidRPr="005F62F4" w:rsidRDefault="00C91B8B" w:rsidP="002B57E2">
      <w:pPr>
        <w:pStyle w:val="Bibliography"/>
        <w:rPr>
          <w:b/>
        </w:rPr>
      </w:pPr>
      <w:r w:rsidRPr="005F62F4">
        <w:t xml:space="preserve">Omari A, </w:t>
      </w:r>
      <w:proofErr w:type="spellStart"/>
      <w:r w:rsidRPr="005F62F4">
        <w:t>Frendø</w:t>
      </w:r>
      <w:proofErr w:type="spellEnd"/>
      <w:r w:rsidRPr="005F62F4">
        <w:t xml:space="preserve"> M, </w:t>
      </w:r>
      <w:proofErr w:type="spellStart"/>
      <w:r w:rsidRPr="005F62F4">
        <w:t>Sørensen</w:t>
      </w:r>
      <w:proofErr w:type="spellEnd"/>
      <w:r w:rsidRPr="005F62F4">
        <w:t xml:space="preserve"> MS, Andersen SAW and </w:t>
      </w:r>
      <w:proofErr w:type="spellStart"/>
      <w:r w:rsidRPr="005F62F4">
        <w:t>Frithioff</w:t>
      </w:r>
      <w:proofErr w:type="spellEnd"/>
      <w:r w:rsidRPr="005F62F4">
        <w:t xml:space="preserve"> A (2022) 'The cutting edge of customized surgery: 3D-printed models for patient-specific interventions in otology and auricular management—a systematic review', European Archives of Oto-Rhino-Laryngology, 279(7):3269–3288, doi:10.1007/s00405-022-07291-0.</w:t>
      </w:r>
    </w:p>
    <w:p w14:paraId="0A5C85CD" w14:textId="77777777" w:rsidR="00C91B8B" w:rsidRPr="005F62F4" w:rsidRDefault="00C91B8B" w:rsidP="002B57E2">
      <w:pPr>
        <w:pStyle w:val="Bibliography"/>
        <w:rPr>
          <w:b/>
        </w:rPr>
      </w:pPr>
      <w:proofErr w:type="spellStart"/>
      <w:r w:rsidRPr="005F62F4">
        <w:t>Papotto</w:t>
      </w:r>
      <w:proofErr w:type="spellEnd"/>
      <w:r w:rsidRPr="005F62F4">
        <w:t xml:space="preserve"> G, Testa G, </w:t>
      </w:r>
      <w:proofErr w:type="spellStart"/>
      <w:r w:rsidRPr="005F62F4">
        <w:t>Mobilia</w:t>
      </w:r>
      <w:proofErr w:type="spellEnd"/>
      <w:r w:rsidRPr="005F62F4">
        <w:t xml:space="preserve"> G, Perez S, </w:t>
      </w:r>
      <w:proofErr w:type="spellStart"/>
      <w:r w:rsidRPr="005F62F4">
        <w:t>Dimartino</w:t>
      </w:r>
      <w:proofErr w:type="spellEnd"/>
      <w:r w:rsidRPr="005F62F4">
        <w:t xml:space="preserve"> S, </w:t>
      </w:r>
      <w:proofErr w:type="spellStart"/>
      <w:r w:rsidRPr="005F62F4">
        <w:t>Giardina</w:t>
      </w:r>
      <w:proofErr w:type="spellEnd"/>
      <w:r w:rsidRPr="005F62F4">
        <w:t xml:space="preserve"> SMC, Sessa G and </w:t>
      </w:r>
      <w:proofErr w:type="spellStart"/>
      <w:r w:rsidRPr="005F62F4">
        <w:t>Pavone</w:t>
      </w:r>
      <w:proofErr w:type="spellEnd"/>
      <w:r w:rsidRPr="005F62F4">
        <w:t xml:space="preserve"> V (2022) 'Use of 3D printing and pre-contouring plate in the surgical planning of acetabular fractures: a systematic review', Orthopaedics and Traumatology: Surgery and Research, 108(2):103111, </w:t>
      </w:r>
      <w:proofErr w:type="gramStart"/>
      <w:r w:rsidRPr="005F62F4">
        <w:t>doi:10.1016/j.otsr</w:t>
      </w:r>
      <w:proofErr w:type="gramEnd"/>
      <w:r w:rsidRPr="005F62F4">
        <w:t>.2021.103111.</w:t>
      </w:r>
    </w:p>
    <w:p w14:paraId="4A6641DB" w14:textId="5D1A512B" w:rsidR="00BD492E" w:rsidRPr="005F62F4" w:rsidRDefault="00BD492E" w:rsidP="002B57E2">
      <w:pPr>
        <w:pStyle w:val="Bibliography"/>
        <w:rPr>
          <w:b/>
        </w:rPr>
      </w:pPr>
      <w:r w:rsidRPr="005F62F4">
        <w:t xml:space="preserve">Parliament of Australia (2017) </w:t>
      </w:r>
      <w:hyperlink r:id="rId35" w:history="1">
        <w:r w:rsidRPr="005F62F4">
          <w:rPr>
            <w:rStyle w:val="Hyperlink"/>
          </w:rPr>
          <w:t>Chapter 2 – The Prostheses List in practice</w:t>
        </w:r>
      </w:hyperlink>
      <w:r w:rsidRPr="005F62F4">
        <w:t>, Price regulation associated with the Prostheses List Framework report, accessed 9 November 2022.</w:t>
      </w:r>
    </w:p>
    <w:p w14:paraId="1A85AE31" w14:textId="47A4B6EA" w:rsidR="00C91B8B" w:rsidRPr="005F62F4" w:rsidRDefault="00C91B8B" w:rsidP="002B57E2">
      <w:pPr>
        <w:pStyle w:val="Bibliography"/>
        <w:rPr>
          <w:b/>
        </w:rPr>
      </w:pPr>
      <w:proofErr w:type="spellStart"/>
      <w:r w:rsidRPr="005F62F4">
        <w:t>Poitros</w:t>
      </w:r>
      <w:proofErr w:type="spellEnd"/>
      <w:r w:rsidRPr="005F62F4">
        <w:t xml:space="preserve"> Y and Pena A (2016) </w:t>
      </w:r>
      <w:hyperlink r:id="rId36" w:history="1">
        <w:r w:rsidRPr="005F62F4">
          <w:rPr>
            <w:rStyle w:val="Hyperlink"/>
          </w:rPr>
          <w:t>CAD-CAM surgical guides for implantology: the new, the old and the essential</w:t>
        </w:r>
      </w:hyperlink>
      <w:r w:rsidRPr="005F62F4">
        <w:t>, accessed 28 October 2022.</w:t>
      </w:r>
    </w:p>
    <w:p w14:paraId="1578416E" w14:textId="77777777" w:rsidR="00C91B8B" w:rsidRPr="005F62F4" w:rsidRDefault="00C91B8B" w:rsidP="002B57E2">
      <w:pPr>
        <w:pStyle w:val="Bibliography"/>
        <w:rPr>
          <w:b/>
        </w:rPr>
      </w:pPr>
      <w:proofErr w:type="spellStart"/>
      <w:r w:rsidRPr="005F62F4">
        <w:lastRenderedPageBreak/>
        <w:t>Powcharoen</w:t>
      </w:r>
      <w:proofErr w:type="spellEnd"/>
      <w:r w:rsidRPr="005F62F4">
        <w:t xml:space="preserve"> W, Yang WF, Yan Li K, Zhu W and Su YX (2019) 'Computer-assisted versus conventional freehand mandibular reconstruction with fibula free flap: a systematic review and meta-analysis', Plastic and reconstructive surgery, 144(6):1417–1428, doi:10.1097/PRS.0000000000006261.</w:t>
      </w:r>
    </w:p>
    <w:p w14:paraId="4172D235" w14:textId="77777777" w:rsidR="00C91B8B" w:rsidRPr="005F62F4" w:rsidRDefault="00C91B8B" w:rsidP="002B57E2">
      <w:pPr>
        <w:pStyle w:val="Bibliography"/>
        <w:rPr>
          <w:b/>
        </w:rPr>
      </w:pPr>
      <w:r w:rsidRPr="005F62F4">
        <w:t xml:space="preserve">Putra RH, Yoda N, Astuti ER and Sasaki K (2022) 'The accuracy of implant placement with computer-guided surgery in partially edentulous patients and possible influencing factors: a systematic review and meta-analysis', Journal of Prosthodontic Research, 66(1):29–39, </w:t>
      </w:r>
      <w:proofErr w:type="gramStart"/>
      <w:r w:rsidRPr="005F62F4">
        <w:t>doi:10.2186/jpr.JPR</w:t>
      </w:r>
      <w:proofErr w:type="gramEnd"/>
      <w:r w:rsidRPr="005F62F4">
        <w:t>_D_20_00184.</w:t>
      </w:r>
    </w:p>
    <w:p w14:paraId="6CF70C66" w14:textId="77777777" w:rsidR="00C91B8B" w:rsidRPr="005F62F4" w:rsidRDefault="00C91B8B" w:rsidP="002B57E2">
      <w:pPr>
        <w:pStyle w:val="Bibliography"/>
        <w:rPr>
          <w:b/>
        </w:rPr>
      </w:pPr>
      <w:r w:rsidRPr="005F62F4">
        <w:t xml:space="preserve">Resnick CM, </w:t>
      </w:r>
      <w:proofErr w:type="spellStart"/>
      <w:r w:rsidRPr="005F62F4">
        <w:t>Inverso</w:t>
      </w:r>
      <w:proofErr w:type="spellEnd"/>
      <w:r w:rsidRPr="005F62F4">
        <w:t xml:space="preserve"> G, </w:t>
      </w:r>
      <w:proofErr w:type="spellStart"/>
      <w:r w:rsidRPr="005F62F4">
        <w:t>Wrzosek</w:t>
      </w:r>
      <w:proofErr w:type="spellEnd"/>
      <w:r w:rsidRPr="005F62F4">
        <w:t xml:space="preserve"> M, </w:t>
      </w:r>
      <w:proofErr w:type="spellStart"/>
      <w:r w:rsidRPr="005F62F4">
        <w:t>Padwa</w:t>
      </w:r>
      <w:proofErr w:type="spellEnd"/>
      <w:r w:rsidRPr="005F62F4">
        <w:t xml:space="preserve"> BL, </w:t>
      </w:r>
      <w:proofErr w:type="spellStart"/>
      <w:r w:rsidRPr="005F62F4">
        <w:t>Kaban</w:t>
      </w:r>
      <w:proofErr w:type="spellEnd"/>
      <w:r w:rsidRPr="005F62F4">
        <w:t xml:space="preserve"> LB and Peacock ZS (2016) 'Is there a difference in cost between standard and virtual surgical planning for orthognathic surgery?', Journal of Oral and Maxillofacial Surgery, 74(9):1827–1833, </w:t>
      </w:r>
      <w:proofErr w:type="gramStart"/>
      <w:r w:rsidRPr="005F62F4">
        <w:t>doi:10.1016/j.joms</w:t>
      </w:r>
      <w:proofErr w:type="gramEnd"/>
      <w:r w:rsidRPr="005F62F4">
        <w:t>.2016.03.035.</w:t>
      </w:r>
    </w:p>
    <w:p w14:paraId="5CA39A64" w14:textId="77777777" w:rsidR="00C91B8B" w:rsidRPr="005F62F4" w:rsidRDefault="00C91B8B" w:rsidP="002B57E2">
      <w:pPr>
        <w:pStyle w:val="Bibliography"/>
        <w:rPr>
          <w:b/>
        </w:rPr>
      </w:pPr>
      <w:proofErr w:type="spellStart"/>
      <w:r w:rsidRPr="005F62F4">
        <w:t>Romandini</w:t>
      </w:r>
      <w:proofErr w:type="spellEnd"/>
      <w:r w:rsidRPr="005F62F4">
        <w:t xml:space="preserve"> M, </w:t>
      </w:r>
      <w:proofErr w:type="spellStart"/>
      <w:r w:rsidRPr="005F62F4">
        <w:t>Ruales</w:t>
      </w:r>
      <w:proofErr w:type="spellEnd"/>
      <w:r w:rsidRPr="005F62F4">
        <w:t xml:space="preserve">-Carrera E, </w:t>
      </w:r>
      <w:proofErr w:type="spellStart"/>
      <w:r w:rsidRPr="005F62F4">
        <w:t>Sadilina</w:t>
      </w:r>
      <w:proofErr w:type="spellEnd"/>
      <w:r w:rsidRPr="005F62F4">
        <w:t xml:space="preserve"> S, </w:t>
      </w:r>
      <w:proofErr w:type="spellStart"/>
      <w:r w:rsidRPr="005F62F4">
        <w:t>Hämmerle</w:t>
      </w:r>
      <w:proofErr w:type="spellEnd"/>
      <w:r w:rsidRPr="005F62F4">
        <w:t xml:space="preserve"> CHF and Sanz M (2022) 'Minimal invasiveness at dental implant placement: a systematic review with meta-analyses on flapless fully guided surgery', Periodontology 2000, 00:1–24, doi:10.1111/prd.12440.</w:t>
      </w:r>
    </w:p>
    <w:p w14:paraId="0B66D98E" w14:textId="77777777" w:rsidR="00C91B8B" w:rsidRPr="005F62F4" w:rsidRDefault="00C91B8B" w:rsidP="002B57E2">
      <w:pPr>
        <w:pStyle w:val="Bibliography"/>
        <w:rPr>
          <w:b/>
        </w:rPr>
      </w:pPr>
      <w:r w:rsidRPr="005F62F4">
        <w:t xml:space="preserve">Rommel N, </w:t>
      </w:r>
      <w:proofErr w:type="spellStart"/>
      <w:r w:rsidRPr="005F62F4">
        <w:t>Kesting</w:t>
      </w:r>
      <w:proofErr w:type="spellEnd"/>
      <w:r w:rsidRPr="005F62F4">
        <w:t xml:space="preserve"> MR, </w:t>
      </w:r>
      <w:proofErr w:type="spellStart"/>
      <w:r w:rsidRPr="005F62F4">
        <w:t>Rohleder</w:t>
      </w:r>
      <w:proofErr w:type="spellEnd"/>
      <w:r w:rsidRPr="005F62F4">
        <w:t xml:space="preserve"> NH, Bauer FMJ, Wolff K-D and Weitz J (2017) 'Mandible reconstruction with free fibula flaps: outcome of a cost-effective individual planning concept compared with virtual surgical planning', Journal of Cranio-Maxillo-Facial Surgery, 25(2017):1246–1250.</w:t>
      </w:r>
    </w:p>
    <w:p w14:paraId="03B4CD4B" w14:textId="77777777" w:rsidR="00C91B8B" w:rsidRPr="005F62F4" w:rsidRDefault="00C91B8B" w:rsidP="002B57E2">
      <w:pPr>
        <w:pStyle w:val="Bibliography"/>
        <w:rPr>
          <w:b/>
        </w:rPr>
      </w:pPr>
      <w:r w:rsidRPr="005F62F4">
        <w:t xml:space="preserve">Ross PT and </w:t>
      </w:r>
      <w:proofErr w:type="spellStart"/>
      <w:r w:rsidRPr="005F62F4">
        <w:t>Bibler</w:t>
      </w:r>
      <w:proofErr w:type="spellEnd"/>
      <w:r w:rsidRPr="005F62F4">
        <w:t xml:space="preserve"> Zaidi NL (2019) 'Limited by our limitations', Perspectives on Medical Education, 8(4):261, doi:10.1007/S40037-019-00530-X.</w:t>
      </w:r>
    </w:p>
    <w:p w14:paraId="4A346C45" w14:textId="3D587AA0" w:rsidR="00C91B8B" w:rsidRPr="005F62F4" w:rsidRDefault="00C91B8B" w:rsidP="002B57E2">
      <w:pPr>
        <w:pStyle w:val="Bibliography"/>
        <w:rPr>
          <w:b/>
        </w:rPr>
      </w:pPr>
      <w:r w:rsidRPr="005F62F4">
        <w:t xml:space="preserve">Royal College of Surgeons of England (2018) </w:t>
      </w:r>
      <w:hyperlink r:id="rId37" w:history="1">
        <w:r w:rsidRPr="005F62F4">
          <w:rPr>
            <w:rStyle w:val="Hyperlink"/>
          </w:rPr>
          <w:t>Future of surgery</w:t>
        </w:r>
      </w:hyperlink>
      <w:r w:rsidRPr="005F62F4">
        <w:t>, Royal College of Surgeons of England website, accessed 3 February 2023.</w:t>
      </w:r>
    </w:p>
    <w:p w14:paraId="582A6B7B" w14:textId="701555EB" w:rsidR="00C91B8B" w:rsidRPr="005F62F4" w:rsidRDefault="00C91B8B" w:rsidP="002B57E2">
      <w:pPr>
        <w:pStyle w:val="Bibliography"/>
        <w:rPr>
          <w:b/>
        </w:rPr>
      </w:pPr>
      <w:r w:rsidRPr="005F62F4">
        <w:t xml:space="preserve">Schramm A, Metzger M, </w:t>
      </w:r>
      <w:proofErr w:type="spellStart"/>
      <w:r w:rsidRPr="005F62F4">
        <w:t>Gellrich</w:t>
      </w:r>
      <w:proofErr w:type="spellEnd"/>
      <w:r w:rsidRPr="005F62F4">
        <w:t xml:space="preserve"> N and Strong B (n.d.) </w:t>
      </w:r>
      <w:hyperlink r:id="rId38" w:history="1">
        <w:r w:rsidRPr="005F62F4">
          <w:rPr>
            <w:rStyle w:val="Hyperlink"/>
          </w:rPr>
          <w:t>Computer assisted surgery</w:t>
        </w:r>
      </w:hyperlink>
      <w:r w:rsidRPr="005F62F4">
        <w:t>, AO Surgery Reference, accessed 18 November 2022.</w:t>
      </w:r>
    </w:p>
    <w:p w14:paraId="6E6A3468" w14:textId="77777777" w:rsidR="00C91B8B" w:rsidRPr="005F62F4" w:rsidRDefault="00C91B8B" w:rsidP="002B57E2">
      <w:pPr>
        <w:pStyle w:val="Bibliography"/>
        <w:rPr>
          <w:b/>
        </w:rPr>
      </w:pPr>
      <w:r w:rsidRPr="005F62F4">
        <w:t xml:space="preserve">Seo C and </w:t>
      </w:r>
      <w:proofErr w:type="spellStart"/>
      <w:r w:rsidRPr="005F62F4">
        <w:t>Juodzbalys</w:t>
      </w:r>
      <w:proofErr w:type="spellEnd"/>
      <w:r w:rsidRPr="005F62F4">
        <w:t xml:space="preserve"> G (2018) 'Accuracy of guided surgery via stereolithographic mucosa-supported surgical guide in implant surgery for edentulous patient: a systematic review', Journal of Oral &amp; Maxillofacial Research, 9(1</w:t>
      </w:r>
      <w:proofErr w:type="gramStart"/>
      <w:r w:rsidRPr="005F62F4">
        <w:t>):e</w:t>
      </w:r>
      <w:proofErr w:type="gramEnd"/>
      <w:r w:rsidRPr="005F62F4">
        <w:t>1, doi:0.5037/jomr.2018.9101.</w:t>
      </w:r>
    </w:p>
    <w:p w14:paraId="7B697B1B" w14:textId="77777777" w:rsidR="00C91B8B" w:rsidRPr="005F62F4" w:rsidRDefault="00C91B8B" w:rsidP="002B57E2">
      <w:pPr>
        <w:pStyle w:val="Bibliography"/>
        <w:rPr>
          <w:b/>
        </w:rPr>
      </w:pPr>
      <w:proofErr w:type="spellStart"/>
      <w:r w:rsidRPr="005F62F4">
        <w:t>Seruya</w:t>
      </w:r>
      <w:proofErr w:type="spellEnd"/>
      <w:r w:rsidRPr="005F62F4">
        <w:t xml:space="preserve"> M, Fisher M and Rodriguez ED (2013) 'Computer-assisted versus conventional free fibula flap technique for craniofacial reconstruction: An outcomes comparison', Plastic and Reconstructive Surgery, 132(5):1219–1228, doi:10.1097/PRS.0b013e3182a3c0b1.</w:t>
      </w:r>
    </w:p>
    <w:p w14:paraId="18A4A86E" w14:textId="4E9F592B" w:rsidR="00C91B8B" w:rsidRPr="005F62F4" w:rsidRDefault="00C91B8B" w:rsidP="002B57E2">
      <w:pPr>
        <w:pStyle w:val="Bibliography"/>
        <w:rPr>
          <w:b/>
        </w:rPr>
      </w:pPr>
      <w:r w:rsidRPr="005F62F4">
        <w:t xml:space="preserve">Services Australia (2022) </w:t>
      </w:r>
      <w:hyperlink r:id="rId39" w:history="1">
        <w:r w:rsidRPr="005F62F4">
          <w:rPr>
            <w:rStyle w:val="Hyperlink"/>
          </w:rPr>
          <w:t>Medicare item reports</w:t>
        </w:r>
      </w:hyperlink>
      <w:r w:rsidRPr="005F62F4">
        <w:t>, accessed 18 November 2022.</w:t>
      </w:r>
    </w:p>
    <w:p w14:paraId="7FDE53E8" w14:textId="48CCC788" w:rsidR="00C91B8B" w:rsidRPr="005F62F4" w:rsidRDefault="00C91B8B" w:rsidP="002B57E2">
      <w:pPr>
        <w:pStyle w:val="Bibliography"/>
        <w:rPr>
          <w:b/>
        </w:rPr>
      </w:pPr>
      <w:r w:rsidRPr="005F62F4">
        <w:t xml:space="preserve">Shea BJ, Reeves BC, Wells G, </w:t>
      </w:r>
      <w:proofErr w:type="spellStart"/>
      <w:r w:rsidRPr="005F62F4">
        <w:t>Thuku</w:t>
      </w:r>
      <w:proofErr w:type="spellEnd"/>
      <w:r w:rsidRPr="005F62F4">
        <w:t xml:space="preserve"> M, Hamel C, Moran J, Moher D, </w:t>
      </w:r>
      <w:proofErr w:type="spellStart"/>
      <w:r w:rsidRPr="005F62F4">
        <w:t>Tugwell</w:t>
      </w:r>
      <w:proofErr w:type="spellEnd"/>
      <w:r w:rsidRPr="005F62F4">
        <w:t xml:space="preserve"> P, Welch V, </w:t>
      </w:r>
      <w:proofErr w:type="spellStart"/>
      <w:r w:rsidRPr="005F62F4">
        <w:t>Kristjansson</w:t>
      </w:r>
      <w:proofErr w:type="spellEnd"/>
      <w:r w:rsidRPr="005F62F4">
        <w:t xml:space="preserve"> E and Henry DA (2017) 'AMSTAR 2: a critical appraisal tool for systematic reviews that include randomised or non-randomised studies of healthcare interventions, or both', BMJ, </w:t>
      </w:r>
      <w:proofErr w:type="gramStart"/>
      <w:r w:rsidRPr="005F62F4">
        <w:t>358:j</w:t>
      </w:r>
      <w:proofErr w:type="gramEnd"/>
      <w:r w:rsidRPr="005F62F4">
        <w:t>4008, doi:10.1136/bmj.j4008.</w:t>
      </w:r>
    </w:p>
    <w:p w14:paraId="0F45E438" w14:textId="1854D5B2" w:rsidR="00C91B8B" w:rsidRPr="005F62F4" w:rsidRDefault="00C91B8B" w:rsidP="002B57E2">
      <w:pPr>
        <w:pStyle w:val="Bibliography"/>
        <w:rPr>
          <w:b/>
        </w:rPr>
      </w:pPr>
      <w:r w:rsidRPr="005F62F4">
        <w:t xml:space="preserve">Silva AN, Tay YWA, Si Heng ST, Foo SSL, Pang HN, Keng Jin DT, Lo NN and Yeo SJ (2020) 'CT-based </w:t>
      </w:r>
      <w:proofErr w:type="spellStart"/>
      <w:r w:rsidRPr="005F62F4">
        <w:t>TruMatch</w:t>
      </w:r>
      <w:proofErr w:type="spellEnd"/>
      <w:r w:rsidRPr="005F62F4">
        <w:t xml:space="preserve">® Personal Solutions for knee replacement surgery…Does it really match?', Journal of Orthopaedics, 19:17–20, </w:t>
      </w:r>
      <w:proofErr w:type="gramStart"/>
      <w:r w:rsidRPr="005F62F4">
        <w:t>doi:10.1016/j.jor</w:t>
      </w:r>
      <w:proofErr w:type="gramEnd"/>
      <w:r w:rsidRPr="005F62F4">
        <w:t>.2019.11.040.</w:t>
      </w:r>
    </w:p>
    <w:p w14:paraId="0750F26B" w14:textId="1457B68C" w:rsidR="00C91B8B" w:rsidRPr="005F62F4" w:rsidRDefault="00C91B8B" w:rsidP="002B57E2">
      <w:pPr>
        <w:pStyle w:val="Bibliography"/>
        <w:rPr>
          <w:b/>
        </w:rPr>
      </w:pPr>
      <w:r w:rsidRPr="005F62F4">
        <w:t xml:space="preserve">Singh GD and Singh M (2021) 'Virtual surgical planning: </w:t>
      </w:r>
      <w:proofErr w:type="spellStart"/>
      <w:r w:rsidRPr="005F62F4">
        <w:t>modeling</w:t>
      </w:r>
      <w:proofErr w:type="spellEnd"/>
      <w:r w:rsidRPr="005F62F4">
        <w:t xml:space="preserve"> from the present to the </w:t>
      </w:r>
      <w:r w:rsidR="00FE3001" w:rsidRPr="005F62F4">
        <w:t>f</w:t>
      </w:r>
      <w:r w:rsidRPr="005F62F4">
        <w:t>uture', Journal of Clinical Medicine, 10(23), doi:10.3390/JCM10235655.</w:t>
      </w:r>
    </w:p>
    <w:p w14:paraId="47709D95" w14:textId="77777777" w:rsidR="00C91B8B" w:rsidRPr="005F62F4" w:rsidRDefault="00C91B8B" w:rsidP="002B57E2">
      <w:pPr>
        <w:pStyle w:val="Bibliography"/>
        <w:rPr>
          <w:b/>
        </w:rPr>
      </w:pPr>
      <w:r w:rsidRPr="005F62F4">
        <w:t xml:space="preserve">Tack P, Victor J, Gemmel P and </w:t>
      </w:r>
      <w:proofErr w:type="spellStart"/>
      <w:r w:rsidRPr="005F62F4">
        <w:t>Annemans</w:t>
      </w:r>
      <w:proofErr w:type="spellEnd"/>
      <w:r w:rsidRPr="005F62F4">
        <w:t xml:space="preserve"> L (2016) '3D‑printing techniques in a medical setting: a systematic literature review', </w:t>
      </w:r>
      <w:proofErr w:type="spellStart"/>
      <w:r w:rsidRPr="005F62F4">
        <w:t>BioMedical</w:t>
      </w:r>
      <w:proofErr w:type="spellEnd"/>
      <w:r w:rsidRPr="005F62F4">
        <w:t xml:space="preserve"> Engineering </w:t>
      </w:r>
      <w:proofErr w:type="spellStart"/>
      <w:r w:rsidRPr="005F62F4">
        <w:t>OnLine</w:t>
      </w:r>
      <w:proofErr w:type="spellEnd"/>
      <w:r w:rsidRPr="005F62F4">
        <w:t>, 15:115, doi:10.1186/s12938-016-0236-4.</w:t>
      </w:r>
    </w:p>
    <w:p w14:paraId="465A2523" w14:textId="77777777" w:rsidR="00C91B8B" w:rsidRPr="005F62F4" w:rsidRDefault="00C91B8B" w:rsidP="002B57E2">
      <w:pPr>
        <w:pStyle w:val="Bibliography"/>
        <w:rPr>
          <w:b/>
        </w:rPr>
      </w:pPr>
      <w:r w:rsidRPr="005F62F4">
        <w:lastRenderedPageBreak/>
        <w:t xml:space="preserve">Tang NSJ, Ahmadi I and Ramakrishnan A (2019) 'Virtual surgical planning in fibula free flap head and neck reconstruction: a systematic review and meta-analysis', Journal of Plastic, Reconstructive &amp; Aesthetic Surgery, 72:1465–1477, </w:t>
      </w:r>
      <w:proofErr w:type="gramStart"/>
      <w:r w:rsidRPr="005F62F4">
        <w:t>doi:10.1016/j.bjps</w:t>
      </w:r>
      <w:proofErr w:type="gramEnd"/>
      <w:r w:rsidRPr="005F62F4">
        <w:t>.2019.08.015.</w:t>
      </w:r>
    </w:p>
    <w:p w14:paraId="0B4F788C" w14:textId="77777777" w:rsidR="00C91B8B" w:rsidRPr="005F62F4" w:rsidRDefault="00C91B8B" w:rsidP="002B57E2">
      <w:pPr>
        <w:pStyle w:val="Bibliography"/>
        <w:rPr>
          <w:b/>
        </w:rPr>
      </w:pPr>
      <w:proofErr w:type="spellStart"/>
      <w:r w:rsidRPr="005F62F4">
        <w:t>Tattan</w:t>
      </w:r>
      <w:proofErr w:type="spellEnd"/>
      <w:r w:rsidRPr="005F62F4">
        <w:t xml:space="preserve"> M, </w:t>
      </w:r>
      <w:proofErr w:type="spellStart"/>
      <w:r w:rsidRPr="005F62F4">
        <w:t>Chambrone</w:t>
      </w:r>
      <w:proofErr w:type="spellEnd"/>
      <w:r w:rsidRPr="005F62F4">
        <w:t xml:space="preserve"> L, González-Martín O and Avila-Ortiz G (2020) 'Static computer-aided, partially guided, and free-handed implant placement: A systematic review and meta-analysis of randomized controlled trials', Clinical Oral Implants Research, 31(10):889–916, doi:10.1111/clr.13635.</w:t>
      </w:r>
    </w:p>
    <w:p w14:paraId="02D05B9E" w14:textId="141D6BAA" w:rsidR="00C91B8B" w:rsidRPr="005F62F4" w:rsidRDefault="00C91B8B" w:rsidP="002B57E2">
      <w:pPr>
        <w:pStyle w:val="Bibliography"/>
        <w:rPr>
          <w:b/>
        </w:rPr>
      </w:pPr>
      <w:proofErr w:type="spellStart"/>
      <w:r w:rsidRPr="005F62F4">
        <w:t>Tricco</w:t>
      </w:r>
      <w:proofErr w:type="spellEnd"/>
      <w:r w:rsidRPr="005F62F4">
        <w:t xml:space="preserve"> AC, Langlois E V and Straus SE (eds) (2017) </w:t>
      </w:r>
      <w:hyperlink r:id="rId40" w:history="1">
        <w:r w:rsidRPr="005F62F4">
          <w:rPr>
            <w:rStyle w:val="Hyperlink"/>
          </w:rPr>
          <w:t>Rapid reviews to strengthen health policy and systems: a practical guide</w:t>
        </w:r>
      </w:hyperlink>
      <w:r w:rsidRPr="005F62F4">
        <w:t>, Licence: CC BY-NC-SA 3.0 IGO, World Health Organization, Geneva.</w:t>
      </w:r>
    </w:p>
    <w:p w14:paraId="0E577E30" w14:textId="7C079C77" w:rsidR="00C91B8B" w:rsidRPr="005F62F4" w:rsidRDefault="00C91B8B" w:rsidP="002B57E2">
      <w:pPr>
        <w:pStyle w:val="Bibliography"/>
        <w:rPr>
          <w:b/>
        </w:rPr>
      </w:pPr>
      <w:r w:rsidRPr="005F62F4">
        <w:t xml:space="preserve">TWI (n.d.) </w:t>
      </w:r>
      <w:hyperlink r:id="rId41" w:history="1">
        <w:r w:rsidRPr="005F62F4">
          <w:rPr>
            <w:rStyle w:val="Hyperlink"/>
          </w:rPr>
          <w:t xml:space="preserve">What is </w:t>
        </w:r>
        <w:r w:rsidR="00FE3001" w:rsidRPr="005F62F4">
          <w:rPr>
            <w:rStyle w:val="Hyperlink"/>
          </w:rPr>
          <w:t>r</w:t>
        </w:r>
        <w:r w:rsidRPr="005F62F4">
          <w:rPr>
            <w:rStyle w:val="Hyperlink"/>
          </w:rPr>
          <w:t xml:space="preserve">apid </w:t>
        </w:r>
        <w:r w:rsidR="00FE3001" w:rsidRPr="005F62F4">
          <w:rPr>
            <w:rStyle w:val="Hyperlink"/>
          </w:rPr>
          <w:t>p</w:t>
        </w:r>
        <w:r w:rsidRPr="005F62F4">
          <w:rPr>
            <w:rStyle w:val="Hyperlink"/>
          </w:rPr>
          <w:t xml:space="preserve">rototyping? - </w:t>
        </w:r>
        <w:r w:rsidR="00FE3001" w:rsidRPr="005F62F4">
          <w:rPr>
            <w:rStyle w:val="Hyperlink"/>
          </w:rPr>
          <w:t>d</w:t>
        </w:r>
        <w:r w:rsidRPr="005F62F4">
          <w:rPr>
            <w:rStyle w:val="Hyperlink"/>
          </w:rPr>
          <w:t xml:space="preserve">efinition, </w:t>
        </w:r>
        <w:r w:rsidR="00FE3001" w:rsidRPr="005F62F4">
          <w:rPr>
            <w:rStyle w:val="Hyperlink"/>
          </w:rPr>
          <w:t>m</w:t>
        </w:r>
        <w:r w:rsidRPr="005F62F4">
          <w:rPr>
            <w:rStyle w:val="Hyperlink"/>
          </w:rPr>
          <w:t xml:space="preserve">ethods and </w:t>
        </w:r>
        <w:r w:rsidR="00FE3001" w:rsidRPr="005F62F4">
          <w:rPr>
            <w:rStyle w:val="Hyperlink"/>
          </w:rPr>
          <w:t>a</w:t>
        </w:r>
        <w:r w:rsidRPr="005F62F4">
          <w:rPr>
            <w:rStyle w:val="Hyperlink"/>
          </w:rPr>
          <w:t>dvantages</w:t>
        </w:r>
        <w:r w:rsidR="00F90BC3" w:rsidRPr="005F62F4">
          <w:rPr>
            <w:rStyle w:val="Hyperlink"/>
          </w:rPr>
          <w:t>,</w:t>
        </w:r>
      </w:hyperlink>
      <w:r w:rsidRPr="005F62F4">
        <w:t xml:space="preserve"> TWI</w:t>
      </w:r>
      <w:r w:rsidR="00F90BC3" w:rsidRPr="005F62F4">
        <w:t xml:space="preserve"> website</w:t>
      </w:r>
      <w:r w:rsidRPr="005F62F4">
        <w:t>, accessed 11 November 2022.</w:t>
      </w:r>
    </w:p>
    <w:p w14:paraId="4D90BD59" w14:textId="77777777" w:rsidR="00C91B8B" w:rsidRPr="005F62F4" w:rsidRDefault="00C91B8B" w:rsidP="002B57E2">
      <w:pPr>
        <w:pStyle w:val="Bibliography"/>
        <w:rPr>
          <w:b/>
        </w:rPr>
      </w:pPr>
      <w:r w:rsidRPr="005F62F4">
        <w:t xml:space="preserve">Walker-Finch K and </w:t>
      </w:r>
      <w:proofErr w:type="spellStart"/>
      <w:r w:rsidRPr="005F62F4">
        <w:t>Ucer</w:t>
      </w:r>
      <w:proofErr w:type="spellEnd"/>
      <w:r w:rsidRPr="005F62F4">
        <w:t xml:space="preserve"> C (2020) 'Five-year survival rates for implants placed using digitally-designed static surgical guides: a systematic review', British Journal of Oral and Maxillofacial Surgery, 58:268–276, </w:t>
      </w:r>
      <w:proofErr w:type="gramStart"/>
      <w:r w:rsidRPr="005F62F4">
        <w:t>doi:10.1016/j.bjoms</w:t>
      </w:r>
      <w:proofErr w:type="gramEnd"/>
      <w:r w:rsidRPr="005F62F4">
        <w:t>.2019.12.007.</w:t>
      </w:r>
    </w:p>
    <w:p w14:paraId="44BCDBDE" w14:textId="77777777" w:rsidR="00C91B8B" w:rsidRPr="005F62F4" w:rsidRDefault="00C91B8B" w:rsidP="002B57E2">
      <w:pPr>
        <w:pStyle w:val="Bibliography"/>
        <w:rPr>
          <w:b/>
        </w:rPr>
      </w:pPr>
      <w:r w:rsidRPr="005F62F4">
        <w:t xml:space="preserve">Wang Y, Fan S, Zhang H, Lin Z, Ye J and Li J (2016) 'Virtual surgical planning in precise maxillary reconstruction with vascularized fibular graft after </w:t>
      </w:r>
      <w:proofErr w:type="spellStart"/>
      <w:r w:rsidRPr="005F62F4">
        <w:t>tumor</w:t>
      </w:r>
      <w:proofErr w:type="spellEnd"/>
      <w:r w:rsidRPr="005F62F4">
        <w:t xml:space="preserve"> ablation', Journal of Oral and Maxillofacial Surgery, 74(6):1255–1264, </w:t>
      </w:r>
      <w:proofErr w:type="gramStart"/>
      <w:r w:rsidRPr="005F62F4">
        <w:t>doi:10.1016/j.joms</w:t>
      </w:r>
      <w:proofErr w:type="gramEnd"/>
      <w:r w:rsidRPr="005F62F4">
        <w:t>.2016.01.010.</w:t>
      </w:r>
    </w:p>
    <w:p w14:paraId="1C4BBA01" w14:textId="77777777" w:rsidR="00C91B8B" w:rsidRPr="005F62F4" w:rsidRDefault="00C91B8B" w:rsidP="002B57E2">
      <w:pPr>
        <w:pStyle w:val="Bibliography"/>
        <w:rPr>
          <w:b/>
        </w:rPr>
      </w:pPr>
      <w:r w:rsidRPr="005F62F4">
        <w:t xml:space="preserve">Wang Y, Zhang H, Fan S, Zhang D, Huang Z, Chen W, Ye J and Li J (2016) 'Mandibular reconstruction with the vascularized fibula flap: comparison of virtual planning surgery and conventional surgery', International Journal of Oral and Maxillofacial Surgery, 45(11):1400–1405, </w:t>
      </w:r>
      <w:proofErr w:type="gramStart"/>
      <w:r w:rsidRPr="005F62F4">
        <w:t>doi:10.1016/j.ijom</w:t>
      </w:r>
      <w:proofErr w:type="gramEnd"/>
      <w:r w:rsidRPr="005F62F4">
        <w:t>.2016.06.015.</w:t>
      </w:r>
    </w:p>
    <w:p w14:paraId="202B707D" w14:textId="77777777" w:rsidR="00C91B8B" w:rsidRPr="005F62F4" w:rsidRDefault="00C91B8B" w:rsidP="002B57E2">
      <w:pPr>
        <w:pStyle w:val="Bibliography"/>
        <w:rPr>
          <w:b/>
        </w:rPr>
      </w:pPr>
      <w:r w:rsidRPr="005F62F4">
        <w:t xml:space="preserve">Weitz J, Bauer FJM, </w:t>
      </w:r>
      <w:proofErr w:type="spellStart"/>
      <w:r w:rsidRPr="005F62F4">
        <w:t>Hapfelmeier</w:t>
      </w:r>
      <w:proofErr w:type="spellEnd"/>
      <w:r w:rsidRPr="005F62F4">
        <w:t xml:space="preserve"> A, </w:t>
      </w:r>
      <w:proofErr w:type="spellStart"/>
      <w:r w:rsidRPr="005F62F4">
        <w:t>Rohleder</w:t>
      </w:r>
      <w:proofErr w:type="spellEnd"/>
      <w:r w:rsidRPr="005F62F4">
        <w:t xml:space="preserve"> NH, Wolff KD and </w:t>
      </w:r>
      <w:proofErr w:type="spellStart"/>
      <w:r w:rsidRPr="005F62F4">
        <w:t>Kesting</w:t>
      </w:r>
      <w:proofErr w:type="spellEnd"/>
      <w:r w:rsidRPr="005F62F4">
        <w:t xml:space="preserve"> MR (2016) 'Accuracy of mandibular reconstruction by three-dimensional guided vascularised fibular free flap after segmental mandibulectomy', British Journal of Oral and Maxillofacial Surgery, 54(5):506–510, </w:t>
      </w:r>
      <w:proofErr w:type="gramStart"/>
      <w:r w:rsidRPr="005F62F4">
        <w:t>doi:10.1016/j.bjoms</w:t>
      </w:r>
      <w:proofErr w:type="gramEnd"/>
      <w:r w:rsidRPr="005F62F4">
        <w:t>.2016.01.029.</w:t>
      </w:r>
    </w:p>
    <w:p w14:paraId="3D8720C2" w14:textId="6A5CB05E" w:rsidR="00C91B8B" w:rsidRPr="005F62F4" w:rsidRDefault="00C91B8B" w:rsidP="002B57E2">
      <w:pPr>
        <w:pStyle w:val="Bibliography"/>
        <w:rPr>
          <w:b/>
        </w:rPr>
      </w:pPr>
      <w:r w:rsidRPr="005F62F4">
        <w:t xml:space="preserve">Wells G, Shea B, O’Connell D, Peterson J, Welch V, </w:t>
      </w:r>
      <w:proofErr w:type="spellStart"/>
      <w:r w:rsidRPr="005F62F4">
        <w:t>Losos</w:t>
      </w:r>
      <w:proofErr w:type="spellEnd"/>
      <w:r w:rsidRPr="005F62F4">
        <w:t xml:space="preserve"> M and </w:t>
      </w:r>
      <w:proofErr w:type="spellStart"/>
      <w:r w:rsidRPr="005F62F4">
        <w:t>Tugwell</w:t>
      </w:r>
      <w:proofErr w:type="spellEnd"/>
      <w:r w:rsidRPr="005F62F4">
        <w:t xml:space="preserve"> P (2021) </w:t>
      </w:r>
      <w:hyperlink r:id="rId42" w:history="1">
        <w:r w:rsidRPr="005F62F4">
          <w:rPr>
            <w:rStyle w:val="Hyperlink"/>
          </w:rPr>
          <w:t>The Newcastle-Ottawa Scale (NOS) for assessing the quality of nonrandomised studies in meta-analyses</w:t>
        </w:r>
      </w:hyperlink>
      <w:r w:rsidRPr="005F62F4">
        <w:t xml:space="preserve">, The </w:t>
      </w:r>
      <w:proofErr w:type="spellStart"/>
      <w:r w:rsidRPr="005F62F4">
        <w:t>Ottowa</w:t>
      </w:r>
      <w:proofErr w:type="spellEnd"/>
      <w:r w:rsidRPr="005F62F4">
        <w:t xml:space="preserve"> Hospital Research Institute website, accessed 12 November 2022.</w:t>
      </w:r>
    </w:p>
    <w:p w14:paraId="040098E8" w14:textId="49E895AB" w:rsidR="00C91B8B" w:rsidRPr="005F62F4" w:rsidRDefault="00C91B8B" w:rsidP="002B57E2">
      <w:pPr>
        <w:pStyle w:val="Bibliography"/>
        <w:rPr>
          <w:b/>
        </w:rPr>
      </w:pPr>
      <w:r w:rsidRPr="005F62F4">
        <w:t xml:space="preserve">Yen WW, Baksh N, Gallo V, Jamil Z, Tischler EH and Maheshwari </w:t>
      </w:r>
      <w:proofErr w:type="gramStart"/>
      <w:r w:rsidRPr="005F62F4">
        <w:t>A</w:t>
      </w:r>
      <w:proofErr w:type="gramEnd"/>
      <w:r w:rsidRPr="005F62F4">
        <w:t xml:space="preserve"> V. (2021) 'Current concepts and advances of three-dimensional printing in reconstructive musculoskeletal oncology: </w:t>
      </w:r>
      <w:r w:rsidR="00F90BC3" w:rsidRPr="005F62F4">
        <w:t>a</w:t>
      </w:r>
      <w:r w:rsidRPr="005F62F4">
        <w:t xml:space="preserve"> systematic review', Journal of Long-Term Effects of Medical Implants, 31(4):59–71, doi:10.1615/JLONGTERMEFFMEDIMPLANTS.2021038735.</w:t>
      </w:r>
    </w:p>
    <w:p w14:paraId="25F6BB5F" w14:textId="77777777" w:rsidR="00C91B8B" w:rsidRPr="005F62F4" w:rsidRDefault="00C91B8B" w:rsidP="002B57E2">
      <w:pPr>
        <w:pStyle w:val="Bibliography"/>
        <w:rPr>
          <w:b/>
        </w:rPr>
      </w:pPr>
      <w:r w:rsidRPr="005F62F4">
        <w:t>Zhang R, Lin J, Chen F, Liu W and Chen M (2021) 'Clinical and radiological outcomes in three-dimensional printing assisted revision total hip and knee arthroplasty: a systematic review', Journal of Orthopaedic Surgery and Research, 16(1):1–10, doi:10.1186/s13018-021-02646-5.</w:t>
      </w:r>
    </w:p>
    <w:p w14:paraId="057F031B" w14:textId="77777777" w:rsidR="00C91B8B" w:rsidRPr="005F62F4" w:rsidRDefault="00C91B8B" w:rsidP="002B57E2">
      <w:pPr>
        <w:pStyle w:val="Bibliography"/>
        <w:rPr>
          <w:b/>
        </w:rPr>
      </w:pPr>
      <w:r w:rsidRPr="005F62F4">
        <w:t>Zhang W, Wang Y, Liu X, C M, GY G and Peng Y (2015) 'Reconstruction of maxillary defects with free fibula flap assisted by computer techniques', Journal of Cranio-Maxillo-Facial Surgery, 43(2015):630–636.</w:t>
      </w:r>
    </w:p>
    <w:p w14:paraId="74A6E33E" w14:textId="77777777" w:rsidR="00C91B8B" w:rsidRPr="005F62F4" w:rsidRDefault="00C91B8B" w:rsidP="002B57E2">
      <w:pPr>
        <w:pStyle w:val="Bibliography"/>
        <w:rPr>
          <w:b/>
        </w:rPr>
      </w:pPr>
      <w:r w:rsidRPr="005F62F4">
        <w:t xml:space="preserve">Zhang WB, Yu Y, Wang Y, Mao C, Liu XJ, Guo C Bin, Yu GY and Peng X (2016) 'Improving the accuracy of mandibular reconstruction with vascularized iliac crest flap: role of computer-assisted techniques', Journal of Cranio-Maxillofacial Surgery, 44(11):1819–1827, </w:t>
      </w:r>
      <w:proofErr w:type="gramStart"/>
      <w:r w:rsidRPr="005F62F4">
        <w:t>doi:10.1016/j.jcms</w:t>
      </w:r>
      <w:proofErr w:type="gramEnd"/>
      <w:r w:rsidRPr="005F62F4">
        <w:t>.2016.08.014.</w:t>
      </w:r>
    </w:p>
    <w:p w14:paraId="4E8CD5BF" w14:textId="671BC3A5" w:rsidR="001601AD" w:rsidRPr="005F62F4" w:rsidRDefault="00C91B8B" w:rsidP="0053205A">
      <w:pPr>
        <w:pStyle w:val="Bibliography"/>
      </w:pPr>
      <w:proofErr w:type="spellStart"/>
      <w:r w:rsidRPr="005F62F4">
        <w:t>Zweifel</w:t>
      </w:r>
      <w:proofErr w:type="spellEnd"/>
      <w:r w:rsidRPr="005F62F4">
        <w:t xml:space="preserve"> DF, Simon C, </w:t>
      </w:r>
      <w:proofErr w:type="spellStart"/>
      <w:r w:rsidRPr="005F62F4">
        <w:t>Hoarau</w:t>
      </w:r>
      <w:proofErr w:type="spellEnd"/>
      <w:r w:rsidRPr="005F62F4">
        <w:t xml:space="preserve"> R, </w:t>
      </w:r>
      <w:proofErr w:type="spellStart"/>
      <w:r w:rsidRPr="005F62F4">
        <w:t>Pasche</w:t>
      </w:r>
      <w:proofErr w:type="spellEnd"/>
      <w:r w:rsidRPr="005F62F4">
        <w:t xml:space="preserve"> P and Broome M (2015) 'Are virtual planning and guided surgery for head and neck reconstruction economically viable?', Journal of Oral and Maxillofacial Surgery, 73(1):170–175, </w:t>
      </w:r>
      <w:proofErr w:type="gramStart"/>
      <w:r w:rsidRPr="005F62F4">
        <w:t>doi:10.1016/j.joms</w:t>
      </w:r>
      <w:proofErr w:type="gramEnd"/>
      <w:r w:rsidRPr="005F62F4">
        <w:t>.2014.07.038.</w:t>
      </w:r>
    </w:p>
    <w:p w14:paraId="5D154AE9" w14:textId="72D5DA7E" w:rsidR="009314C2" w:rsidRPr="005F62F4" w:rsidRDefault="009314C2" w:rsidP="00152A4B">
      <w:pPr>
        <w:sectPr w:rsidR="009314C2" w:rsidRPr="005F62F4" w:rsidSect="0053205A">
          <w:headerReference w:type="default" r:id="rId43"/>
          <w:pgSz w:w="11906" w:h="16838" w:code="9"/>
          <w:pgMar w:top="851" w:right="1134" w:bottom="851" w:left="1440" w:header="567" w:footer="567" w:gutter="0"/>
          <w:cols w:space="708"/>
          <w:titlePg/>
          <w:docGrid w:linePitch="360"/>
        </w:sectPr>
      </w:pPr>
    </w:p>
    <w:p w14:paraId="0856C244" w14:textId="555D8984" w:rsidR="00A41970" w:rsidRPr="005F62F4" w:rsidRDefault="004C4554" w:rsidP="004F2931">
      <w:pPr>
        <w:pStyle w:val="HeadingA1"/>
      </w:pPr>
      <w:bookmarkStart w:id="245" w:name="_Appendix_A_-"/>
      <w:bookmarkStart w:id="246" w:name="_Appendix_A_–"/>
      <w:bookmarkStart w:id="247" w:name="_Appendix_C_–"/>
      <w:bookmarkStart w:id="248" w:name="_Ref119654608"/>
      <w:bookmarkStart w:id="249" w:name="_Ref119656220"/>
      <w:bookmarkStart w:id="250" w:name="_Toc120178339"/>
      <w:bookmarkStart w:id="251" w:name="_Toc129954619"/>
      <w:bookmarkEnd w:id="245"/>
      <w:bookmarkEnd w:id="246"/>
      <w:bookmarkEnd w:id="247"/>
      <w:r w:rsidRPr="005F62F4">
        <w:lastRenderedPageBreak/>
        <w:t>List of stakeholders consulted</w:t>
      </w:r>
      <w:bookmarkEnd w:id="248"/>
      <w:bookmarkEnd w:id="249"/>
      <w:bookmarkEnd w:id="250"/>
      <w:bookmarkEnd w:id="251"/>
    </w:p>
    <w:p w14:paraId="33CC9923" w14:textId="32ECBA6C" w:rsidR="007F5AA8" w:rsidRPr="005F62F4" w:rsidRDefault="00760264" w:rsidP="007F5AA8">
      <w:pPr>
        <w:pStyle w:val="Para"/>
        <w:rPr>
          <w:lang w:eastAsia="en-AU"/>
        </w:rPr>
      </w:pPr>
      <w:r w:rsidRPr="005F62F4">
        <w:t xml:space="preserve">The department provided AHA with a list of stakeholders to approach for participation in this review. </w:t>
      </w:r>
      <w:r w:rsidR="007F5AA8" w:rsidRPr="005F62F4">
        <w:rPr>
          <w:lang w:eastAsia="en-AU"/>
        </w:rPr>
        <w:t xml:space="preserve">This appendix lists the stakeholders </w:t>
      </w:r>
      <w:r w:rsidR="00F01C2D" w:rsidRPr="005F62F4">
        <w:rPr>
          <w:lang w:eastAsia="en-AU"/>
        </w:rPr>
        <w:t xml:space="preserve">invited </w:t>
      </w:r>
      <w:r w:rsidR="00736C16" w:rsidRPr="005F62F4">
        <w:rPr>
          <w:lang w:eastAsia="en-AU"/>
        </w:rPr>
        <w:t xml:space="preserve">to contribute </w:t>
      </w:r>
      <w:r w:rsidR="00F01C2D" w:rsidRPr="005F62F4">
        <w:rPr>
          <w:lang w:eastAsia="en-AU"/>
        </w:rPr>
        <w:t xml:space="preserve">and </w:t>
      </w:r>
      <w:r w:rsidR="00736C16" w:rsidRPr="005F62F4">
        <w:rPr>
          <w:lang w:eastAsia="en-AU"/>
        </w:rPr>
        <w:t xml:space="preserve">who participated in </w:t>
      </w:r>
      <w:r w:rsidR="007E7BC1" w:rsidRPr="005F62F4">
        <w:rPr>
          <w:lang w:eastAsia="en-AU"/>
        </w:rPr>
        <w:t xml:space="preserve">individual and group </w:t>
      </w:r>
      <w:r w:rsidR="007F5AA8" w:rsidRPr="005F62F4">
        <w:rPr>
          <w:lang w:eastAsia="en-AU"/>
        </w:rPr>
        <w:t>interview</w:t>
      </w:r>
      <w:r w:rsidR="005D7AA8" w:rsidRPr="005F62F4">
        <w:rPr>
          <w:lang w:eastAsia="en-AU"/>
        </w:rPr>
        <w:t xml:space="preserve">s </w:t>
      </w:r>
      <w:r w:rsidR="007E7BC1" w:rsidRPr="005F62F4">
        <w:rPr>
          <w:lang w:eastAsia="en-AU"/>
        </w:rPr>
        <w:t>and</w:t>
      </w:r>
      <w:r w:rsidR="00990D84" w:rsidRPr="005F62F4">
        <w:rPr>
          <w:lang w:eastAsia="en-AU"/>
        </w:rPr>
        <w:t>/or</w:t>
      </w:r>
      <w:r w:rsidR="007E7BC1" w:rsidRPr="005F62F4">
        <w:rPr>
          <w:lang w:eastAsia="en-AU"/>
        </w:rPr>
        <w:t xml:space="preserve"> provided written submissions</w:t>
      </w:r>
      <w:r w:rsidR="00043D96" w:rsidRPr="005F62F4">
        <w:rPr>
          <w:lang w:eastAsia="en-AU"/>
        </w:rPr>
        <w:t>.</w:t>
      </w:r>
    </w:p>
    <w:p w14:paraId="4E91B7F5" w14:textId="5DA4E0D5" w:rsidR="00520D89" w:rsidRPr="005F62F4" w:rsidRDefault="00087BB7" w:rsidP="005D0F97">
      <w:pPr>
        <w:pStyle w:val="Heading03"/>
      </w:pPr>
      <w:bookmarkStart w:id="252" w:name="_Toc120178340"/>
      <w:r w:rsidRPr="005F62F4">
        <w:t>Surgeons</w:t>
      </w:r>
      <w:bookmarkEnd w:id="252"/>
    </w:p>
    <w:p w14:paraId="13F44B9A" w14:textId="624359A3" w:rsidR="00796C1A" w:rsidRPr="005F62F4" w:rsidRDefault="00E14554" w:rsidP="00E14554">
      <w:pPr>
        <w:pStyle w:val="Bullet1"/>
        <w:numPr>
          <w:ilvl w:val="0"/>
          <w:numId w:val="0"/>
        </w:numPr>
      </w:pPr>
      <w:r w:rsidRPr="005F62F4">
        <w:t xml:space="preserve">We </w:t>
      </w:r>
      <w:r w:rsidR="002B1708" w:rsidRPr="005F62F4">
        <w:t>consulted with 1</w:t>
      </w:r>
      <w:r w:rsidR="008A0E79" w:rsidRPr="005F62F4">
        <w:t>3</w:t>
      </w:r>
      <w:r w:rsidR="006E3BBC" w:rsidRPr="005F62F4">
        <w:t xml:space="preserve"> </w:t>
      </w:r>
      <w:r w:rsidR="002B1708" w:rsidRPr="005F62F4">
        <w:t>o</w:t>
      </w:r>
      <w:r w:rsidR="00796C1A" w:rsidRPr="005F62F4">
        <w:t xml:space="preserve">ral and </w:t>
      </w:r>
      <w:r w:rsidR="00520D89" w:rsidRPr="005F62F4">
        <w:t>maxillofacial surgeons</w:t>
      </w:r>
      <w:r w:rsidR="00CF70F8" w:rsidRPr="005F62F4">
        <w:t xml:space="preserve"> </w:t>
      </w:r>
      <w:r w:rsidR="002B1708" w:rsidRPr="005F62F4">
        <w:t>(1</w:t>
      </w:r>
      <w:r w:rsidR="0098000E" w:rsidRPr="005F62F4">
        <w:t>2</w:t>
      </w:r>
      <w:r w:rsidR="002B1708" w:rsidRPr="005F62F4">
        <w:t xml:space="preserve"> via interview </w:t>
      </w:r>
      <w:r w:rsidR="006E3BBC" w:rsidRPr="005F62F4">
        <w:t xml:space="preserve">and </w:t>
      </w:r>
      <w:r w:rsidR="002B1708" w:rsidRPr="005F62F4">
        <w:t>one via</w:t>
      </w:r>
      <w:r w:rsidR="006E3BBC" w:rsidRPr="005F62F4">
        <w:t xml:space="preserve"> written submission</w:t>
      </w:r>
      <w:r w:rsidR="002B1708" w:rsidRPr="005F62F4">
        <w:t>)</w:t>
      </w:r>
      <w:r w:rsidR="008A0E79" w:rsidRPr="005F62F4">
        <w:t xml:space="preserve"> and </w:t>
      </w:r>
      <w:r w:rsidR="0098000E" w:rsidRPr="005F62F4">
        <w:t>one</w:t>
      </w:r>
      <w:r w:rsidR="008A0E79" w:rsidRPr="005F62F4">
        <w:t xml:space="preserve"> head and neck reconstructive surgeon</w:t>
      </w:r>
      <w:r w:rsidR="00B97395" w:rsidRPr="005F62F4">
        <w:t>.</w:t>
      </w:r>
      <w:r w:rsidR="005714BF" w:rsidRPr="005F62F4">
        <w:rPr>
          <w:rStyle w:val="FootnoteReference"/>
        </w:rPr>
        <w:footnoteReference w:id="23"/>
      </w:r>
    </w:p>
    <w:p w14:paraId="1E050D8B" w14:textId="77777777" w:rsidR="00796C1A" w:rsidRPr="005F62F4" w:rsidRDefault="00796C1A" w:rsidP="007E2795">
      <w:pPr>
        <w:pStyle w:val="Heading03"/>
      </w:pPr>
      <w:bookmarkStart w:id="253" w:name="_Toc120178341"/>
      <w:r w:rsidRPr="005F62F4">
        <w:t>Peak bodies</w:t>
      </w:r>
      <w:bookmarkEnd w:id="253"/>
    </w:p>
    <w:p w14:paraId="610D4CB3" w14:textId="12667DA5" w:rsidR="00785F6C" w:rsidRPr="005F62F4" w:rsidRDefault="00785F6C" w:rsidP="00785F6C">
      <w:pPr>
        <w:pStyle w:val="Para"/>
        <w:rPr>
          <w:lang w:eastAsia="en-AU"/>
        </w:rPr>
      </w:pPr>
      <w:r w:rsidRPr="005F62F4">
        <w:rPr>
          <w:lang w:eastAsia="en-AU"/>
        </w:rPr>
        <w:t xml:space="preserve">We invited </w:t>
      </w:r>
      <w:r w:rsidR="00035A97" w:rsidRPr="005F62F4">
        <w:rPr>
          <w:lang w:eastAsia="en-AU"/>
        </w:rPr>
        <w:t>11</w:t>
      </w:r>
      <w:r w:rsidR="009F7567" w:rsidRPr="005F62F4">
        <w:rPr>
          <w:lang w:eastAsia="en-AU"/>
        </w:rPr>
        <w:t xml:space="preserve"> peak bodies, with interviews conducted with</w:t>
      </w:r>
      <w:r w:rsidR="00FB557E" w:rsidRPr="005F62F4">
        <w:rPr>
          <w:lang w:eastAsia="en-AU"/>
        </w:rPr>
        <w:t xml:space="preserve"> 8 </w:t>
      </w:r>
      <w:r w:rsidR="00D55555" w:rsidRPr="005F62F4">
        <w:rPr>
          <w:lang w:eastAsia="en-AU"/>
        </w:rPr>
        <w:t>organisations</w:t>
      </w:r>
      <w:r w:rsidR="009F7567" w:rsidRPr="005F62F4">
        <w:rPr>
          <w:lang w:eastAsia="en-AU"/>
        </w:rPr>
        <w:t>:</w:t>
      </w:r>
    </w:p>
    <w:p w14:paraId="42E5429F" w14:textId="00EECE41" w:rsidR="00796C1A" w:rsidRPr="005F62F4" w:rsidRDefault="00796C1A" w:rsidP="007C4445">
      <w:pPr>
        <w:pStyle w:val="Bullet1"/>
      </w:pPr>
      <w:r w:rsidRPr="005F62F4">
        <w:t>Neuro</w:t>
      </w:r>
      <w:r w:rsidR="00656697" w:rsidRPr="005F62F4">
        <w:t>surgical</w:t>
      </w:r>
      <w:r w:rsidRPr="005F62F4">
        <w:t xml:space="preserve"> Society</w:t>
      </w:r>
      <w:r w:rsidR="009C7796" w:rsidRPr="005F62F4">
        <w:t xml:space="preserve"> of Australasia</w:t>
      </w:r>
    </w:p>
    <w:p w14:paraId="70399F48" w14:textId="77777777" w:rsidR="00796C1A" w:rsidRPr="005F62F4" w:rsidRDefault="00796C1A" w:rsidP="007C4445">
      <w:pPr>
        <w:pStyle w:val="Bullet1"/>
      </w:pPr>
      <w:r w:rsidRPr="005F62F4">
        <w:t>Day Hospitals Australia</w:t>
      </w:r>
    </w:p>
    <w:p w14:paraId="6DA07EF8" w14:textId="2BC45F85" w:rsidR="00796C1A" w:rsidRPr="005F62F4" w:rsidRDefault="00796C1A" w:rsidP="007C4445">
      <w:pPr>
        <w:pStyle w:val="Bullet1"/>
      </w:pPr>
      <w:r w:rsidRPr="005F62F4">
        <w:t>Medical Technology Association of Australia</w:t>
      </w:r>
    </w:p>
    <w:p w14:paraId="4133ED00" w14:textId="27912A6A" w:rsidR="00796C1A" w:rsidRPr="005F62F4" w:rsidRDefault="00796C1A" w:rsidP="007C4445">
      <w:pPr>
        <w:pStyle w:val="Bullet1"/>
      </w:pPr>
      <w:r w:rsidRPr="005F62F4">
        <w:t>Private Healthcare Australia</w:t>
      </w:r>
    </w:p>
    <w:p w14:paraId="0017EB0D" w14:textId="77777777" w:rsidR="00796C1A" w:rsidRPr="005F62F4" w:rsidRDefault="00796C1A" w:rsidP="007C4445">
      <w:pPr>
        <w:pStyle w:val="Bullet1"/>
      </w:pPr>
      <w:r w:rsidRPr="005F62F4">
        <w:t>The Australian and New Zealand Association of Oral and Maxillofacial Surgeons</w:t>
      </w:r>
    </w:p>
    <w:p w14:paraId="30A1013A" w14:textId="129CFA75" w:rsidR="00796C1A" w:rsidRPr="005F62F4" w:rsidRDefault="00796C1A" w:rsidP="007C4445">
      <w:pPr>
        <w:pStyle w:val="Bullet1"/>
      </w:pPr>
      <w:r w:rsidRPr="005F62F4">
        <w:t>Royal Austral</w:t>
      </w:r>
      <w:r w:rsidR="00061969" w:rsidRPr="005F62F4">
        <w:t>asian</w:t>
      </w:r>
      <w:r w:rsidRPr="005F62F4">
        <w:t xml:space="preserve"> College of Surgeons</w:t>
      </w:r>
    </w:p>
    <w:p w14:paraId="2BB8EE0E" w14:textId="480A550F" w:rsidR="00796C1A" w:rsidRPr="005F62F4" w:rsidRDefault="00796C1A" w:rsidP="007C4445">
      <w:pPr>
        <w:pStyle w:val="Bullet1"/>
      </w:pPr>
      <w:r w:rsidRPr="005F62F4">
        <w:t>Australian Health Services Alliance</w:t>
      </w:r>
    </w:p>
    <w:p w14:paraId="70916A59" w14:textId="4F6E0AC6" w:rsidR="00796C1A" w:rsidRPr="005F62F4" w:rsidRDefault="00796C1A" w:rsidP="007C4445">
      <w:pPr>
        <w:pStyle w:val="Bullet1"/>
      </w:pPr>
      <w:r w:rsidRPr="005F62F4">
        <w:t>Members Health Fund Alliance</w:t>
      </w:r>
    </w:p>
    <w:p w14:paraId="15A9BB51" w14:textId="77777777" w:rsidR="00796C1A" w:rsidRPr="005F62F4" w:rsidRDefault="00796C1A" w:rsidP="007E2795">
      <w:pPr>
        <w:pStyle w:val="Heading03"/>
      </w:pPr>
      <w:bookmarkStart w:id="254" w:name="_Toc120178342"/>
      <w:r w:rsidRPr="005F62F4">
        <w:t>Other organisations</w:t>
      </w:r>
      <w:bookmarkEnd w:id="254"/>
    </w:p>
    <w:p w14:paraId="643D1268" w14:textId="04F151B4" w:rsidR="00B23AAA" w:rsidRPr="005F62F4" w:rsidRDefault="00B23AAA" w:rsidP="00B23AAA">
      <w:pPr>
        <w:pStyle w:val="Para"/>
        <w:rPr>
          <w:lang w:eastAsia="en-AU"/>
        </w:rPr>
      </w:pPr>
      <w:r w:rsidRPr="005F62F4">
        <w:rPr>
          <w:lang w:eastAsia="en-AU"/>
        </w:rPr>
        <w:t xml:space="preserve">We invited 2 </w:t>
      </w:r>
      <w:r w:rsidR="00520D89" w:rsidRPr="005F62F4">
        <w:rPr>
          <w:lang w:eastAsia="en-AU"/>
        </w:rPr>
        <w:t>technical and consumer representative</w:t>
      </w:r>
      <w:r w:rsidRPr="005F62F4">
        <w:rPr>
          <w:lang w:eastAsia="en-AU"/>
        </w:rPr>
        <w:t xml:space="preserve"> organisations, with </w:t>
      </w:r>
      <w:r w:rsidR="00D81CFA" w:rsidRPr="005F62F4">
        <w:rPr>
          <w:lang w:eastAsia="en-AU"/>
        </w:rPr>
        <w:t>one</w:t>
      </w:r>
      <w:r w:rsidRPr="005F62F4">
        <w:rPr>
          <w:lang w:eastAsia="en-AU"/>
        </w:rPr>
        <w:t xml:space="preserve"> interview conducted with</w:t>
      </w:r>
      <w:r w:rsidR="008777DB" w:rsidRPr="005F62F4">
        <w:rPr>
          <w:lang w:eastAsia="en-AU"/>
        </w:rPr>
        <w:t xml:space="preserve"> the CSIRO</w:t>
      </w:r>
      <w:r w:rsidR="00061969" w:rsidRPr="005F62F4">
        <w:rPr>
          <w:lang w:eastAsia="en-AU"/>
        </w:rPr>
        <w:t>.</w:t>
      </w:r>
    </w:p>
    <w:p w14:paraId="0DBA9C99" w14:textId="37FEBA02" w:rsidR="00122123" w:rsidRPr="005F62F4" w:rsidRDefault="00122123" w:rsidP="00122123">
      <w:pPr>
        <w:pStyle w:val="Heading03"/>
      </w:pPr>
      <w:r w:rsidRPr="005F62F4">
        <w:t>Department representatives</w:t>
      </w:r>
    </w:p>
    <w:p w14:paraId="42D57B23" w14:textId="2298E9CC" w:rsidR="00BC18D2" w:rsidRPr="005F62F4" w:rsidRDefault="00BC18D2" w:rsidP="00BC18D2">
      <w:pPr>
        <w:pStyle w:val="Para"/>
        <w:rPr>
          <w:lang w:eastAsia="en-AU"/>
        </w:rPr>
      </w:pPr>
      <w:r w:rsidRPr="005F62F4">
        <w:rPr>
          <w:lang w:eastAsia="en-AU"/>
        </w:rPr>
        <w:t xml:space="preserve">We interviewed 6 representatives of the </w:t>
      </w:r>
      <w:r w:rsidR="009402DD" w:rsidRPr="005F62F4">
        <w:rPr>
          <w:lang w:eastAsia="en-AU"/>
        </w:rPr>
        <w:t xml:space="preserve">Prostheses List Reform Taskforce </w:t>
      </w:r>
      <w:r w:rsidR="00346E67" w:rsidRPr="005F62F4">
        <w:rPr>
          <w:lang w:eastAsia="en-AU"/>
        </w:rPr>
        <w:t xml:space="preserve">and Prostheses List Advisory Committee as advised by the </w:t>
      </w:r>
      <w:r w:rsidRPr="005F62F4">
        <w:rPr>
          <w:lang w:eastAsia="en-AU"/>
        </w:rPr>
        <w:t>Department of Health and Aged Care.</w:t>
      </w:r>
    </w:p>
    <w:p w14:paraId="7E74D745" w14:textId="77777777" w:rsidR="004D1801" w:rsidRPr="005F62F4" w:rsidRDefault="004D1801" w:rsidP="004D1801">
      <w:bookmarkStart w:id="255" w:name="_Toc120178343"/>
      <w:r w:rsidRPr="005F62F4">
        <w:br w:type="page"/>
      </w:r>
    </w:p>
    <w:p w14:paraId="790143F3" w14:textId="1CE7AA16" w:rsidR="00796C1A" w:rsidRPr="005F62F4" w:rsidRDefault="00796C1A" w:rsidP="004F2931">
      <w:pPr>
        <w:pStyle w:val="Heading3"/>
      </w:pPr>
      <w:r w:rsidRPr="005F62F4">
        <w:lastRenderedPageBreak/>
        <w:t>Sponsors</w:t>
      </w:r>
      <w:bookmarkEnd w:id="255"/>
    </w:p>
    <w:p w14:paraId="58E9A1A8" w14:textId="4232A6E2" w:rsidR="00C418DD" w:rsidRPr="005F62F4" w:rsidRDefault="009F737E" w:rsidP="00CE0075">
      <w:pPr>
        <w:pStyle w:val="Para"/>
      </w:pPr>
      <w:r w:rsidRPr="005F62F4">
        <w:rPr>
          <w:lang w:eastAsia="en-AU"/>
        </w:rPr>
        <w:t xml:space="preserve">All sponsors were invited to provide a written submission and </w:t>
      </w:r>
      <w:r w:rsidR="006471E1" w:rsidRPr="005F62F4">
        <w:rPr>
          <w:lang w:eastAsia="en-AU"/>
        </w:rPr>
        <w:t xml:space="preserve">offered the opportunity for an </w:t>
      </w:r>
      <w:r w:rsidRPr="005F62F4">
        <w:rPr>
          <w:lang w:eastAsia="en-AU"/>
        </w:rPr>
        <w:t xml:space="preserve">interview. </w:t>
      </w:r>
      <w:r w:rsidR="00D2444C" w:rsidRPr="005F62F4">
        <w:t xml:space="preserve">Eight of </w:t>
      </w:r>
      <w:r w:rsidR="006471E1" w:rsidRPr="005F62F4">
        <w:t xml:space="preserve">the </w:t>
      </w:r>
      <w:r w:rsidR="000308BF" w:rsidRPr="005F62F4">
        <w:t>9</w:t>
      </w:r>
      <w:r w:rsidR="00D2444C" w:rsidRPr="005F62F4">
        <w:t xml:space="preserve"> sponsors provided written submission</w:t>
      </w:r>
      <w:r w:rsidR="00C418DD" w:rsidRPr="005F62F4">
        <w:t>s:</w:t>
      </w:r>
    </w:p>
    <w:p w14:paraId="0E89379A" w14:textId="2C3902DF" w:rsidR="00C418DD" w:rsidRPr="005F62F4" w:rsidRDefault="002333BE" w:rsidP="00C418DD">
      <w:pPr>
        <w:pStyle w:val="Bullet1"/>
      </w:pPr>
      <w:r w:rsidRPr="005F62F4">
        <w:t>Digital Dental Network Pty Ltd</w:t>
      </w:r>
    </w:p>
    <w:p w14:paraId="10689802" w14:textId="222FE587" w:rsidR="002333BE" w:rsidRPr="005F62F4" w:rsidRDefault="008D068A" w:rsidP="00C418DD">
      <w:pPr>
        <w:pStyle w:val="Bullet1"/>
      </w:pPr>
      <w:proofErr w:type="spellStart"/>
      <w:r w:rsidRPr="005F62F4">
        <w:t>Maxoniq</w:t>
      </w:r>
      <w:proofErr w:type="spellEnd"/>
    </w:p>
    <w:p w14:paraId="2003453C" w14:textId="0295B8F0" w:rsidR="008D068A" w:rsidRPr="005F62F4" w:rsidRDefault="008D068A" w:rsidP="00C418DD">
      <w:pPr>
        <w:pStyle w:val="Bullet1"/>
      </w:pPr>
      <w:proofErr w:type="spellStart"/>
      <w:r w:rsidRPr="005F62F4">
        <w:t>Anatomics</w:t>
      </w:r>
      <w:proofErr w:type="spellEnd"/>
      <w:r w:rsidRPr="005F62F4">
        <w:t xml:space="preserve"> </w:t>
      </w:r>
      <w:r w:rsidR="001B063A" w:rsidRPr="005F62F4">
        <w:t>Pty Ltd</w:t>
      </w:r>
    </w:p>
    <w:p w14:paraId="25EFB4E4" w14:textId="6AADB5B6" w:rsidR="008D068A" w:rsidRPr="005F62F4" w:rsidRDefault="008D068A" w:rsidP="00C418DD">
      <w:pPr>
        <w:pStyle w:val="Bullet1"/>
      </w:pPr>
      <w:r w:rsidRPr="005F62F4">
        <w:t>Stryker</w:t>
      </w:r>
      <w:r w:rsidR="00947B7B" w:rsidRPr="005F62F4">
        <w:t xml:space="preserve"> Australia Pty Ltd</w:t>
      </w:r>
    </w:p>
    <w:p w14:paraId="0C3E81A6" w14:textId="3AB477DB" w:rsidR="008D068A" w:rsidRPr="005F62F4" w:rsidRDefault="003A4198" w:rsidP="00C418DD">
      <w:pPr>
        <w:pStyle w:val="Bullet1"/>
      </w:pPr>
      <w:r w:rsidRPr="005F62F4">
        <w:t xml:space="preserve">Johnson &amp; Johnson </w:t>
      </w:r>
      <w:r w:rsidR="003D7D04" w:rsidRPr="005F62F4">
        <w:t>Medical Pty Ltd</w:t>
      </w:r>
    </w:p>
    <w:p w14:paraId="256C25CA" w14:textId="3B5D2A28" w:rsidR="003A4198" w:rsidRPr="005F62F4" w:rsidRDefault="003A4198" w:rsidP="00C418DD">
      <w:pPr>
        <w:pStyle w:val="Bullet1"/>
      </w:pPr>
      <w:r w:rsidRPr="005F62F4">
        <w:t>KLS Martin</w:t>
      </w:r>
      <w:r w:rsidR="00FE34F8" w:rsidRPr="005F62F4">
        <w:t xml:space="preserve"> Australia Pty Ltd</w:t>
      </w:r>
    </w:p>
    <w:p w14:paraId="02F0777D" w14:textId="05421B4D" w:rsidR="003A4198" w:rsidRPr="005F62F4" w:rsidRDefault="0025262C" w:rsidP="00C418DD">
      <w:pPr>
        <w:pStyle w:val="Bullet1"/>
      </w:pPr>
      <w:r w:rsidRPr="005F62F4">
        <w:t>Specific Pty Ltd</w:t>
      </w:r>
    </w:p>
    <w:p w14:paraId="6BB55FCE" w14:textId="755C4EF2" w:rsidR="003A4198" w:rsidRPr="005F62F4" w:rsidRDefault="003A4198" w:rsidP="00C418DD">
      <w:pPr>
        <w:pStyle w:val="Bullet1"/>
      </w:pPr>
      <w:r w:rsidRPr="005F62F4">
        <w:t xml:space="preserve">More Group </w:t>
      </w:r>
      <w:r w:rsidR="00AD7401" w:rsidRPr="005F62F4">
        <w:t>Pty Ltd</w:t>
      </w:r>
    </w:p>
    <w:p w14:paraId="6DDBD42F" w14:textId="45BBD2B8" w:rsidR="000906B1" w:rsidRPr="005F62F4" w:rsidRDefault="000906B1" w:rsidP="000906B1">
      <w:pPr>
        <w:pStyle w:val="Para"/>
      </w:pPr>
      <w:r w:rsidRPr="005F62F4">
        <w:t>AA-Med did not provide a written submission</w:t>
      </w:r>
      <w:r w:rsidR="00821294" w:rsidRPr="005F62F4">
        <w:t xml:space="preserve"> in the first consultation </w:t>
      </w:r>
      <w:proofErr w:type="gramStart"/>
      <w:r w:rsidR="00821294" w:rsidRPr="005F62F4">
        <w:t>round, but</w:t>
      </w:r>
      <w:proofErr w:type="gramEnd"/>
      <w:r w:rsidR="00821294" w:rsidRPr="005F62F4">
        <w:t xml:space="preserve"> provided feedback on the draft report</w:t>
      </w:r>
      <w:r w:rsidRPr="005F62F4">
        <w:t>.</w:t>
      </w:r>
    </w:p>
    <w:p w14:paraId="4075264D" w14:textId="01F369D9" w:rsidR="009F737E" w:rsidRPr="005F62F4" w:rsidRDefault="00DB483B" w:rsidP="002B1C03">
      <w:pPr>
        <w:pStyle w:val="ParaKeep"/>
      </w:pPr>
      <w:r w:rsidRPr="005F62F4">
        <w:t xml:space="preserve">Representatives from </w:t>
      </w:r>
      <w:r w:rsidR="00720AB0" w:rsidRPr="005F62F4">
        <w:t xml:space="preserve">3 </w:t>
      </w:r>
      <w:r w:rsidR="00061969" w:rsidRPr="005F62F4">
        <w:t>of the 9</w:t>
      </w:r>
      <w:r w:rsidR="00720AB0" w:rsidRPr="005F62F4">
        <w:t xml:space="preserve"> </w:t>
      </w:r>
      <w:r w:rsidR="008A1A15" w:rsidRPr="005F62F4">
        <w:t xml:space="preserve">sponsors </w:t>
      </w:r>
      <w:r w:rsidR="008777DB" w:rsidRPr="005F62F4">
        <w:t>opted to take part in an interview</w:t>
      </w:r>
      <w:r w:rsidR="008A1A15" w:rsidRPr="005F62F4">
        <w:t>:</w:t>
      </w:r>
    </w:p>
    <w:p w14:paraId="35A4C97B" w14:textId="53D048CE" w:rsidR="00796C1A" w:rsidRPr="005F62F4" w:rsidRDefault="00796C1A" w:rsidP="007C4445">
      <w:pPr>
        <w:pStyle w:val="Bullet1"/>
      </w:pPr>
      <w:r w:rsidRPr="005F62F4">
        <w:t>Digital Dental Network Pty Ltd</w:t>
      </w:r>
    </w:p>
    <w:p w14:paraId="0DD2371F" w14:textId="77777777" w:rsidR="00796C1A" w:rsidRPr="005F62F4" w:rsidRDefault="00796C1A" w:rsidP="007C4445">
      <w:pPr>
        <w:pStyle w:val="Bullet1"/>
      </w:pPr>
      <w:r w:rsidRPr="005F62F4">
        <w:t>Johnson &amp; Johnson Pty Limited</w:t>
      </w:r>
    </w:p>
    <w:p w14:paraId="0AEE690D" w14:textId="3D166551" w:rsidR="004E5ACF" w:rsidRPr="00CE0075" w:rsidRDefault="00796C1A" w:rsidP="004C5EE2">
      <w:pPr>
        <w:pStyle w:val="Bullet1"/>
        <w:spacing w:after="200" w:line="276" w:lineRule="auto"/>
        <w:rPr>
          <w:rFonts w:eastAsia="MS Mincho"/>
          <w:lang w:eastAsia="en-GB"/>
        </w:rPr>
      </w:pPr>
      <w:r w:rsidRPr="005F62F4">
        <w:t>KLS Martin Australia Pty Limited</w:t>
      </w:r>
    </w:p>
    <w:p w14:paraId="5FCEA384" w14:textId="77777777" w:rsidR="002D057E" w:rsidRPr="005F62F4" w:rsidRDefault="002D057E" w:rsidP="004C4554">
      <w:pPr>
        <w:pStyle w:val="Para"/>
        <w:sectPr w:rsidR="002D057E" w:rsidRPr="005F62F4" w:rsidSect="006653A9">
          <w:headerReference w:type="default" r:id="rId44"/>
          <w:pgSz w:w="11906" w:h="16838" w:code="9"/>
          <w:pgMar w:top="1134" w:right="1134" w:bottom="1134" w:left="1440" w:header="709" w:footer="709" w:gutter="0"/>
          <w:cols w:space="708"/>
          <w:titlePg/>
          <w:docGrid w:linePitch="360"/>
        </w:sectPr>
      </w:pPr>
    </w:p>
    <w:p w14:paraId="7C8F7049" w14:textId="0F37336B" w:rsidR="007F5AA8" w:rsidRPr="005F62F4" w:rsidRDefault="004F0B3D" w:rsidP="004F2931">
      <w:pPr>
        <w:pStyle w:val="HeadingA1"/>
      </w:pPr>
      <w:bookmarkStart w:id="256" w:name="_Ref119605250"/>
      <w:bookmarkStart w:id="257" w:name="_Toc120178344"/>
      <w:bookmarkStart w:id="258" w:name="_Toc129954620"/>
      <w:r w:rsidRPr="005F62F4">
        <w:lastRenderedPageBreak/>
        <w:t>In</w:t>
      </w:r>
      <w:r w:rsidR="005D7AA8" w:rsidRPr="005F62F4">
        <w:t>-scope products</w:t>
      </w:r>
      <w:bookmarkEnd w:id="256"/>
      <w:bookmarkEnd w:id="257"/>
      <w:bookmarkEnd w:id="258"/>
    </w:p>
    <w:p w14:paraId="00DA6F91" w14:textId="22852E95" w:rsidR="007F5AA8" w:rsidRPr="005F62F4" w:rsidRDefault="009C645B" w:rsidP="007F5AA8">
      <w:pPr>
        <w:pStyle w:val="Para"/>
        <w:rPr>
          <w:lang w:eastAsia="en-AU"/>
        </w:rPr>
      </w:pPr>
      <w:r w:rsidRPr="005F62F4">
        <w:rPr>
          <w:lang w:eastAsia="en-AU"/>
        </w:rPr>
        <w:t>The table</w:t>
      </w:r>
      <w:r w:rsidR="007238AC" w:rsidRPr="005F62F4">
        <w:rPr>
          <w:lang w:eastAsia="en-AU"/>
        </w:rPr>
        <w:t>s</w:t>
      </w:r>
      <w:r w:rsidRPr="005F62F4">
        <w:rPr>
          <w:lang w:eastAsia="en-AU"/>
        </w:rPr>
        <w:t xml:space="preserve"> below describe</w:t>
      </w:r>
      <w:r w:rsidR="00074812" w:rsidRPr="005F62F4">
        <w:rPr>
          <w:lang w:eastAsia="en-AU"/>
        </w:rPr>
        <w:t xml:space="preserve"> the 32 surgical guides and </w:t>
      </w:r>
      <w:proofErr w:type="spellStart"/>
      <w:r w:rsidR="00074812" w:rsidRPr="005F62F4">
        <w:rPr>
          <w:lang w:eastAsia="en-AU"/>
        </w:rPr>
        <w:t>biomodels</w:t>
      </w:r>
      <w:proofErr w:type="spellEnd"/>
      <w:r w:rsidR="00074812" w:rsidRPr="005F62F4">
        <w:rPr>
          <w:lang w:eastAsia="en-AU"/>
        </w:rPr>
        <w:t xml:space="preserve"> </w:t>
      </w:r>
      <w:r w:rsidR="007D3810" w:rsidRPr="005F62F4">
        <w:rPr>
          <w:lang w:eastAsia="en-AU"/>
        </w:rPr>
        <w:t>that</w:t>
      </w:r>
      <w:r w:rsidR="00074812" w:rsidRPr="005F62F4">
        <w:rPr>
          <w:lang w:eastAsia="en-AU"/>
        </w:rPr>
        <w:t xml:space="preserve"> are listed </w:t>
      </w:r>
      <w:r w:rsidR="000058DE" w:rsidRPr="005F62F4">
        <w:rPr>
          <w:lang w:eastAsia="en-AU"/>
        </w:rPr>
        <w:t>o</w:t>
      </w:r>
      <w:r w:rsidR="00074812" w:rsidRPr="005F62F4">
        <w:rPr>
          <w:lang w:eastAsia="en-AU"/>
        </w:rPr>
        <w:t>n the PL</w:t>
      </w:r>
      <w:r w:rsidRPr="005F62F4">
        <w:rPr>
          <w:lang w:eastAsia="en-AU"/>
        </w:rPr>
        <w:t xml:space="preserve"> and in scope for this review.</w:t>
      </w:r>
      <w:r w:rsidR="00251CC7" w:rsidRPr="005F62F4">
        <w:rPr>
          <w:lang w:eastAsia="en-AU"/>
        </w:rPr>
        <w:t xml:space="preserve"> This lists the </w:t>
      </w:r>
      <w:r w:rsidR="00E456BE" w:rsidRPr="005F62F4">
        <w:rPr>
          <w:lang w:eastAsia="en-AU"/>
        </w:rPr>
        <w:t>product name, ARTG identification number, ARTG intended purpose</w:t>
      </w:r>
      <w:r w:rsidR="004C35D1" w:rsidRPr="005F62F4">
        <w:rPr>
          <w:lang w:eastAsia="en-AU"/>
        </w:rPr>
        <w:t>,</w:t>
      </w:r>
      <w:r w:rsidR="00E456BE" w:rsidRPr="005F62F4">
        <w:rPr>
          <w:lang w:eastAsia="en-AU"/>
        </w:rPr>
        <w:t xml:space="preserve"> whether the product includes an implant or prostheses (as specified in the ARTG</w:t>
      </w:r>
      <w:r w:rsidR="004C35D1" w:rsidRPr="005F62F4">
        <w:rPr>
          <w:lang w:eastAsia="en-AU"/>
        </w:rPr>
        <w:t>)</w:t>
      </w:r>
      <w:r w:rsidR="00E456BE" w:rsidRPr="005F62F4">
        <w:rPr>
          <w:lang w:eastAsia="en-AU"/>
        </w:rPr>
        <w:t xml:space="preserve"> and the PL benefit amount.</w:t>
      </w:r>
    </w:p>
    <w:p w14:paraId="4DFBB3A6" w14:textId="4B8AF047" w:rsidR="008F4DC6" w:rsidRPr="005F62F4" w:rsidRDefault="00E56C05" w:rsidP="00181065">
      <w:pPr>
        <w:pStyle w:val="Para"/>
      </w:pPr>
      <w:bookmarkStart w:id="259" w:name="_Toc129954657"/>
      <w:r w:rsidRPr="005F62F4">
        <w:t>Table </w:t>
      </w:r>
      <w:r w:rsidRPr="005F62F4">
        <w:fldChar w:fldCharType="begin"/>
      </w:r>
      <w:r w:rsidRPr="005F62F4">
        <w:instrText>SEQ Table \* ARABIC</w:instrText>
      </w:r>
      <w:r w:rsidRPr="005F62F4">
        <w:fldChar w:fldCharType="separate"/>
      </w:r>
      <w:r w:rsidR="005606BF">
        <w:rPr>
          <w:noProof/>
        </w:rPr>
        <w:t>20</w:t>
      </w:r>
      <w:r w:rsidRPr="005F62F4">
        <w:fldChar w:fldCharType="end"/>
      </w:r>
      <w:r w:rsidR="008F4DC6" w:rsidRPr="005F62F4">
        <w:t>: Cranium surgical guides (07.02.02.04)</w:t>
      </w:r>
      <w:bookmarkEnd w:id="259"/>
    </w:p>
    <w:tbl>
      <w:tblPr>
        <w:tblStyle w:val="SGB"/>
        <w:tblW w:w="9356" w:type="dxa"/>
        <w:tblLayout w:type="fixed"/>
        <w:tblLook w:val="04A0" w:firstRow="1" w:lastRow="0" w:firstColumn="1" w:lastColumn="0" w:noHBand="0" w:noVBand="1"/>
      </w:tblPr>
      <w:tblGrid>
        <w:gridCol w:w="1120"/>
        <w:gridCol w:w="1326"/>
        <w:gridCol w:w="1382"/>
        <w:gridCol w:w="3543"/>
        <w:gridCol w:w="1134"/>
        <w:gridCol w:w="851"/>
      </w:tblGrid>
      <w:tr w:rsidR="00B644BB" w:rsidRPr="005F62F4" w14:paraId="37F807A7" w14:textId="5C479AC1" w:rsidTr="00FF694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20" w:type="dxa"/>
          </w:tcPr>
          <w:p w14:paraId="1479E56C" w14:textId="313BB442" w:rsidR="007F5AA8" w:rsidRPr="005F62F4" w:rsidRDefault="007F5AA8" w:rsidP="0043244F">
            <w:pPr>
              <w:pStyle w:val="TableText"/>
              <w:rPr>
                <w:szCs w:val="18"/>
              </w:rPr>
            </w:pPr>
            <w:bookmarkStart w:id="260" w:name="Title_22" w:colFirst="0" w:colLast="0"/>
            <w:r w:rsidRPr="005F62F4">
              <w:t>Sponsor</w:t>
            </w:r>
          </w:p>
        </w:tc>
        <w:tc>
          <w:tcPr>
            <w:tcW w:w="1326" w:type="dxa"/>
          </w:tcPr>
          <w:p w14:paraId="23631CB4" w14:textId="08C867D1" w:rsidR="007F5AA8" w:rsidRPr="005F62F4" w:rsidRDefault="007F5AA8" w:rsidP="0043244F">
            <w:pPr>
              <w:pStyle w:val="TableText"/>
              <w:cnfStyle w:val="100000000000" w:firstRow="1" w:lastRow="0" w:firstColumn="0" w:lastColumn="0" w:oddVBand="0" w:evenVBand="0" w:oddHBand="0" w:evenHBand="0" w:firstRowFirstColumn="0" w:firstRowLastColumn="0" w:lastRowFirstColumn="0" w:lastRowLastColumn="0"/>
              <w:rPr>
                <w:szCs w:val="18"/>
              </w:rPr>
            </w:pPr>
            <w:r w:rsidRPr="005F62F4">
              <w:t>Product name</w:t>
            </w:r>
          </w:p>
        </w:tc>
        <w:tc>
          <w:tcPr>
            <w:tcW w:w="1382" w:type="dxa"/>
          </w:tcPr>
          <w:p w14:paraId="251655F0" w14:textId="11136E57" w:rsidR="00985DE2" w:rsidRPr="005F62F4" w:rsidRDefault="00985DE2" w:rsidP="0043244F">
            <w:pPr>
              <w:pStyle w:val="TableText"/>
              <w:cnfStyle w:val="100000000000" w:firstRow="1" w:lastRow="0" w:firstColumn="0" w:lastColumn="0" w:oddVBand="0" w:evenVBand="0" w:oddHBand="0" w:evenHBand="0" w:firstRowFirstColumn="0" w:firstRowLastColumn="0" w:lastRowFirstColumn="0" w:lastRowLastColumn="0"/>
              <w:rPr>
                <w:szCs w:val="18"/>
              </w:rPr>
            </w:pPr>
            <w:r w:rsidRPr="005F62F4">
              <w:t>ARTG Identification Number</w:t>
            </w:r>
          </w:p>
        </w:tc>
        <w:tc>
          <w:tcPr>
            <w:tcW w:w="3543" w:type="dxa"/>
          </w:tcPr>
          <w:p w14:paraId="2C50EF45" w14:textId="08B7EFB9" w:rsidR="007F5AA8" w:rsidRPr="005F62F4" w:rsidRDefault="00985DE2" w:rsidP="0043244F">
            <w:pPr>
              <w:pStyle w:val="TableText"/>
              <w:cnfStyle w:val="100000000000" w:firstRow="1" w:lastRow="0" w:firstColumn="0" w:lastColumn="0" w:oddVBand="0" w:evenVBand="0" w:oddHBand="0" w:evenHBand="0" w:firstRowFirstColumn="0" w:firstRowLastColumn="0" w:lastRowFirstColumn="0" w:lastRowLastColumn="0"/>
              <w:rPr>
                <w:szCs w:val="18"/>
              </w:rPr>
            </w:pPr>
            <w:r w:rsidRPr="005F62F4">
              <w:t xml:space="preserve">ARTG </w:t>
            </w:r>
            <w:r w:rsidR="00593F9F" w:rsidRPr="005F62F4">
              <w:rPr>
                <w:szCs w:val="18"/>
              </w:rPr>
              <w:t>intended pur</w:t>
            </w:r>
            <w:r w:rsidR="00BF57B8" w:rsidRPr="005F62F4">
              <w:rPr>
                <w:szCs w:val="18"/>
              </w:rPr>
              <w:t>pose</w:t>
            </w:r>
          </w:p>
        </w:tc>
        <w:tc>
          <w:tcPr>
            <w:tcW w:w="1134" w:type="dxa"/>
          </w:tcPr>
          <w:p w14:paraId="6BDBA230" w14:textId="18215577" w:rsidR="002F0F4C" w:rsidRPr="005F62F4" w:rsidRDefault="002F0F4C" w:rsidP="00BD74E8">
            <w:pPr>
              <w:pStyle w:val="TableTextRight"/>
              <w:jc w:val="center"/>
              <w:cnfStyle w:val="100000000000" w:firstRow="1" w:lastRow="0" w:firstColumn="0" w:lastColumn="0" w:oddVBand="0" w:evenVBand="0" w:oddHBand="0" w:evenHBand="0" w:firstRowFirstColumn="0" w:firstRowLastColumn="0" w:lastRowFirstColumn="0" w:lastRowLastColumn="0"/>
              <w:rPr>
                <w:lang w:val="en-AU"/>
              </w:rPr>
            </w:pPr>
            <w:r w:rsidRPr="005F62F4">
              <w:rPr>
                <w:lang w:val="en-AU"/>
              </w:rPr>
              <w:t xml:space="preserve">Includes </w:t>
            </w:r>
            <w:r w:rsidR="00514D5F" w:rsidRPr="005F62F4">
              <w:rPr>
                <w:lang w:val="en-AU"/>
              </w:rPr>
              <w:t>prostheses</w:t>
            </w:r>
            <w:r w:rsidR="004C35D1" w:rsidRPr="005F62F4">
              <w:rPr>
                <w:lang w:val="en-AU"/>
              </w:rPr>
              <w:t xml:space="preserve"> as part of kit/</w:t>
            </w:r>
            <w:r w:rsidR="0023740C" w:rsidRPr="005F62F4">
              <w:rPr>
                <w:lang w:val="en-AU"/>
              </w:rPr>
              <w:t>‌</w:t>
            </w:r>
            <w:r w:rsidR="004C35D1" w:rsidRPr="005F62F4">
              <w:rPr>
                <w:lang w:val="en-AU"/>
              </w:rPr>
              <w:t>system</w:t>
            </w:r>
            <w:r w:rsidR="00514D5F" w:rsidRPr="005F62F4">
              <w:rPr>
                <w:lang w:val="en-AU"/>
              </w:rPr>
              <w:t>?</w:t>
            </w:r>
          </w:p>
        </w:tc>
        <w:tc>
          <w:tcPr>
            <w:tcW w:w="851" w:type="dxa"/>
          </w:tcPr>
          <w:p w14:paraId="2866F8E8" w14:textId="73D5CB0D" w:rsidR="00262AD1" w:rsidRPr="005F62F4" w:rsidRDefault="00262AD1" w:rsidP="00105877">
            <w:pPr>
              <w:pStyle w:val="TableTextRight"/>
              <w:cnfStyle w:val="100000000000" w:firstRow="1" w:lastRow="0" w:firstColumn="0" w:lastColumn="0" w:oddVBand="0" w:evenVBand="0" w:oddHBand="0" w:evenHBand="0" w:firstRowFirstColumn="0" w:firstRowLastColumn="0" w:lastRowFirstColumn="0" w:lastRowLastColumn="0"/>
              <w:rPr>
                <w:lang w:val="en-AU"/>
              </w:rPr>
            </w:pPr>
            <w:r w:rsidRPr="005F62F4">
              <w:rPr>
                <w:lang w:val="en-AU"/>
              </w:rPr>
              <w:t>Benefit</w:t>
            </w:r>
          </w:p>
        </w:tc>
      </w:tr>
      <w:bookmarkEnd w:id="260"/>
      <w:tr w:rsidR="007F5AA8" w:rsidRPr="005F62F4" w14:paraId="17CBE78E" w14:textId="723AA25E" w:rsidTr="00FF6949">
        <w:tc>
          <w:tcPr>
            <w:cnfStyle w:val="001000000000" w:firstRow="0" w:lastRow="0" w:firstColumn="1" w:lastColumn="0" w:oddVBand="0" w:evenVBand="0" w:oddHBand="0" w:evenHBand="0" w:firstRowFirstColumn="0" w:firstRowLastColumn="0" w:lastRowFirstColumn="0" w:lastRowLastColumn="0"/>
            <w:tcW w:w="1120" w:type="dxa"/>
          </w:tcPr>
          <w:p w14:paraId="414A667D" w14:textId="01E1332D" w:rsidR="007F5AA8" w:rsidRPr="005F62F4" w:rsidRDefault="001E47F9" w:rsidP="0043244F">
            <w:pPr>
              <w:pStyle w:val="TableText"/>
              <w:rPr>
                <w:szCs w:val="18"/>
              </w:rPr>
            </w:pPr>
            <w:proofErr w:type="spellStart"/>
            <w:r w:rsidRPr="005F62F4">
              <w:t>Anatomics</w:t>
            </w:r>
            <w:proofErr w:type="spellEnd"/>
            <w:r w:rsidRPr="005F62F4">
              <w:t xml:space="preserve"> Pty Ltd</w:t>
            </w:r>
          </w:p>
        </w:tc>
        <w:tc>
          <w:tcPr>
            <w:tcW w:w="1326" w:type="dxa"/>
          </w:tcPr>
          <w:p w14:paraId="5E4A9490" w14:textId="10B32221" w:rsidR="007F5AA8" w:rsidRPr="005F62F4" w:rsidRDefault="001E47F9" w:rsidP="0043244F">
            <w:pPr>
              <w:pStyle w:val="TableText"/>
              <w:cnfStyle w:val="000000000000" w:firstRow="0" w:lastRow="0" w:firstColumn="0" w:lastColumn="0" w:oddVBand="0" w:evenVBand="0" w:oddHBand="0" w:evenHBand="0" w:firstRowFirstColumn="0" w:firstRowLastColumn="0" w:lastRowFirstColumn="0" w:lastRowLastColumn="0"/>
              <w:rPr>
                <w:szCs w:val="18"/>
              </w:rPr>
            </w:pPr>
            <w:proofErr w:type="spellStart"/>
            <w:r w:rsidRPr="005F62F4">
              <w:t>Anatomics</w:t>
            </w:r>
            <w:proofErr w:type="spellEnd"/>
            <w:r w:rsidRPr="005F62F4">
              <w:t xml:space="preserve"> Surgical Guide </w:t>
            </w:r>
          </w:p>
        </w:tc>
        <w:tc>
          <w:tcPr>
            <w:tcW w:w="1382" w:type="dxa"/>
          </w:tcPr>
          <w:p w14:paraId="77E875CA" w14:textId="55BAD94C" w:rsidR="00985DE2" w:rsidRPr="005F62F4" w:rsidRDefault="007D3A91" w:rsidP="0043244F">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288564</w:t>
            </w:r>
          </w:p>
        </w:tc>
        <w:tc>
          <w:tcPr>
            <w:tcW w:w="3543" w:type="dxa"/>
          </w:tcPr>
          <w:p w14:paraId="6E323944" w14:textId="1AFA0B38" w:rsidR="007F5AA8" w:rsidRPr="005F62F4" w:rsidRDefault="00B01874" w:rsidP="0043244F">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Intended for the r</w:t>
            </w:r>
            <w:r w:rsidR="00267880" w:rsidRPr="005F62F4">
              <w:rPr>
                <w:szCs w:val="18"/>
              </w:rPr>
              <w:t>eplacement or augmentation of bony defects in the craniofacial skeleton. This kit includes a customised</w:t>
            </w:r>
            <w:r w:rsidR="00AF1048" w:rsidRPr="005F62F4">
              <w:rPr>
                <w:szCs w:val="18"/>
              </w:rPr>
              <w:t xml:space="preserve"> </w:t>
            </w:r>
            <w:r w:rsidR="00267880" w:rsidRPr="005F62F4">
              <w:rPr>
                <w:szCs w:val="18"/>
              </w:rPr>
              <w:t xml:space="preserve">craniofacial implant, </w:t>
            </w:r>
            <w:r w:rsidR="00267880" w:rsidRPr="005F62F4">
              <w:rPr>
                <w:rStyle w:val="Bold"/>
                <w:szCs w:val="18"/>
              </w:rPr>
              <w:t xml:space="preserve">customised anatomical </w:t>
            </w:r>
            <w:proofErr w:type="spellStart"/>
            <w:r w:rsidR="00267880" w:rsidRPr="005F62F4">
              <w:rPr>
                <w:rStyle w:val="Bold"/>
                <w:szCs w:val="18"/>
              </w:rPr>
              <w:t>biomodel</w:t>
            </w:r>
            <w:proofErr w:type="spellEnd"/>
            <w:r w:rsidR="00267880" w:rsidRPr="005F62F4">
              <w:rPr>
                <w:szCs w:val="18"/>
              </w:rPr>
              <w:t>, fixation plates and screws.</w:t>
            </w:r>
          </w:p>
        </w:tc>
        <w:tc>
          <w:tcPr>
            <w:tcW w:w="1134" w:type="dxa"/>
          </w:tcPr>
          <w:p w14:paraId="0108FACB" w14:textId="6A74702F" w:rsidR="00514D5F" w:rsidRPr="005F62F4" w:rsidRDefault="00514D5F" w:rsidP="00514D5F">
            <w:pPr>
              <w:pStyle w:val="TableTextRight"/>
              <w:jc w:val="center"/>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Yes</w:t>
            </w:r>
          </w:p>
        </w:tc>
        <w:tc>
          <w:tcPr>
            <w:tcW w:w="851" w:type="dxa"/>
          </w:tcPr>
          <w:p w14:paraId="7AA55668" w14:textId="107F5C6A" w:rsidR="00262AD1" w:rsidRPr="005F62F4" w:rsidRDefault="00262AD1" w:rsidP="00105877">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$1,950</w:t>
            </w:r>
          </w:p>
        </w:tc>
      </w:tr>
      <w:tr w:rsidR="007F5AA8" w:rsidRPr="005F62F4" w14:paraId="1D6A2B6D" w14:textId="74648929" w:rsidTr="00FF694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20" w:type="dxa"/>
          </w:tcPr>
          <w:p w14:paraId="047F0430" w14:textId="48B58863" w:rsidR="007F5AA8" w:rsidRPr="005F62F4" w:rsidRDefault="001E47F9" w:rsidP="0043244F">
            <w:pPr>
              <w:pStyle w:val="TableText"/>
              <w:rPr>
                <w:szCs w:val="18"/>
              </w:rPr>
            </w:pPr>
            <w:r w:rsidRPr="005F62F4">
              <w:t>Johnson &amp; Johnson Pty Ltd</w:t>
            </w:r>
          </w:p>
        </w:tc>
        <w:tc>
          <w:tcPr>
            <w:tcW w:w="1326" w:type="dxa"/>
          </w:tcPr>
          <w:p w14:paraId="17D05180" w14:textId="163DC539" w:rsidR="007F5AA8" w:rsidRPr="005F62F4" w:rsidRDefault="00801299" w:rsidP="0043244F">
            <w:pPr>
              <w:pStyle w:val="TableText"/>
              <w:cnfStyle w:val="000000010000" w:firstRow="0" w:lastRow="0" w:firstColumn="0" w:lastColumn="0" w:oddVBand="0" w:evenVBand="0" w:oddHBand="0" w:evenHBand="1" w:firstRowFirstColumn="0" w:firstRowLastColumn="0" w:lastRowFirstColumn="0" w:lastRowLastColumn="0"/>
              <w:rPr>
                <w:szCs w:val="18"/>
              </w:rPr>
            </w:pPr>
            <w:proofErr w:type="spellStart"/>
            <w:r w:rsidRPr="005F62F4">
              <w:t>ProPlan</w:t>
            </w:r>
            <w:proofErr w:type="spellEnd"/>
          </w:p>
        </w:tc>
        <w:tc>
          <w:tcPr>
            <w:tcW w:w="1382" w:type="dxa"/>
          </w:tcPr>
          <w:p w14:paraId="1932B310" w14:textId="4F22E7D5" w:rsidR="00985DE2" w:rsidRPr="005F62F4" w:rsidRDefault="00C94451" w:rsidP="0043244F">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27</w:t>
            </w:r>
            <w:r w:rsidR="007A64EC" w:rsidRPr="005F62F4">
              <w:rPr>
                <w:szCs w:val="18"/>
              </w:rPr>
              <w:t>6733</w:t>
            </w:r>
          </w:p>
        </w:tc>
        <w:tc>
          <w:tcPr>
            <w:tcW w:w="3543" w:type="dxa"/>
          </w:tcPr>
          <w:p w14:paraId="2DD3477C" w14:textId="1777DBCF" w:rsidR="007F5AA8" w:rsidRPr="005F62F4" w:rsidRDefault="002D2D50" w:rsidP="0043244F">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 xml:space="preserve">A pack that includes a combination of screws, </w:t>
            </w:r>
            <w:r w:rsidRPr="005F62F4">
              <w:rPr>
                <w:b/>
                <w:szCs w:val="18"/>
              </w:rPr>
              <w:t>custom</w:t>
            </w:r>
            <w:r w:rsidR="00684C07">
              <w:rPr>
                <w:b/>
                <w:szCs w:val="18"/>
              </w:rPr>
              <w:t>-</w:t>
            </w:r>
            <w:r w:rsidRPr="005F62F4">
              <w:rPr>
                <w:b/>
                <w:szCs w:val="18"/>
              </w:rPr>
              <w:t>made surgical guides, anatomical models</w:t>
            </w:r>
            <w:r w:rsidRPr="005F62F4">
              <w:rPr>
                <w:szCs w:val="18"/>
              </w:rPr>
              <w:t xml:space="preserve"> or implants for bone reconstruction, augmentation and fixation in the craniofacial region </w:t>
            </w:r>
            <w:r w:rsidR="00FE7408" w:rsidRPr="005F62F4">
              <w:rPr>
                <w:szCs w:val="18"/>
              </w:rPr>
              <w:t>(</w:t>
            </w:r>
            <w:proofErr w:type="gramStart"/>
            <w:r w:rsidRPr="005F62F4">
              <w:rPr>
                <w:szCs w:val="18"/>
              </w:rPr>
              <w:t>e</w:t>
            </w:r>
            <w:r w:rsidR="00FB0F7A" w:rsidRPr="005F62F4">
              <w:rPr>
                <w:szCs w:val="18"/>
              </w:rPr>
              <w:t>.</w:t>
            </w:r>
            <w:r w:rsidRPr="005F62F4">
              <w:rPr>
                <w:szCs w:val="18"/>
              </w:rPr>
              <w:t>g</w:t>
            </w:r>
            <w:r w:rsidR="00FB0F7A" w:rsidRPr="005F62F4">
              <w:rPr>
                <w:szCs w:val="18"/>
              </w:rPr>
              <w:t>.</w:t>
            </w:r>
            <w:proofErr w:type="gramEnd"/>
            <w:r w:rsidRPr="005F62F4">
              <w:rPr>
                <w:szCs w:val="18"/>
              </w:rPr>
              <w:t xml:space="preserve"> craniofacial reconstruction, stabilise fractured bone, </w:t>
            </w:r>
            <w:proofErr w:type="spellStart"/>
            <w:r w:rsidRPr="005F62F4">
              <w:rPr>
                <w:szCs w:val="18"/>
              </w:rPr>
              <w:t>endobrow</w:t>
            </w:r>
            <w:proofErr w:type="spellEnd"/>
            <w:r w:rsidRPr="005F62F4">
              <w:rPr>
                <w:szCs w:val="18"/>
              </w:rPr>
              <w:t xml:space="preserve"> fixation, or craniotomy flap fixation</w:t>
            </w:r>
            <w:r w:rsidR="00FE7408" w:rsidRPr="005F62F4">
              <w:rPr>
                <w:szCs w:val="18"/>
              </w:rPr>
              <w:t>)</w:t>
            </w:r>
            <w:r w:rsidRPr="005F62F4">
              <w:rPr>
                <w:szCs w:val="18"/>
              </w:rPr>
              <w:t>.</w:t>
            </w:r>
          </w:p>
        </w:tc>
        <w:tc>
          <w:tcPr>
            <w:tcW w:w="1134" w:type="dxa"/>
          </w:tcPr>
          <w:p w14:paraId="7B625A38" w14:textId="27D7B701" w:rsidR="00514D5F" w:rsidRPr="005F62F4" w:rsidRDefault="00514D5F" w:rsidP="00514D5F">
            <w:pPr>
              <w:pStyle w:val="TableTextRight"/>
              <w:jc w:val="center"/>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Yes</w:t>
            </w:r>
          </w:p>
        </w:tc>
        <w:tc>
          <w:tcPr>
            <w:tcW w:w="851" w:type="dxa"/>
          </w:tcPr>
          <w:p w14:paraId="385CC3FE" w14:textId="1AFD1D86" w:rsidR="00262AD1" w:rsidRPr="005F62F4" w:rsidRDefault="00262AD1" w:rsidP="00105877">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$1,950</w:t>
            </w:r>
          </w:p>
        </w:tc>
      </w:tr>
      <w:tr w:rsidR="007F5AA8" w:rsidRPr="005F62F4" w14:paraId="57F587CE" w14:textId="367BB683" w:rsidTr="00FF6949">
        <w:tc>
          <w:tcPr>
            <w:cnfStyle w:val="001000000000" w:firstRow="0" w:lastRow="0" w:firstColumn="1" w:lastColumn="0" w:oddVBand="0" w:evenVBand="0" w:oddHBand="0" w:evenHBand="0" w:firstRowFirstColumn="0" w:firstRowLastColumn="0" w:lastRowFirstColumn="0" w:lastRowLastColumn="0"/>
            <w:tcW w:w="1120" w:type="dxa"/>
          </w:tcPr>
          <w:p w14:paraId="0D10C41A" w14:textId="48E96FDC" w:rsidR="007F5AA8" w:rsidRPr="005F62F4" w:rsidRDefault="001E47F9" w:rsidP="0043244F">
            <w:pPr>
              <w:pStyle w:val="TableText"/>
              <w:rPr>
                <w:szCs w:val="18"/>
              </w:rPr>
            </w:pPr>
            <w:r w:rsidRPr="005F62F4">
              <w:t>Johnson &amp; Johnson Pty Ltd</w:t>
            </w:r>
          </w:p>
        </w:tc>
        <w:tc>
          <w:tcPr>
            <w:tcW w:w="1326" w:type="dxa"/>
          </w:tcPr>
          <w:p w14:paraId="573FC235" w14:textId="2E46D901" w:rsidR="007F5AA8" w:rsidRPr="005F62F4" w:rsidRDefault="00801299" w:rsidP="0043244F">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 xml:space="preserve">Surgical Guide for OBL PSI System – Cranium </w:t>
            </w:r>
          </w:p>
        </w:tc>
        <w:tc>
          <w:tcPr>
            <w:tcW w:w="1382" w:type="dxa"/>
          </w:tcPr>
          <w:p w14:paraId="7869FEE8" w14:textId="23BE5AA7" w:rsidR="00985DE2" w:rsidRPr="005F62F4" w:rsidRDefault="007A64EC" w:rsidP="0043244F">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276733</w:t>
            </w:r>
          </w:p>
        </w:tc>
        <w:tc>
          <w:tcPr>
            <w:tcW w:w="3543" w:type="dxa"/>
          </w:tcPr>
          <w:p w14:paraId="440A3DE6" w14:textId="519822CB" w:rsidR="007F5AA8" w:rsidRPr="005F62F4" w:rsidRDefault="00685478" w:rsidP="0043244F">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 xml:space="preserve">A pack that includes a combination of screws, </w:t>
            </w:r>
            <w:r w:rsidRPr="005F62F4">
              <w:rPr>
                <w:rStyle w:val="Bold"/>
                <w:szCs w:val="18"/>
              </w:rPr>
              <w:t>custom</w:t>
            </w:r>
            <w:r w:rsidR="00684C07">
              <w:rPr>
                <w:rStyle w:val="Bold"/>
                <w:szCs w:val="18"/>
              </w:rPr>
              <w:t>-</w:t>
            </w:r>
            <w:r w:rsidRPr="005F62F4">
              <w:rPr>
                <w:rStyle w:val="Bold"/>
                <w:szCs w:val="18"/>
              </w:rPr>
              <w:t>made surgical guides, anatomical models</w:t>
            </w:r>
            <w:r w:rsidRPr="005F62F4">
              <w:rPr>
                <w:szCs w:val="18"/>
              </w:rPr>
              <w:t xml:space="preserve"> or implants for bone reconstruction, augmentation and fixation in the craniofacial region </w:t>
            </w:r>
            <w:r w:rsidR="00FE7408" w:rsidRPr="005F62F4">
              <w:rPr>
                <w:szCs w:val="18"/>
              </w:rPr>
              <w:t>(</w:t>
            </w:r>
            <w:proofErr w:type="gramStart"/>
            <w:r w:rsidRPr="005F62F4">
              <w:rPr>
                <w:szCs w:val="18"/>
              </w:rPr>
              <w:t>e</w:t>
            </w:r>
            <w:r w:rsidR="00A76630" w:rsidRPr="005F62F4">
              <w:rPr>
                <w:szCs w:val="18"/>
              </w:rPr>
              <w:t>.</w:t>
            </w:r>
            <w:r w:rsidRPr="005F62F4">
              <w:rPr>
                <w:szCs w:val="18"/>
              </w:rPr>
              <w:t>g</w:t>
            </w:r>
            <w:r w:rsidR="00A76630" w:rsidRPr="005F62F4">
              <w:rPr>
                <w:szCs w:val="18"/>
              </w:rPr>
              <w:t>.</w:t>
            </w:r>
            <w:proofErr w:type="gramEnd"/>
            <w:r w:rsidRPr="005F62F4">
              <w:rPr>
                <w:szCs w:val="18"/>
              </w:rPr>
              <w:t xml:space="preserve"> craniofacial reconstruction, stabilise fractured bone, </w:t>
            </w:r>
            <w:proofErr w:type="spellStart"/>
            <w:r w:rsidRPr="005F62F4">
              <w:rPr>
                <w:szCs w:val="18"/>
              </w:rPr>
              <w:t>endobrow</w:t>
            </w:r>
            <w:proofErr w:type="spellEnd"/>
            <w:r w:rsidRPr="005F62F4">
              <w:rPr>
                <w:szCs w:val="18"/>
              </w:rPr>
              <w:t xml:space="preserve"> fixation, or craniotomy flap fixation</w:t>
            </w:r>
            <w:r w:rsidR="00FE7408" w:rsidRPr="005F62F4">
              <w:rPr>
                <w:szCs w:val="18"/>
              </w:rPr>
              <w:t>)</w:t>
            </w:r>
            <w:r w:rsidRPr="005F62F4">
              <w:rPr>
                <w:szCs w:val="18"/>
              </w:rPr>
              <w:t>.</w:t>
            </w:r>
          </w:p>
        </w:tc>
        <w:tc>
          <w:tcPr>
            <w:tcW w:w="1134" w:type="dxa"/>
          </w:tcPr>
          <w:p w14:paraId="738BDDE4" w14:textId="0598DA2E" w:rsidR="00514D5F" w:rsidRPr="005F62F4" w:rsidRDefault="00514D5F" w:rsidP="00514D5F">
            <w:pPr>
              <w:pStyle w:val="TableTextRight"/>
              <w:keepNext/>
              <w:jc w:val="center"/>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Yes</w:t>
            </w:r>
          </w:p>
        </w:tc>
        <w:tc>
          <w:tcPr>
            <w:tcW w:w="851" w:type="dxa"/>
          </w:tcPr>
          <w:p w14:paraId="751855B7" w14:textId="618CD9C9" w:rsidR="00262AD1" w:rsidRPr="005F62F4" w:rsidRDefault="00262AD1" w:rsidP="00615CE6">
            <w:pPr>
              <w:pStyle w:val="TableTextRight"/>
              <w:keepNex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$1,950</w:t>
            </w:r>
          </w:p>
        </w:tc>
      </w:tr>
    </w:tbl>
    <w:p w14:paraId="59702B88" w14:textId="5E01F8D1" w:rsidR="008F4DC6" w:rsidRPr="005F62F4" w:rsidRDefault="00E56C05" w:rsidP="00181065">
      <w:pPr>
        <w:pStyle w:val="Para"/>
      </w:pPr>
      <w:bookmarkStart w:id="261" w:name="_Toc129954658"/>
      <w:r w:rsidRPr="005F62F4">
        <w:t>Table </w:t>
      </w:r>
      <w:r w:rsidRPr="005F62F4">
        <w:fldChar w:fldCharType="begin"/>
      </w:r>
      <w:r w:rsidRPr="005F62F4">
        <w:instrText>SEQ Table \* ARABIC</w:instrText>
      </w:r>
      <w:r w:rsidRPr="005F62F4">
        <w:fldChar w:fldCharType="separate"/>
      </w:r>
      <w:r w:rsidR="005606BF">
        <w:rPr>
          <w:noProof/>
        </w:rPr>
        <w:t>21</w:t>
      </w:r>
      <w:r w:rsidRPr="005F62F4">
        <w:fldChar w:fldCharType="end"/>
      </w:r>
      <w:r w:rsidR="008F4DC6" w:rsidRPr="005F62F4">
        <w:t>: Mandible, Maxilla and Temporomandibular Joint surgical guides (07.02.05.07)</w:t>
      </w:r>
      <w:bookmarkEnd w:id="261"/>
    </w:p>
    <w:tbl>
      <w:tblPr>
        <w:tblStyle w:val="SGB"/>
        <w:tblW w:w="5013" w:type="pct"/>
        <w:tblLayout w:type="fixed"/>
        <w:tblLook w:val="04A0" w:firstRow="1" w:lastRow="0" w:firstColumn="1" w:lastColumn="0" w:noHBand="0" w:noVBand="1"/>
      </w:tblPr>
      <w:tblGrid>
        <w:gridCol w:w="1134"/>
        <w:gridCol w:w="1299"/>
        <w:gridCol w:w="1417"/>
        <w:gridCol w:w="3380"/>
        <w:gridCol w:w="1275"/>
        <w:gridCol w:w="851"/>
      </w:tblGrid>
      <w:tr w:rsidR="00AF6512" w:rsidRPr="005F62F4" w14:paraId="6F9175D1" w14:textId="703CCF3A" w:rsidTr="0058693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6A51F718" w14:textId="77777777" w:rsidR="00495237" w:rsidRPr="005F62F4" w:rsidRDefault="00495237" w:rsidP="00D30C12">
            <w:pPr>
              <w:pStyle w:val="TableText"/>
              <w:rPr>
                <w:szCs w:val="18"/>
              </w:rPr>
            </w:pPr>
            <w:bookmarkStart w:id="262" w:name="Title_23" w:colFirst="0" w:colLast="0"/>
            <w:r w:rsidRPr="005F62F4">
              <w:lastRenderedPageBreak/>
              <w:t>Sponsor</w:t>
            </w:r>
          </w:p>
        </w:tc>
        <w:tc>
          <w:tcPr>
            <w:tcW w:w="1299" w:type="dxa"/>
          </w:tcPr>
          <w:p w14:paraId="658141DD" w14:textId="77777777" w:rsidR="00495237" w:rsidRPr="005F62F4" w:rsidRDefault="00495237" w:rsidP="00D30C12">
            <w:pPr>
              <w:pStyle w:val="TableText"/>
              <w:cnfStyle w:val="100000000000" w:firstRow="1" w:lastRow="0" w:firstColumn="0" w:lastColumn="0" w:oddVBand="0" w:evenVBand="0" w:oddHBand="0" w:evenHBand="0" w:firstRowFirstColumn="0" w:firstRowLastColumn="0" w:lastRowFirstColumn="0" w:lastRowLastColumn="0"/>
              <w:rPr>
                <w:szCs w:val="18"/>
              </w:rPr>
            </w:pPr>
            <w:r w:rsidRPr="005F62F4">
              <w:t>Product name</w:t>
            </w:r>
          </w:p>
        </w:tc>
        <w:tc>
          <w:tcPr>
            <w:tcW w:w="1417" w:type="dxa"/>
          </w:tcPr>
          <w:p w14:paraId="6C2C9494" w14:textId="17619A11" w:rsidR="00985DE2" w:rsidRPr="005F62F4" w:rsidRDefault="00985DE2" w:rsidP="00D30C12">
            <w:pPr>
              <w:pStyle w:val="TableText"/>
              <w:cnfStyle w:val="100000000000" w:firstRow="1" w:lastRow="0" w:firstColumn="0" w:lastColumn="0" w:oddVBand="0" w:evenVBand="0" w:oddHBand="0" w:evenHBand="0" w:firstRowFirstColumn="0" w:firstRowLastColumn="0" w:lastRowFirstColumn="0" w:lastRowLastColumn="0"/>
              <w:rPr>
                <w:szCs w:val="18"/>
              </w:rPr>
            </w:pPr>
            <w:r w:rsidRPr="005F62F4">
              <w:t>ARTG Identification Number</w:t>
            </w:r>
          </w:p>
        </w:tc>
        <w:tc>
          <w:tcPr>
            <w:tcW w:w="3380" w:type="dxa"/>
          </w:tcPr>
          <w:p w14:paraId="2AC8AC94" w14:textId="4580476C" w:rsidR="00495237" w:rsidRPr="005F62F4" w:rsidRDefault="00985DE2" w:rsidP="00D30C12">
            <w:pPr>
              <w:pStyle w:val="TableText"/>
              <w:cnfStyle w:val="100000000000" w:firstRow="1" w:lastRow="0" w:firstColumn="0" w:lastColumn="0" w:oddVBand="0" w:evenVBand="0" w:oddHBand="0" w:evenHBand="0" w:firstRowFirstColumn="0" w:firstRowLastColumn="0" w:lastRowFirstColumn="0" w:lastRowLastColumn="0"/>
              <w:rPr>
                <w:szCs w:val="18"/>
              </w:rPr>
            </w:pPr>
            <w:r w:rsidRPr="005F62F4">
              <w:t xml:space="preserve">ARTG </w:t>
            </w:r>
            <w:r w:rsidR="00BD74E8" w:rsidRPr="005F62F4">
              <w:rPr>
                <w:szCs w:val="18"/>
              </w:rPr>
              <w:t>i</w:t>
            </w:r>
            <w:r w:rsidR="00AA391A" w:rsidRPr="005F62F4">
              <w:rPr>
                <w:szCs w:val="18"/>
              </w:rPr>
              <w:t xml:space="preserve">ntended </w:t>
            </w:r>
            <w:r w:rsidR="00BD74E8" w:rsidRPr="005F62F4">
              <w:rPr>
                <w:szCs w:val="18"/>
              </w:rPr>
              <w:t>p</w:t>
            </w:r>
            <w:r w:rsidR="00AA391A" w:rsidRPr="005F62F4">
              <w:rPr>
                <w:szCs w:val="18"/>
              </w:rPr>
              <w:t>urpose</w:t>
            </w:r>
            <w:r w:rsidRPr="005F62F4">
              <w:rPr>
                <w:szCs w:val="18"/>
              </w:rPr>
              <w:t xml:space="preserve"> </w:t>
            </w:r>
          </w:p>
        </w:tc>
        <w:tc>
          <w:tcPr>
            <w:tcW w:w="1275" w:type="dxa"/>
          </w:tcPr>
          <w:p w14:paraId="603F071D" w14:textId="44C2CF84" w:rsidR="00514D5F" w:rsidRPr="005F62F4" w:rsidRDefault="00514D5F" w:rsidP="0023740C">
            <w:pPr>
              <w:pStyle w:val="TableText"/>
              <w:jc w:val="center"/>
              <w:cnfStyle w:val="100000000000" w:firstRow="1" w:lastRow="0" w:firstColumn="0" w:lastColumn="0" w:oddVBand="0" w:evenVBand="0" w:oddHBand="0" w:evenHBand="0" w:firstRowFirstColumn="0" w:firstRowLastColumn="0" w:lastRowFirstColumn="0" w:lastRowLastColumn="0"/>
            </w:pPr>
            <w:r w:rsidRPr="005F62F4">
              <w:t>Includes prostheses</w:t>
            </w:r>
            <w:r w:rsidR="004C35D1" w:rsidRPr="005F62F4">
              <w:t xml:space="preserve"> as part of kit/</w:t>
            </w:r>
            <w:r w:rsidR="0023740C" w:rsidRPr="005F62F4">
              <w:t>‌</w:t>
            </w:r>
            <w:r w:rsidR="004C35D1" w:rsidRPr="005F62F4">
              <w:t>system</w:t>
            </w:r>
            <w:r w:rsidRPr="005F62F4">
              <w:t>?</w:t>
            </w:r>
          </w:p>
        </w:tc>
        <w:tc>
          <w:tcPr>
            <w:tcW w:w="851" w:type="dxa"/>
          </w:tcPr>
          <w:p w14:paraId="5B32889A" w14:textId="68042E2D" w:rsidR="00262AD1" w:rsidRPr="005F62F4" w:rsidRDefault="00262AD1" w:rsidP="00AF6512">
            <w:pPr>
              <w:pStyle w:val="TableText"/>
              <w:jc w:val="right"/>
              <w:cnfStyle w:val="100000000000" w:firstRow="1" w:lastRow="0" w:firstColumn="0" w:lastColumn="0" w:oddVBand="0" w:evenVBand="0" w:oddHBand="0" w:evenHBand="0" w:firstRowFirstColumn="0" w:firstRowLastColumn="0" w:lastRowFirstColumn="0" w:lastRowLastColumn="0"/>
            </w:pPr>
            <w:r w:rsidRPr="005F62F4">
              <w:t>Benefit</w:t>
            </w:r>
          </w:p>
        </w:tc>
      </w:tr>
      <w:bookmarkEnd w:id="262"/>
      <w:tr w:rsidR="00495237" w:rsidRPr="005F62F4" w14:paraId="23E62521" w14:textId="773DEEA9" w:rsidTr="00586936">
        <w:trPr>
          <w:trHeight w:val="927"/>
        </w:trPr>
        <w:tc>
          <w:tcPr>
            <w:cnfStyle w:val="001000000000" w:firstRow="0" w:lastRow="0" w:firstColumn="1" w:lastColumn="0" w:oddVBand="0" w:evenVBand="0" w:oddHBand="0" w:evenHBand="0" w:firstRowFirstColumn="0" w:firstRowLastColumn="0" w:lastRowFirstColumn="0" w:lastRowLastColumn="0"/>
            <w:tcW w:w="1134" w:type="dxa"/>
          </w:tcPr>
          <w:p w14:paraId="3A61BAC7" w14:textId="198CE3B3" w:rsidR="00495237" w:rsidRPr="005F62F4" w:rsidRDefault="00495237" w:rsidP="00A579A7">
            <w:pPr>
              <w:pStyle w:val="Tabletextkeep"/>
            </w:pPr>
            <w:proofErr w:type="spellStart"/>
            <w:r w:rsidRPr="005F62F4">
              <w:rPr>
                <w:rStyle w:val="Strong"/>
                <w:b/>
              </w:rPr>
              <w:t>Anat</w:t>
            </w:r>
            <w:r w:rsidRPr="005F62F4">
              <w:t>omics</w:t>
            </w:r>
            <w:proofErr w:type="spellEnd"/>
            <w:r w:rsidRPr="005F62F4">
              <w:t xml:space="preserve"> Pty Ltd</w:t>
            </w:r>
          </w:p>
        </w:tc>
        <w:tc>
          <w:tcPr>
            <w:tcW w:w="1299" w:type="dxa"/>
          </w:tcPr>
          <w:p w14:paraId="524734D7" w14:textId="4D07FEA0" w:rsidR="00495237" w:rsidRPr="005F62F4" w:rsidRDefault="00495237" w:rsidP="00D30C12">
            <w:pPr>
              <w:pStyle w:val="TableText"/>
              <w:cnfStyle w:val="000000000000" w:firstRow="0" w:lastRow="0" w:firstColumn="0" w:lastColumn="0" w:oddVBand="0" w:evenVBand="0" w:oddHBand="0" w:evenHBand="0" w:firstRowFirstColumn="0" w:firstRowLastColumn="0" w:lastRowFirstColumn="0" w:lastRowLastColumn="0"/>
              <w:rPr>
                <w:szCs w:val="18"/>
              </w:rPr>
            </w:pPr>
            <w:proofErr w:type="spellStart"/>
            <w:r w:rsidRPr="005F62F4">
              <w:t>Anatomics</w:t>
            </w:r>
            <w:proofErr w:type="spellEnd"/>
            <w:r w:rsidRPr="005F62F4">
              <w:t xml:space="preserve"> Patient Specific Surgical Guide </w:t>
            </w:r>
          </w:p>
        </w:tc>
        <w:tc>
          <w:tcPr>
            <w:tcW w:w="1417" w:type="dxa"/>
          </w:tcPr>
          <w:p w14:paraId="30A43ACD" w14:textId="632C95E2" w:rsidR="00985DE2" w:rsidRPr="005F62F4" w:rsidRDefault="00C37CBA"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288564</w:t>
            </w:r>
          </w:p>
        </w:tc>
        <w:tc>
          <w:tcPr>
            <w:tcW w:w="3380" w:type="dxa"/>
          </w:tcPr>
          <w:p w14:paraId="10C30010" w14:textId="134EF8E4" w:rsidR="00495237" w:rsidRPr="005F62F4" w:rsidRDefault="00B01874"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Intended for the r</w:t>
            </w:r>
            <w:r w:rsidR="00B75575" w:rsidRPr="005F62F4">
              <w:t>eplacement or augmentation of bony defects in the craniofacial skeleton. This kit includes a customised</w:t>
            </w:r>
            <w:r w:rsidR="00AF1048" w:rsidRPr="005F62F4">
              <w:t xml:space="preserve"> </w:t>
            </w:r>
            <w:r w:rsidR="00B75575" w:rsidRPr="005F62F4">
              <w:t xml:space="preserve">craniofacial implant, </w:t>
            </w:r>
            <w:r w:rsidR="00B75575" w:rsidRPr="005F62F4">
              <w:rPr>
                <w:rStyle w:val="Strong"/>
              </w:rPr>
              <w:t xml:space="preserve">customised anatomical </w:t>
            </w:r>
            <w:proofErr w:type="spellStart"/>
            <w:r w:rsidR="00B75575" w:rsidRPr="005F62F4">
              <w:rPr>
                <w:rStyle w:val="Strong"/>
              </w:rPr>
              <w:t>biomodel</w:t>
            </w:r>
            <w:proofErr w:type="spellEnd"/>
            <w:r w:rsidR="00B75575" w:rsidRPr="005F62F4">
              <w:t>, fixation plates and screws.</w:t>
            </w:r>
          </w:p>
        </w:tc>
        <w:tc>
          <w:tcPr>
            <w:tcW w:w="1275" w:type="dxa"/>
          </w:tcPr>
          <w:p w14:paraId="57C140A6" w14:textId="63A634AB" w:rsidR="00514D5F" w:rsidRPr="005F62F4" w:rsidRDefault="00514D5F" w:rsidP="00514D5F">
            <w:pPr>
              <w:pStyle w:val="TableText"/>
              <w:jc w:val="center"/>
              <w:cnfStyle w:val="000000000000" w:firstRow="0" w:lastRow="0" w:firstColumn="0" w:lastColumn="0" w:oddVBand="0" w:evenVBand="0" w:oddHBand="0" w:evenHBand="0" w:firstRowFirstColumn="0" w:firstRowLastColumn="0" w:lastRowFirstColumn="0" w:lastRowLastColumn="0"/>
            </w:pPr>
            <w:r w:rsidRPr="005F62F4">
              <w:t>Yes</w:t>
            </w:r>
          </w:p>
        </w:tc>
        <w:tc>
          <w:tcPr>
            <w:tcW w:w="851" w:type="dxa"/>
          </w:tcPr>
          <w:p w14:paraId="0E204738" w14:textId="05890CB8" w:rsidR="00262AD1" w:rsidRPr="005F62F4" w:rsidRDefault="00873F4D" w:rsidP="00AF6512">
            <w:pPr>
              <w:pStyle w:val="TableText"/>
              <w:jc w:val="right"/>
              <w:cnfStyle w:val="000000000000" w:firstRow="0" w:lastRow="0" w:firstColumn="0" w:lastColumn="0" w:oddVBand="0" w:evenVBand="0" w:oddHBand="0" w:evenHBand="0" w:firstRowFirstColumn="0" w:firstRowLastColumn="0" w:lastRowFirstColumn="0" w:lastRowLastColumn="0"/>
            </w:pPr>
            <w:r w:rsidRPr="005F62F4">
              <w:t>$2,011</w:t>
            </w:r>
          </w:p>
        </w:tc>
      </w:tr>
      <w:tr w:rsidR="00AF6512" w:rsidRPr="005F62F4" w14:paraId="58E0A669" w14:textId="184C9F4C" w:rsidTr="00586936">
        <w:trPr>
          <w:cnfStyle w:val="000000010000" w:firstRow="0" w:lastRow="0" w:firstColumn="0" w:lastColumn="0" w:oddVBand="0" w:evenVBand="0" w:oddHBand="0" w:evenHBand="1" w:firstRowFirstColumn="0" w:firstRowLastColumn="0" w:lastRowFirstColumn="0" w:lastRowLastColumn="0"/>
          <w:trHeight w:val="937"/>
        </w:trPr>
        <w:tc>
          <w:tcPr>
            <w:cnfStyle w:val="001000000000" w:firstRow="0" w:lastRow="0" w:firstColumn="1" w:lastColumn="0" w:oddVBand="0" w:evenVBand="0" w:oddHBand="0" w:evenHBand="0" w:firstRowFirstColumn="0" w:firstRowLastColumn="0" w:lastRowFirstColumn="0" w:lastRowLastColumn="0"/>
            <w:tcW w:w="1134" w:type="dxa"/>
          </w:tcPr>
          <w:p w14:paraId="4F2B291F" w14:textId="55A20885" w:rsidR="00495237" w:rsidRPr="005F62F4" w:rsidRDefault="00495237" w:rsidP="00D30C12">
            <w:pPr>
              <w:pStyle w:val="TableText"/>
              <w:rPr>
                <w:b w:val="0"/>
                <w:szCs w:val="18"/>
              </w:rPr>
            </w:pPr>
            <w:r w:rsidRPr="005F62F4">
              <w:rPr>
                <w:rStyle w:val="Strong"/>
                <w:b/>
              </w:rPr>
              <w:t xml:space="preserve">Digital Dental Network </w:t>
            </w:r>
          </w:p>
        </w:tc>
        <w:tc>
          <w:tcPr>
            <w:tcW w:w="1299" w:type="dxa"/>
          </w:tcPr>
          <w:p w14:paraId="45D564B3" w14:textId="442DAA29" w:rsidR="00495237" w:rsidRPr="005F62F4" w:rsidRDefault="00495237"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DDN Guide</w:t>
            </w:r>
          </w:p>
        </w:tc>
        <w:tc>
          <w:tcPr>
            <w:tcW w:w="1417" w:type="dxa"/>
          </w:tcPr>
          <w:p w14:paraId="1C4DFEE6" w14:textId="57FF1579" w:rsidR="00985DE2" w:rsidRPr="005F62F4" w:rsidRDefault="00C37CBA"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336209</w:t>
            </w:r>
          </w:p>
        </w:tc>
        <w:tc>
          <w:tcPr>
            <w:tcW w:w="3380" w:type="dxa"/>
          </w:tcPr>
          <w:p w14:paraId="26850A16" w14:textId="39B57805" w:rsidR="00495237" w:rsidRPr="005F62F4" w:rsidRDefault="000A6FAA"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Custom</w:t>
            </w:r>
            <w:r w:rsidR="00684C07">
              <w:t>-</w:t>
            </w:r>
            <w:r w:rsidRPr="005F62F4">
              <w:t xml:space="preserve">made </w:t>
            </w:r>
            <w:r w:rsidRPr="005F62F4">
              <w:rPr>
                <w:rStyle w:val="Strong"/>
              </w:rPr>
              <w:t>patient-specific and single-use</w:t>
            </w:r>
            <w:r w:rsidRPr="005F62F4">
              <w:rPr>
                <w:b/>
                <w:szCs w:val="18"/>
              </w:rPr>
              <w:t xml:space="preserve"> </w:t>
            </w:r>
            <w:r w:rsidR="000E2B61" w:rsidRPr="005F62F4">
              <w:rPr>
                <w:b/>
                <w:bCs/>
                <w:szCs w:val="18"/>
              </w:rPr>
              <w:t xml:space="preserve">surgical </w:t>
            </w:r>
            <w:r w:rsidRPr="005F62F4">
              <w:rPr>
                <w:b/>
                <w:szCs w:val="18"/>
              </w:rPr>
              <w:t xml:space="preserve">guides and </w:t>
            </w:r>
            <w:proofErr w:type="spellStart"/>
            <w:r w:rsidRPr="005F62F4">
              <w:rPr>
                <w:b/>
                <w:szCs w:val="18"/>
              </w:rPr>
              <w:t>biomodels</w:t>
            </w:r>
            <w:proofErr w:type="spellEnd"/>
            <w:r w:rsidRPr="005F62F4">
              <w:t xml:space="preserve"> manufactured by </w:t>
            </w:r>
            <w:r w:rsidR="00BB4C7E" w:rsidRPr="005F62F4">
              <w:t>3D</w:t>
            </w:r>
            <w:r w:rsidRPr="005F62F4">
              <w:t xml:space="preserve"> printing, intended to be used by a dental surgeon to assist in anatomical visuali</w:t>
            </w:r>
            <w:r w:rsidR="00A765F1" w:rsidRPr="005F62F4">
              <w:t>s</w:t>
            </w:r>
            <w:r w:rsidRPr="005F62F4">
              <w:t>ation</w:t>
            </w:r>
            <w:r w:rsidR="00F621D6" w:rsidRPr="005F62F4">
              <w:t xml:space="preserve"> and</w:t>
            </w:r>
            <w:r w:rsidR="00FE7408" w:rsidRPr="005F62F4">
              <w:t>/or</w:t>
            </w:r>
            <w:r w:rsidRPr="005F62F4">
              <w:t xml:space="preserve"> surgical treatment planning, to guide drilling in the jawbone of a patient during guided dental implantation procedure for dental implant placement/fixation.</w:t>
            </w:r>
          </w:p>
        </w:tc>
        <w:tc>
          <w:tcPr>
            <w:tcW w:w="1275" w:type="dxa"/>
          </w:tcPr>
          <w:p w14:paraId="3EDC7B0B" w14:textId="1252D5C1" w:rsidR="00514D5F" w:rsidRPr="005F62F4" w:rsidRDefault="00514D5F" w:rsidP="00514D5F">
            <w:pPr>
              <w:pStyle w:val="TableText"/>
              <w:jc w:val="center"/>
              <w:cnfStyle w:val="000000010000" w:firstRow="0" w:lastRow="0" w:firstColumn="0" w:lastColumn="0" w:oddVBand="0" w:evenVBand="0" w:oddHBand="0" w:evenHBand="1" w:firstRowFirstColumn="0" w:firstRowLastColumn="0" w:lastRowFirstColumn="0" w:lastRowLastColumn="0"/>
            </w:pPr>
            <w:r w:rsidRPr="005F62F4">
              <w:t>No</w:t>
            </w:r>
          </w:p>
        </w:tc>
        <w:tc>
          <w:tcPr>
            <w:tcW w:w="851" w:type="dxa"/>
          </w:tcPr>
          <w:p w14:paraId="32508882" w14:textId="41E3FAC9" w:rsidR="00262AD1" w:rsidRPr="005F62F4" w:rsidRDefault="00873F4D" w:rsidP="00AF6512">
            <w:pPr>
              <w:pStyle w:val="TableText"/>
              <w:jc w:val="right"/>
              <w:cnfStyle w:val="000000010000" w:firstRow="0" w:lastRow="0" w:firstColumn="0" w:lastColumn="0" w:oddVBand="0" w:evenVBand="0" w:oddHBand="0" w:evenHBand="1" w:firstRowFirstColumn="0" w:firstRowLastColumn="0" w:lastRowFirstColumn="0" w:lastRowLastColumn="0"/>
            </w:pPr>
            <w:r w:rsidRPr="005F62F4">
              <w:t>$1,163</w:t>
            </w:r>
          </w:p>
        </w:tc>
      </w:tr>
      <w:tr w:rsidR="00495237" w:rsidRPr="005F62F4" w14:paraId="7126F005" w14:textId="362E04B9" w:rsidTr="00586936">
        <w:trPr>
          <w:trHeight w:val="937"/>
        </w:trPr>
        <w:tc>
          <w:tcPr>
            <w:cnfStyle w:val="001000000000" w:firstRow="0" w:lastRow="0" w:firstColumn="1" w:lastColumn="0" w:oddVBand="0" w:evenVBand="0" w:oddHBand="0" w:evenHBand="0" w:firstRowFirstColumn="0" w:firstRowLastColumn="0" w:lastRowFirstColumn="0" w:lastRowLastColumn="0"/>
            <w:tcW w:w="1134" w:type="dxa"/>
          </w:tcPr>
          <w:p w14:paraId="3D5D01BB" w14:textId="58984D07" w:rsidR="00495237" w:rsidRPr="005F62F4" w:rsidRDefault="00495237" w:rsidP="00D30C12">
            <w:pPr>
              <w:pStyle w:val="TableText"/>
              <w:rPr>
                <w:szCs w:val="18"/>
              </w:rPr>
            </w:pPr>
            <w:r w:rsidRPr="005F62F4">
              <w:rPr>
                <w:rStyle w:val="Strong"/>
                <w:b/>
              </w:rPr>
              <w:t>Stryker Australia Pty Ltd</w:t>
            </w:r>
          </w:p>
        </w:tc>
        <w:tc>
          <w:tcPr>
            <w:tcW w:w="1299" w:type="dxa"/>
          </w:tcPr>
          <w:p w14:paraId="341838E1" w14:textId="65CFDC28" w:rsidR="00495237" w:rsidRPr="005F62F4" w:rsidRDefault="00495237"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 xml:space="preserve">VSP </w:t>
            </w:r>
            <w:proofErr w:type="spellStart"/>
            <w:r w:rsidRPr="005F62F4">
              <w:t>Orthognathics</w:t>
            </w:r>
            <w:proofErr w:type="spellEnd"/>
            <w:r w:rsidRPr="005F62F4">
              <w:t xml:space="preserve"> Bundle (Surgical Guide and Implants)</w:t>
            </w:r>
          </w:p>
        </w:tc>
        <w:tc>
          <w:tcPr>
            <w:tcW w:w="1417" w:type="dxa"/>
          </w:tcPr>
          <w:p w14:paraId="438C0FD6" w14:textId="7A57CC42" w:rsidR="00985DE2" w:rsidRPr="005F62F4" w:rsidRDefault="00C37CBA"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200615</w:t>
            </w:r>
          </w:p>
        </w:tc>
        <w:tc>
          <w:tcPr>
            <w:tcW w:w="3380" w:type="dxa"/>
          </w:tcPr>
          <w:p w14:paraId="204AD054" w14:textId="4912EED1" w:rsidR="00495237" w:rsidRPr="005F62F4" w:rsidRDefault="00B01874"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Intended for the r</w:t>
            </w:r>
            <w:r w:rsidR="000B0114" w:rsidRPr="005F62F4">
              <w:rPr>
                <w:szCs w:val="18"/>
              </w:rPr>
              <w:t>econstruction, stabili</w:t>
            </w:r>
            <w:r w:rsidR="001A6194" w:rsidRPr="005F62F4">
              <w:rPr>
                <w:szCs w:val="18"/>
              </w:rPr>
              <w:t>s</w:t>
            </w:r>
            <w:r w:rsidR="000B0114" w:rsidRPr="005F62F4">
              <w:rPr>
                <w:szCs w:val="18"/>
              </w:rPr>
              <w:t>ation and/or rigid fixation of non</w:t>
            </w:r>
            <w:r w:rsidR="004E7A48">
              <w:rPr>
                <w:szCs w:val="18"/>
              </w:rPr>
              <w:t>-</w:t>
            </w:r>
            <w:r w:rsidR="000B0114" w:rsidRPr="005F62F4">
              <w:rPr>
                <w:szCs w:val="18"/>
              </w:rPr>
              <w:t xml:space="preserve">load-bearing bony areas </w:t>
            </w:r>
            <w:proofErr w:type="gramStart"/>
            <w:r w:rsidR="000B0114" w:rsidRPr="005F62F4">
              <w:rPr>
                <w:szCs w:val="18"/>
              </w:rPr>
              <w:t>subsequent to</w:t>
            </w:r>
            <w:proofErr w:type="gramEnd"/>
            <w:r w:rsidR="000B0114" w:rsidRPr="005F62F4">
              <w:rPr>
                <w:szCs w:val="18"/>
              </w:rPr>
              <w:t xml:space="preserve"> craniotomy, craniectomy and cranial fractures in adults and adolescents (age 12 and </w:t>
            </w:r>
            <w:r w:rsidR="00F621D6" w:rsidRPr="005F62F4">
              <w:rPr>
                <w:szCs w:val="18"/>
              </w:rPr>
              <w:t>over</w:t>
            </w:r>
            <w:r w:rsidR="000B0114" w:rsidRPr="005F62F4">
              <w:rPr>
                <w:szCs w:val="18"/>
              </w:rPr>
              <w:t>).</w:t>
            </w:r>
          </w:p>
        </w:tc>
        <w:tc>
          <w:tcPr>
            <w:tcW w:w="1275" w:type="dxa"/>
          </w:tcPr>
          <w:p w14:paraId="726EBD85" w14:textId="0909F2EB" w:rsidR="00514D5F" w:rsidRPr="005F62F4" w:rsidRDefault="00514D5F" w:rsidP="00514D5F">
            <w:pPr>
              <w:pStyle w:val="TableText"/>
              <w:jc w:val="center"/>
              <w:cnfStyle w:val="000000000000" w:firstRow="0" w:lastRow="0" w:firstColumn="0" w:lastColumn="0" w:oddVBand="0" w:evenVBand="0" w:oddHBand="0" w:evenHBand="0" w:firstRowFirstColumn="0" w:firstRowLastColumn="0" w:lastRowFirstColumn="0" w:lastRowLastColumn="0"/>
            </w:pPr>
            <w:r w:rsidRPr="005F62F4">
              <w:t>Yes</w:t>
            </w:r>
          </w:p>
        </w:tc>
        <w:tc>
          <w:tcPr>
            <w:tcW w:w="851" w:type="dxa"/>
          </w:tcPr>
          <w:p w14:paraId="1466FE9D" w14:textId="7EB3F7D3" w:rsidR="00262AD1" w:rsidRPr="005F62F4" w:rsidRDefault="00873F4D" w:rsidP="00AF6512">
            <w:pPr>
              <w:pStyle w:val="TableText"/>
              <w:jc w:val="right"/>
              <w:cnfStyle w:val="000000000000" w:firstRow="0" w:lastRow="0" w:firstColumn="0" w:lastColumn="0" w:oddVBand="0" w:evenVBand="0" w:oddHBand="0" w:evenHBand="0" w:firstRowFirstColumn="0" w:firstRowLastColumn="0" w:lastRowFirstColumn="0" w:lastRowLastColumn="0"/>
            </w:pPr>
            <w:r w:rsidRPr="005F62F4">
              <w:t>$2,011</w:t>
            </w:r>
          </w:p>
        </w:tc>
      </w:tr>
      <w:tr w:rsidR="00AF6512" w:rsidRPr="005F62F4" w14:paraId="4E3BAF6B" w14:textId="756725D2" w:rsidTr="00586936">
        <w:trPr>
          <w:cnfStyle w:val="000000010000" w:firstRow="0" w:lastRow="0" w:firstColumn="0" w:lastColumn="0" w:oddVBand="0" w:evenVBand="0" w:oddHBand="0" w:evenHBand="1" w:firstRowFirstColumn="0" w:firstRowLastColumn="0" w:lastRowFirstColumn="0" w:lastRowLastColumn="0"/>
          <w:trHeight w:val="937"/>
        </w:trPr>
        <w:tc>
          <w:tcPr>
            <w:cnfStyle w:val="001000000000" w:firstRow="0" w:lastRow="0" w:firstColumn="1" w:lastColumn="0" w:oddVBand="0" w:evenVBand="0" w:oddHBand="0" w:evenHBand="0" w:firstRowFirstColumn="0" w:firstRowLastColumn="0" w:lastRowFirstColumn="0" w:lastRowLastColumn="0"/>
            <w:tcW w:w="1134" w:type="dxa"/>
          </w:tcPr>
          <w:p w14:paraId="7DD2D0EC" w14:textId="4C408185" w:rsidR="00495237" w:rsidRPr="005F62F4" w:rsidRDefault="00495237" w:rsidP="00D30C12">
            <w:pPr>
              <w:pStyle w:val="TableText"/>
              <w:rPr>
                <w:b w:val="0"/>
                <w:szCs w:val="18"/>
              </w:rPr>
            </w:pPr>
            <w:r w:rsidRPr="005F62F4">
              <w:rPr>
                <w:rStyle w:val="Strong"/>
                <w:b/>
              </w:rPr>
              <w:t>Stryker Australia Pty Ltd</w:t>
            </w:r>
          </w:p>
        </w:tc>
        <w:tc>
          <w:tcPr>
            <w:tcW w:w="1299" w:type="dxa"/>
          </w:tcPr>
          <w:p w14:paraId="1BA5D729" w14:textId="2480BE33" w:rsidR="00495237" w:rsidRPr="005F62F4" w:rsidRDefault="00495237"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VSP Reconstruction Mandibular/</w:t>
            </w:r>
            <w:r w:rsidR="00ED41CA" w:rsidRPr="005F62F4">
              <w:rPr>
                <w:szCs w:val="18"/>
              </w:rPr>
              <w:t xml:space="preserve"> </w:t>
            </w:r>
            <w:r w:rsidRPr="005F62F4">
              <w:rPr>
                <w:szCs w:val="18"/>
              </w:rPr>
              <w:t>Maxillary Bundle</w:t>
            </w:r>
          </w:p>
        </w:tc>
        <w:tc>
          <w:tcPr>
            <w:tcW w:w="1417" w:type="dxa"/>
          </w:tcPr>
          <w:p w14:paraId="1E7696F2" w14:textId="594C47BF" w:rsidR="00985DE2" w:rsidRPr="005F62F4" w:rsidRDefault="00C37CBA"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200615</w:t>
            </w:r>
          </w:p>
        </w:tc>
        <w:tc>
          <w:tcPr>
            <w:tcW w:w="3380" w:type="dxa"/>
          </w:tcPr>
          <w:p w14:paraId="443C0940" w14:textId="2607FD8F" w:rsidR="00495237" w:rsidRPr="005F62F4" w:rsidRDefault="00B01874"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Intended for the r</w:t>
            </w:r>
            <w:r w:rsidR="00535C98" w:rsidRPr="005F62F4">
              <w:rPr>
                <w:szCs w:val="18"/>
              </w:rPr>
              <w:t>econstruction, stabili</w:t>
            </w:r>
            <w:r w:rsidR="001A6194" w:rsidRPr="005F62F4">
              <w:rPr>
                <w:szCs w:val="18"/>
              </w:rPr>
              <w:t>s</w:t>
            </w:r>
            <w:r w:rsidR="00535C98" w:rsidRPr="005F62F4">
              <w:rPr>
                <w:szCs w:val="18"/>
              </w:rPr>
              <w:t>ation and/or rigid fixation of non</w:t>
            </w:r>
            <w:r w:rsidR="004E7A48">
              <w:rPr>
                <w:szCs w:val="18"/>
              </w:rPr>
              <w:t>-</w:t>
            </w:r>
            <w:r w:rsidR="00535C98" w:rsidRPr="005F62F4">
              <w:rPr>
                <w:szCs w:val="18"/>
              </w:rPr>
              <w:t xml:space="preserve">load-bearing bony areas </w:t>
            </w:r>
            <w:proofErr w:type="gramStart"/>
            <w:r w:rsidR="00535C98" w:rsidRPr="005F62F4">
              <w:rPr>
                <w:szCs w:val="18"/>
              </w:rPr>
              <w:t>subsequent to</w:t>
            </w:r>
            <w:proofErr w:type="gramEnd"/>
            <w:r w:rsidR="00535C98" w:rsidRPr="005F62F4">
              <w:rPr>
                <w:szCs w:val="18"/>
              </w:rPr>
              <w:t xml:space="preserve"> craniotomy, craniectomy and cranial fractures in adults and adolescents (age 12 and </w:t>
            </w:r>
            <w:r w:rsidR="00F621D6" w:rsidRPr="005F62F4">
              <w:rPr>
                <w:szCs w:val="18"/>
              </w:rPr>
              <w:t>over</w:t>
            </w:r>
            <w:r w:rsidR="00535C98" w:rsidRPr="005F62F4">
              <w:rPr>
                <w:szCs w:val="18"/>
              </w:rPr>
              <w:t>).</w:t>
            </w:r>
          </w:p>
        </w:tc>
        <w:tc>
          <w:tcPr>
            <w:tcW w:w="1275" w:type="dxa"/>
          </w:tcPr>
          <w:p w14:paraId="3DA88AB8" w14:textId="5D33AE7F" w:rsidR="00ED2ADA" w:rsidRPr="005F62F4" w:rsidRDefault="00ED2ADA" w:rsidP="00514D5F">
            <w:pPr>
              <w:pStyle w:val="TableText"/>
              <w:jc w:val="center"/>
              <w:cnfStyle w:val="000000010000" w:firstRow="0" w:lastRow="0" w:firstColumn="0" w:lastColumn="0" w:oddVBand="0" w:evenVBand="0" w:oddHBand="0" w:evenHBand="1" w:firstRowFirstColumn="0" w:firstRowLastColumn="0" w:lastRowFirstColumn="0" w:lastRowLastColumn="0"/>
            </w:pPr>
            <w:r w:rsidRPr="005F62F4">
              <w:t>N</w:t>
            </w:r>
            <w:r w:rsidR="00E8135E" w:rsidRPr="005F62F4">
              <w:t>o</w:t>
            </w:r>
          </w:p>
        </w:tc>
        <w:tc>
          <w:tcPr>
            <w:tcW w:w="851" w:type="dxa"/>
          </w:tcPr>
          <w:p w14:paraId="442A4455" w14:textId="24DF3D93" w:rsidR="00262AD1" w:rsidRPr="005F62F4" w:rsidRDefault="00873F4D" w:rsidP="00AF6512">
            <w:pPr>
              <w:pStyle w:val="TableText"/>
              <w:jc w:val="right"/>
              <w:cnfStyle w:val="000000010000" w:firstRow="0" w:lastRow="0" w:firstColumn="0" w:lastColumn="0" w:oddVBand="0" w:evenVBand="0" w:oddHBand="0" w:evenHBand="1" w:firstRowFirstColumn="0" w:firstRowLastColumn="0" w:lastRowFirstColumn="0" w:lastRowLastColumn="0"/>
            </w:pPr>
            <w:r w:rsidRPr="005F62F4">
              <w:t>$2,011</w:t>
            </w:r>
          </w:p>
        </w:tc>
      </w:tr>
      <w:tr w:rsidR="00495237" w:rsidRPr="005F62F4" w14:paraId="69E00B28" w14:textId="4F5BBED5" w:rsidTr="00586936">
        <w:trPr>
          <w:trHeight w:val="482"/>
        </w:trPr>
        <w:tc>
          <w:tcPr>
            <w:cnfStyle w:val="001000000000" w:firstRow="0" w:lastRow="0" w:firstColumn="1" w:lastColumn="0" w:oddVBand="0" w:evenVBand="0" w:oddHBand="0" w:evenHBand="0" w:firstRowFirstColumn="0" w:firstRowLastColumn="0" w:lastRowFirstColumn="0" w:lastRowLastColumn="0"/>
            <w:tcW w:w="1134" w:type="dxa"/>
          </w:tcPr>
          <w:p w14:paraId="0B02B483" w14:textId="30D55189" w:rsidR="00495237" w:rsidRPr="005F62F4" w:rsidRDefault="00495237" w:rsidP="00D30C12">
            <w:pPr>
              <w:pStyle w:val="TableText"/>
              <w:rPr>
                <w:b w:val="0"/>
                <w:szCs w:val="18"/>
              </w:rPr>
            </w:pPr>
            <w:r w:rsidRPr="005F62F4">
              <w:rPr>
                <w:rStyle w:val="Strong"/>
                <w:b/>
              </w:rPr>
              <w:t>KLS Martin A</w:t>
            </w:r>
            <w:r w:rsidRPr="005F62F4">
              <w:rPr>
                <w:rStyle w:val="Strong"/>
              </w:rPr>
              <w:t>us</w:t>
            </w:r>
            <w:r w:rsidRPr="005F62F4">
              <w:rPr>
                <w:szCs w:val="18"/>
              </w:rPr>
              <w:t>tralia Pty Ltd</w:t>
            </w:r>
          </w:p>
        </w:tc>
        <w:tc>
          <w:tcPr>
            <w:tcW w:w="1299" w:type="dxa"/>
          </w:tcPr>
          <w:p w14:paraId="01D3B194" w14:textId="02A5D295" w:rsidR="00495237" w:rsidRPr="005F62F4" w:rsidRDefault="00495237"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UNIQOS Patient Specific Surgical Guides</w:t>
            </w:r>
          </w:p>
        </w:tc>
        <w:tc>
          <w:tcPr>
            <w:tcW w:w="1417" w:type="dxa"/>
          </w:tcPr>
          <w:p w14:paraId="15182698" w14:textId="2D820695" w:rsidR="00985DE2" w:rsidRPr="005F62F4" w:rsidRDefault="00C37CBA"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200232</w:t>
            </w:r>
          </w:p>
        </w:tc>
        <w:tc>
          <w:tcPr>
            <w:tcW w:w="3380" w:type="dxa"/>
          </w:tcPr>
          <w:p w14:paraId="31501FC8" w14:textId="0D5B519D" w:rsidR="00495237" w:rsidRPr="005F62F4" w:rsidRDefault="00DB2FC4"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Currently in transition</w:t>
            </w:r>
            <w:r w:rsidRPr="005F62F4">
              <w:rPr>
                <w:szCs w:val="18"/>
              </w:rPr>
              <w:t xml:space="preserve"> </w:t>
            </w:r>
            <w:r w:rsidR="00D04DE5" w:rsidRPr="005F62F4">
              <w:rPr>
                <w:szCs w:val="18"/>
              </w:rPr>
              <w:t xml:space="preserve">arrangements. </w:t>
            </w:r>
            <w:r w:rsidRPr="005F62F4">
              <w:rPr>
                <w:szCs w:val="18"/>
              </w:rPr>
              <w:t>No</w:t>
            </w:r>
            <w:r w:rsidR="003D4AF5" w:rsidRPr="005F62F4">
              <w:rPr>
                <w:szCs w:val="18"/>
              </w:rPr>
              <w:t xml:space="preserve"> </w:t>
            </w:r>
            <w:r w:rsidR="00D04DE5" w:rsidRPr="005F62F4">
              <w:rPr>
                <w:szCs w:val="18"/>
              </w:rPr>
              <w:t>intended purpose listed on the ARTG</w:t>
            </w:r>
            <w:r w:rsidR="00F621D6" w:rsidRPr="005F62F4">
              <w:rPr>
                <w:szCs w:val="18"/>
              </w:rPr>
              <w:t>.</w:t>
            </w:r>
            <w:r w:rsidR="00D04DE5" w:rsidRPr="005F62F4">
              <w:rPr>
                <w:szCs w:val="18"/>
              </w:rPr>
              <w:t xml:space="preserve"> </w:t>
            </w:r>
          </w:p>
        </w:tc>
        <w:tc>
          <w:tcPr>
            <w:tcW w:w="1275" w:type="dxa"/>
          </w:tcPr>
          <w:p w14:paraId="710379CA" w14:textId="688108D8" w:rsidR="00306081" w:rsidRPr="005F62F4" w:rsidRDefault="00306081" w:rsidP="00514D5F">
            <w:pPr>
              <w:pStyle w:val="TableText"/>
              <w:jc w:val="center"/>
              <w:cnfStyle w:val="000000000000" w:firstRow="0" w:lastRow="0" w:firstColumn="0" w:lastColumn="0" w:oddVBand="0" w:evenVBand="0" w:oddHBand="0" w:evenHBand="0" w:firstRowFirstColumn="0" w:firstRowLastColumn="0" w:lastRowFirstColumn="0" w:lastRowLastColumn="0"/>
            </w:pPr>
            <w:r w:rsidRPr="005F62F4">
              <w:t>Not known</w:t>
            </w:r>
          </w:p>
        </w:tc>
        <w:tc>
          <w:tcPr>
            <w:tcW w:w="851" w:type="dxa"/>
          </w:tcPr>
          <w:p w14:paraId="674C610B" w14:textId="7866E203" w:rsidR="00262AD1" w:rsidRPr="005F62F4" w:rsidRDefault="00873F4D" w:rsidP="00AF6512">
            <w:pPr>
              <w:pStyle w:val="TableText"/>
              <w:jc w:val="right"/>
              <w:cnfStyle w:val="000000000000" w:firstRow="0" w:lastRow="0" w:firstColumn="0" w:lastColumn="0" w:oddVBand="0" w:evenVBand="0" w:oddHBand="0" w:evenHBand="0" w:firstRowFirstColumn="0" w:firstRowLastColumn="0" w:lastRowFirstColumn="0" w:lastRowLastColumn="0"/>
            </w:pPr>
            <w:r w:rsidRPr="005F62F4">
              <w:t>$2,011</w:t>
            </w:r>
          </w:p>
        </w:tc>
      </w:tr>
      <w:tr w:rsidR="00AF6512" w:rsidRPr="005F62F4" w14:paraId="084C7B24" w14:textId="4908E873" w:rsidTr="00586936">
        <w:trPr>
          <w:cnfStyle w:val="000000010000" w:firstRow="0" w:lastRow="0" w:firstColumn="0" w:lastColumn="0" w:oddVBand="0" w:evenVBand="0" w:oddHBand="0" w:evenHBand="1" w:firstRowFirstColumn="0" w:firstRowLastColumn="0" w:lastRowFirstColumn="0" w:lastRowLastColumn="0"/>
          <w:trHeight w:val="650"/>
        </w:trPr>
        <w:tc>
          <w:tcPr>
            <w:cnfStyle w:val="001000000000" w:firstRow="0" w:lastRow="0" w:firstColumn="1" w:lastColumn="0" w:oddVBand="0" w:evenVBand="0" w:oddHBand="0" w:evenHBand="0" w:firstRowFirstColumn="0" w:firstRowLastColumn="0" w:lastRowFirstColumn="0" w:lastRowLastColumn="0"/>
            <w:tcW w:w="1134" w:type="dxa"/>
          </w:tcPr>
          <w:p w14:paraId="23B21EFD" w14:textId="5A84DD90" w:rsidR="00495237" w:rsidRPr="005F62F4" w:rsidRDefault="00495237" w:rsidP="00D30C12">
            <w:pPr>
              <w:pStyle w:val="TableText"/>
              <w:rPr>
                <w:b w:val="0"/>
                <w:szCs w:val="18"/>
              </w:rPr>
            </w:pPr>
            <w:r w:rsidRPr="005F62F4">
              <w:rPr>
                <w:rStyle w:val="Strong"/>
                <w:b/>
              </w:rPr>
              <w:t>More Group Pty Ltd</w:t>
            </w:r>
          </w:p>
        </w:tc>
        <w:tc>
          <w:tcPr>
            <w:tcW w:w="1299" w:type="dxa"/>
          </w:tcPr>
          <w:p w14:paraId="035B8723" w14:textId="3634D666" w:rsidR="00495237" w:rsidRPr="005F62F4" w:rsidRDefault="00495237" w:rsidP="00D30C12">
            <w:pPr>
              <w:pStyle w:val="TableText"/>
              <w:cnfStyle w:val="000000010000" w:firstRow="0" w:lastRow="0" w:firstColumn="0" w:lastColumn="0" w:oddVBand="0" w:evenVBand="0" w:oddHBand="0" w:evenHBand="1" w:firstRowFirstColumn="0" w:firstRowLastColumn="0" w:lastRowFirstColumn="0" w:lastRowLastColumn="0"/>
              <w:rPr>
                <w:szCs w:val="18"/>
              </w:rPr>
            </w:pPr>
            <w:proofErr w:type="spellStart"/>
            <w:r w:rsidRPr="005F62F4">
              <w:t>MGuide</w:t>
            </w:r>
            <w:proofErr w:type="spellEnd"/>
          </w:p>
        </w:tc>
        <w:tc>
          <w:tcPr>
            <w:tcW w:w="1417" w:type="dxa"/>
          </w:tcPr>
          <w:p w14:paraId="181D6489" w14:textId="4FB4B642" w:rsidR="00985DE2" w:rsidRPr="005F62F4" w:rsidRDefault="00C37CBA"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348196</w:t>
            </w:r>
          </w:p>
        </w:tc>
        <w:tc>
          <w:tcPr>
            <w:tcW w:w="3380" w:type="dxa"/>
          </w:tcPr>
          <w:p w14:paraId="695BF82B" w14:textId="1077593C" w:rsidR="00495237" w:rsidRPr="005F62F4" w:rsidRDefault="00496132"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rPr>
                <w:rStyle w:val="Strong"/>
              </w:rPr>
              <w:t>Custom</w:t>
            </w:r>
            <w:r w:rsidR="00684C07">
              <w:rPr>
                <w:rStyle w:val="Strong"/>
              </w:rPr>
              <w:t>-</w:t>
            </w:r>
            <w:r w:rsidRPr="005F62F4">
              <w:rPr>
                <w:rStyle w:val="Strong"/>
              </w:rPr>
              <w:t>made guides</w:t>
            </w:r>
            <w:r w:rsidRPr="005F62F4">
              <w:t xml:space="preserve"> and </w:t>
            </w:r>
            <w:proofErr w:type="spellStart"/>
            <w:r w:rsidRPr="005F62F4">
              <w:rPr>
                <w:b/>
                <w:bCs/>
                <w:szCs w:val="18"/>
              </w:rPr>
              <w:t>biomodels</w:t>
            </w:r>
            <w:proofErr w:type="spellEnd"/>
            <w:r w:rsidRPr="005F62F4">
              <w:rPr>
                <w:b/>
                <w:bCs/>
                <w:szCs w:val="18"/>
              </w:rPr>
              <w:t xml:space="preserve"> </w:t>
            </w:r>
            <w:r w:rsidRPr="005F62F4">
              <w:t xml:space="preserve">manufactured by 3D printers intended to be used in surgical procedures, surgical treatment planning, anatomical visualisations, </w:t>
            </w:r>
            <w:r w:rsidR="00D212A0" w:rsidRPr="005F62F4">
              <w:t xml:space="preserve">CMF </w:t>
            </w:r>
            <w:r w:rsidRPr="005F62F4">
              <w:t>surgical procedures and intraoperative procedures</w:t>
            </w:r>
            <w:r w:rsidR="00F621D6" w:rsidRPr="005F62F4">
              <w:t>.</w:t>
            </w:r>
          </w:p>
        </w:tc>
        <w:tc>
          <w:tcPr>
            <w:tcW w:w="1275" w:type="dxa"/>
          </w:tcPr>
          <w:p w14:paraId="372244D9" w14:textId="1883CE23" w:rsidR="00306081" w:rsidRPr="005F62F4" w:rsidRDefault="00306081" w:rsidP="00514D5F">
            <w:pPr>
              <w:pStyle w:val="TableText"/>
              <w:jc w:val="center"/>
              <w:cnfStyle w:val="000000010000" w:firstRow="0" w:lastRow="0" w:firstColumn="0" w:lastColumn="0" w:oddVBand="0" w:evenVBand="0" w:oddHBand="0" w:evenHBand="1" w:firstRowFirstColumn="0" w:firstRowLastColumn="0" w:lastRowFirstColumn="0" w:lastRowLastColumn="0"/>
            </w:pPr>
            <w:r w:rsidRPr="005F62F4">
              <w:t>No</w:t>
            </w:r>
          </w:p>
        </w:tc>
        <w:tc>
          <w:tcPr>
            <w:tcW w:w="851" w:type="dxa"/>
          </w:tcPr>
          <w:p w14:paraId="2AFA402B" w14:textId="6D11CA5E" w:rsidR="00262AD1" w:rsidRPr="005F62F4" w:rsidRDefault="00873F4D" w:rsidP="00AF6512">
            <w:pPr>
              <w:pStyle w:val="TableText"/>
              <w:jc w:val="right"/>
              <w:cnfStyle w:val="000000010000" w:firstRow="0" w:lastRow="0" w:firstColumn="0" w:lastColumn="0" w:oddVBand="0" w:evenVBand="0" w:oddHBand="0" w:evenHBand="1" w:firstRowFirstColumn="0" w:firstRowLastColumn="0" w:lastRowFirstColumn="0" w:lastRowLastColumn="0"/>
            </w:pPr>
            <w:r w:rsidRPr="005F62F4">
              <w:t>$2,011</w:t>
            </w:r>
          </w:p>
        </w:tc>
      </w:tr>
      <w:tr w:rsidR="00495237" w:rsidRPr="005F62F4" w14:paraId="3B2D7B14" w14:textId="475DBE78" w:rsidTr="00586936">
        <w:trPr>
          <w:trHeight w:val="650"/>
        </w:trPr>
        <w:tc>
          <w:tcPr>
            <w:cnfStyle w:val="001000000000" w:firstRow="0" w:lastRow="0" w:firstColumn="1" w:lastColumn="0" w:oddVBand="0" w:evenVBand="0" w:oddHBand="0" w:evenHBand="0" w:firstRowFirstColumn="0" w:firstRowLastColumn="0" w:lastRowFirstColumn="0" w:lastRowLastColumn="0"/>
            <w:tcW w:w="1134" w:type="dxa"/>
          </w:tcPr>
          <w:p w14:paraId="42285534" w14:textId="5A3BA1E6" w:rsidR="00495237" w:rsidRPr="005F62F4" w:rsidRDefault="00495237" w:rsidP="00D30C12">
            <w:pPr>
              <w:pStyle w:val="TableText"/>
              <w:rPr>
                <w:b w:val="0"/>
                <w:szCs w:val="18"/>
              </w:rPr>
            </w:pPr>
            <w:proofErr w:type="spellStart"/>
            <w:r w:rsidRPr="005F62F4">
              <w:rPr>
                <w:rStyle w:val="Strong"/>
                <w:b/>
              </w:rPr>
              <w:t>Maxoniq</w:t>
            </w:r>
            <w:proofErr w:type="spellEnd"/>
          </w:p>
        </w:tc>
        <w:tc>
          <w:tcPr>
            <w:tcW w:w="1299" w:type="dxa"/>
          </w:tcPr>
          <w:p w14:paraId="2059911F" w14:textId="1D3C32EC" w:rsidR="00495237" w:rsidRPr="005F62F4" w:rsidRDefault="00495237"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 xml:space="preserve">OMX Solutions </w:t>
            </w:r>
            <w:r w:rsidR="00C328C2">
              <w:t>P</w:t>
            </w:r>
            <w:r w:rsidRPr="005F62F4">
              <w:t>atient Optimized Guide system</w:t>
            </w:r>
          </w:p>
        </w:tc>
        <w:tc>
          <w:tcPr>
            <w:tcW w:w="1417" w:type="dxa"/>
          </w:tcPr>
          <w:p w14:paraId="1CA17E4E" w14:textId="23326F0A" w:rsidR="00985DE2" w:rsidRPr="005F62F4" w:rsidRDefault="00104F58"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276176</w:t>
            </w:r>
          </w:p>
        </w:tc>
        <w:tc>
          <w:tcPr>
            <w:tcW w:w="3380" w:type="dxa"/>
          </w:tcPr>
          <w:p w14:paraId="272114F3" w14:textId="1ECC8859" w:rsidR="00495237" w:rsidRPr="005F62F4" w:rsidRDefault="00C97029"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Intended to reconstruct a damaged or diseased temporomandibular joint that cannot be salvaged. The system consists of fixation screws, custom</w:t>
            </w:r>
            <w:r w:rsidR="00684C07">
              <w:t>-</w:t>
            </w:r>
            <w:r w:rsidRPr="005F62F4">
              <w:t>made mandibular ramus metal alloy condyle, custom</w:t>
            </w:r>
            <w:r w:rsidR="00684C07">
              <w:t>-</w:t>
            </w:r>
            <w:r w:rsidRPr="005F62F4">
              <w:t xml:space="preserve">made polymer based glenoid fossa component and </w:t>
            </w:r>
            <w:r w:rsidRPr="005F62F4">
              <w:rPr>
                <w:b/>
                <w:szCs w:val="18"/>
              </w:rPr>
              <w:t>custom</w:t>
            </w:r>
            <w:r w:rsidR="00AF6512" w:rsidRPr="005F62F4">
              <w:rPr>
                <w:b/>
                <w:szCs w:val="18"/>
              </w:rPr>
              <w:t>-</w:t>
            </w:r>
            <w:r w:rsidRPr="005F62F4">
              <w:rPr>
                <w:b/>
                <w:szCs w:val="18"/>
              </w:rPr>
              <w:t>made</w:t>
            </w:r>
            <w:r w:rsidRPr="005F62F4">
              <w:t xml:space="preserve"> </w:t>
            </w:r>
            <w:r w:rsidRPr="005F62F4">
              <w:rPr>
                <w:b/>
                <w:szCs w:val="18"/>
              </w:rPr>
              <w:t>surgical guides</w:t>
            </w:r>
            <w:r w:rsidR="00F621D6" w:rsidRPr="005F62F4">
              <w:t>.</w:t>
            </w:r>
          </w:p>
        </w:tc>
        <w:tc>
          <w:tcPr>
            <w:tcW w:w="1275" w:type="dxa"/>
          </w:tcPr>
          <w:p w14:paraId="453DC1E2" w14:textId="5849ADFB" w:rsidR="006A06CD" w:rsidRPr="005F62F4" w:rsidRDefault="006A06CD" w:rsidP="00514D5F">
            <w:pPr>
              <w:pStyle w:val="TableText"/>
              <w:jc w:val="center"/>
              <w:cnfStyle w:val="000000000000" w:firstRow="0" w:lastRow="0" w:firstColumn="0" w:lastColumn="0" w:oddVBand="0" w:evenVBand="0" w:oddHBand="0" w:evenHBand="0" w:firstRowFirstColumn="0" w:firstRowLastColumn="0" w:lastRowFirstColumn="0" w:lastRowLastColumn="0"/>
            </w:pPr>
            <w:r w:rsidRPr="005F62F4">
              <w:t>Yes</w:t>
            </w:r>
          </w:p>
        </w:tc>
        <w:tc>
          <w:tcPr>
            <w:tcW w:w="851" w:type="dxa"/>
          </w:tcPr>
          <w:p w14:paraId="64411C00" w14:textId="25EADC2B" w:rsidR="00262AD1" w:rsidRPr="005F62F4" w:rsidRDefault="00873F4D" w:rsidP="00AF6512">
            <w:pPr>
              <w:pStyle w:val="TableText"/>
              <w:jc w:val="right"/>
              <w:cnfStyle w:val="000000000000" w:firstRow="0" w:lastRow="0" w:firstColumn="0" w:lastColumn="0" w:oddVBand="0" w:evenVBand="0" w:oddHBand="0" w:evenHBand="0" w:firstRowFirstColumn="0" w:firstRowLastColumn="0" w:lastRowFirstColumn="0" w:lastRowLastColumn="0"/>
            </w:pPr>
            <w:r w:rsidRPr="005F62F4">
              <w:t>$2,011</w:t>
            </w:r>
          </w:p>
        </w:tc>
      </w:tr>
      <w:tr w:rsidR="00AF6512" w:rsidRPr="005F62F4" w14:paraId="6BE07D9F" w14:textId="1D9CA0C1" w:rsidTr="00586936">
        <w:trPr>
          <w:cnfStyle w:val="000000010000" w:firstRow="0" w:lastRow="0" w:firstColumn="0" w:lastColumn="0" w:oddVBand="0" w:evenVBand="0" w:oddHBand="0" w:evenHBand="1" w:firstRowFirstColumn="0" w:firstRowLastColumn="0" w:lastRowFirstColumn="0" w:lastRowLastColumn="0"/>
          <w:trHeight w:val="937"/>
        </w:trPr>
        <w:tc>
          <w:tcPr>
            <w:cnfStyle w:val="001000000000" w:firstRow="0" w:lastRow="0" w:firstColumn="1" w:lastColumn="0" w:oddVBand="0" w:evenVBand="0" w:oddHBand="0" w:evenHBand="0" w:firstRowFirstColumn="0" w:firstRowLastColumn="0" w:lastRowFirstColumn="0" w:lastRowLastColumn="0"/>
            <w:tcW w:w="1134" w:type="dxa"/>
          </w:tcPr>
          <w:p w14:paraId="10D41427" w14:textId="14BF2419" w:rsidR="00495237" w:rsidRPr="005F62F4" w:rsidRDefault="00495237" w:rsidP="00D30C12">
            <w:pPr>
              <w:pStyle w:val="TableText"/>
              <w:rPr>
                <w:b w:val="0"/>
                <w:szCs w:val="18"/>
              </w:rPr>
            </w:pPr>
            <w:r w:rsidRPr="005F62F4">
              <w:rPr>
                <w:rStyle w:val="Strong"/>
                <w:b/>
              </w:rPr>
              <w:lastRenderedPageBreak/>
              <w:t xml:space="preserve">Johnson &amp; </w:t>
            </w:r>
            <w:r w:rsidRPr="005F62F4">
              <w:rPr>
                <w:szCs w:val="18"/>
              </w:rPr>
              <w:t>Johnson Pty Ltd</w:t>
            </w:r>
          </w:p>
        </w:tc>
        <w:tc>
          <w:tcPr>
            <w:tcW w:w="1299" w:type="dxa"/>
          </w:tcPr>
          <w:p w14:paraId="3315E620" w14:textId="03D89B77" w:rsidR="00495237" w:rsidRPr="005F62F4" w:rsidRDefault="00495237" w:rsidP="00D30C12">
            <w:pPr>
              <w:pStyle w:val="TableText"/>
              <w:cnfStyle w:val="000000010000" w:firstRow="0" w:lastRow="0" w:firstColumn="0" w:lastColumn="0" w:oddVBand="0" w:evenVBand="0" w:oddHBand="0" w:evenHBand="1" w:firstRowFirstColumn="0" w:firstRowLastColumn="0" w:lastRowFirstColumn="0" w:lastRowLastColumn="0"/>
              <w:rPr>
                <w:szCs w:val="18"/>
              </w:rPr>
            </w:pPr>
            <w:proofErr w:type="spellStart"/>
            <w:r w:rsidRPr="005F62F4">
              <w:t>ProPlan</w:t>
            </w:r>
            <w:proofErr w:type="spellEnd"/>
          </w:p>
        </w:tc>
        <w:tc>
          <w:tcPr>
            <w:tcW w:w="1417" w:type="dxa"/>
          </w:tcPr>
          <w:p w14:paraId="3F03A7B0" w14:textId="2743EB8F" w:rsidR="00985DE2" w:rsidRPr="005F62F4" w:rsidRDefault="00104F58"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276733</w:t>
            </w:r>
          </w:p>
        </w:tc>
        <w:tc>
          <w:tcPr>
            <w:tcW w:w="3380" w:type="dxa"/>
          </w:tcPr>
          <w:p w14:paraId="6A2A17D0" w14:textId="2ADEB1F0" w:rsidR="00495237" w:rsidRPr="005F62F4" w:rsidRDefault="000D5CE3"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 xml:space="preserve">A pack that includes a combination of screws, </w:t>
            </w:r>
            <w:r w:rsidRPr="005F62F4">
              <w:rPr>
                <w:rStyle w:val="Strong"/>
              </w:rPr>
              <w:t>custom</w:t>
            </w:r>
            <w:r w:rsidR="00684C07">
              <w:rPr>
                <w:rStyle w:val="Strong"/>
              </w:rPr>
              <w:t>-</w:t>
            </w:r>
            <w:r w:rsidRPr="005F62F4">
              <w:rPr>
                <w:rStyle w:val="Strong"/>
              </w:rPr>
              <w:t>made surgical guides, anatomical models</w:t>
            </w:r>
            <w:r w:rsidRPr="005F62F4">
              <w:t xml:space="preserve"> or implants for bone reconstruction, augmentation and fixation in the craniofacial region </w:t>
            </w:r>
            <w:r w:rsidR="00FE7408" w:rsidRPr="005F62F4">
              <w:t>(</w:t>
            </w:r>
            <w:proofErr w:type="gramStart"/>
            <w:r w:rsidRPr="005F62F4">
              <w:t>e</w:t>
            </w:r>
            <w:r w:rsidR="00FE7408" w:rsidRPr="005F62F4">
              <w:t>.</w:t>
            </w:r>
            <w:r w:rsidRPr="005F62F4">
              <w:t>g</w:t>
            </w:r>
            <w:r w:rsidR="00FE7408" w:rsidRPr="005F62F4">
              <w:t>.</w:t>
            </w:r>
            <w:proofErr w:type="gramEnd"/>
            <w:r w:rsidRPr="005F62F4">
              <w:t xml:space="preserve"> craniofacial reconstruction, stabilise fractured bone, </w:t>
            </w:r>
            <w:proofErr w:type="spellStart"/>
            <w:r w:rsidRPr="005F62F4">
              <w:t>endobrow</w:t>
            </w:r>
            <w:proofErr w:type="spellEnd"/>
            <w:r w:rsidRPr="005F62F4">
              <w:t xml:space="preserve"> fixation, or craniotomy flap fixation</w:t>
            </w:r>
            <w:r w:rsidR="00FE7408" w:rsidRPr="005F62F4">
              <w:t>)</w:t>
            </w:r>
            <w:r w:rsidRPr="005F62F4">
              <w:t>.</w:t>
            </w:r>
          </w:p>
        </w:tc>
        <w:tc>
          <w:tcPr>
            <w:tcW w:w="1275" w:type="dxa"/>
          </w:tcPr>
          <w:p w14:paraId="55F25E6F" w14:textId="21D0B1E4" w:rsidR="006A06CD" w:rsidRPr="005F62F4" w:rsidRDefault="006A06CD" w:rsidP="00514D5F">
            <w:pPr>
              <w:pStyle w:val="TableText"/>
              <w:jc w:val="center"/>
              <w:cnfStyle w:val="000000010000" w:firstRow="0" w:lastRow="0" w:firstColumn="0" w:lastColumn="0" w:oddVBand="0" w:evenVBand="0" w:oddHBand="0" w:evenHBand="1" w:firstRowFirstColumn="0" w:firstRowLastColumn="0" w:lastRowFirstColumn="0" w:lastRowLastColumn="0"/>
            </w:pPr>
            <w:r w:rsidRPr="005F62F4">
              <w:t>Yes</w:t>
            </w:r>
          </w:p>
        </w:tc>
        <w:tc>
          <w:tcPr>
            <w:tcW w:w="851" w:type="dxa"/>
          </w:tcPr>
          <w:p w14:paraId="5855AC65" w14:textId="2FD21BEE" w:rsidR="00262AD1" w:rsidRPr="005F62F4" w:rsidRDefault="00873F4D" w:rsidP="00AF6512">
            <w:pPr>
              <w:pStyle w:val="TableText"/>
              <w:jc w:val="right"/>
              <w:cnfStyle w:val="000000010000" w:firstRow="0" w:lastRow="0" w:firstColumn="0" w:lastColumn="0" w:oddVBand="0" w:evenVBand="0" w:oddHBand="0" w:evenHBand="1" w:firstRowFirstColumn="0" w:firstRowLastColumn="0" w:lastRowFirstColumn="0" w:lastRowLastColumn="0"/>
            </w:pPr>
            <w:r w:rsidRPr="005F62F4">
              <w:t>$2,011</w:t>
            </w:r>
          </w:p>
        </w:tc>
      </w:tr>
      <w:tr w:rsidR="00495237" w:rsidRPr="005F62F4" w14:paraId="575841A4" w14:textId="413C4AA8" w:rsidTr="00586936">
        <w:trPr>
          <w:trHeight w:val="937"/>
        </w:trPr>
        <w:tc>
          <w:tcPr>
            <w:cnfStyle w:val="001000000000" w:firstRow="0" w:lastRow="0" w:firstColumn="1" w:lastColumn="0" w:oddVBand="0" w:evenVBand="0" w:oddHBand="0" w:evenHBand="0" w:firstRowFirstColumn="0" w:firstRowLastColumn="0" w:lastRowFirstColumn="0" w:lastRowLastColumn="0"/>
            <w:tcW w:w="1134" w:type="dxa"/>
          </w:tcPr>
          <w:p w14:paraId="57A5C0F7" w14:textId="149C2DA6" w:rsidR="00495237" w:rsidRPr="005F62F4" w:rsidRDefault="00495237" w:rsidP="00D30C12">
            <w:pPr>
              <w:pStyle w:val="TableText"/>
              <w:rPr>
                <w:b w:val="0"/>
                <w:szCs w:val="18"/>
              </w:rPr>
            </w:pPr>
            <w:r w:rsidRPr="005F62F4">
              <w:rPr>
                <w:rStyle w:val="Strong"/>
                <w:b/>
              </w:rPr>
              <w:t>Johnson &amp; Johnson Pty Ltd</w:t>
            </w:r>
          </w:p>
        </w:tc>
        <w:tc>
          <w:tcPr>
            <w:tcW w:w="1299" w:type="dxa"/>
          </w:tcPr>
          <w:p w14:paraId="0CE8B15B" w14:textId="468FFCF7" w:rsidR="00495237" w:rsidRPr="005F62F4" w:rsidRDefault="00495237" w:rsidP="00D30C12">
            <w:pPr>
              <w:pStyle w:val="TableText"/>
              <w:cnfStyle w:val="000000000000" w:firstRow="0" w:lastRow="0" w:firstColumn="0" w:lastColumn="0" w:oddVBand="0" w:evenVBand="0" w:oddHBand="0" w:evenHBand="0" w:firstRowFirstColumn="0" w:firstRowLastColumn="0" w:lastRowFirstColumn="0" w:lastRowLastColumn="0"/>
              <w:rPr>
                <w:szCs w:val="18"/>
              </w:rPr>
            </w:pPr>
            <w:proofErr w:type="spellStart"/>
            <w:r w:rsidRPr="005F62F4">
              <w:t>SynpliciTi</w:t>
            </w:r>
            <w:proofErr w:type="spellEnd"/>
            <w:r w:rsidRPr="005F62F4">
              <w:t xml:space="preserve"> System – Surgical guides</w:t>
            </w:r>
          </w:p>
        </w:tc>
        <w:tc>
          <w:tcPr>
            <w:tcW w:w="1417" w:type="dxa"/>
          </w:tcPr>
          <w:p w14:paraId="4C623525" w14:textId="037994C6" w:rsidR="00985DE2" w:rsidRPr="005F62F4" w:rsidRDefault="00104F58"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276733</w:t>
            </w:r>
          </w:p>
        </w:tc>
        <w:tc>
          <w:tcPr>
            <w:tcW w:w="3380" w:type="dxa"/>
          </w:tcPr>
          <w:p w14:paraId="55E89991" w14:textId="743B6A5C" w:rsidR="00495237" w:rsidRPr="005F62F4" w:rsidRDefault="00071440"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 xml:space="preserve">A pack that includes a combination of screws, </w:t>
            </w:r>
            <w:r w:rsidRPr="005F62F4">
              <w:rPr>
                <w:rStyle w:val="Strong"/>
              </w:rPr>
              <w:t>custom</w:t>
            </w:r>
            <w:r w:rsidR="00684C07">
              <w:rPr>
                <w:rStyle w:val="Strong"/>
              </w:rPr>
              <w:t>-</w:t>
            </w:r>
            <w:r w:rsidRPr="005F62F4">
              <w:rPr>
                <w:rStyle w:val="Strong"/>
              </w:rPr>
              <w:t>made surgical guides, anatomical models</w:t>
            </w:r>
            <w:r w:rsidRPr="005F62F4">
              <w:t xml:space="preserve"> or implants for bone reconstruction, augmentation and fixation in the craniofacial region </w:t>
            </w:r>
            <w:r w:rsidR="00FE7408" w:rsidRPr="005F62F4">
              <w:t>(</w:t>
            </w:r>
            <w:proofErr w:type="gramStart"/>
            <w:r w:rsidRPr="005F62F4">
              <w:t>e</w:t>
            </w:r>
            <w:r w:rsidR="00FE7408" w:rsidRPr="005F62F4">
              <w:t>.</w:t>
            </w:r>
            <w:r w:rsidRPr="005F62F4">
              <w:t>g</w:t>
            </w:r>
            <w:r w:rsidR="00FE7408" w:rsidRPr="005F62F4">
              <w:t>.</w:t>
            </w:r>
            <w:proofErr w:type="gramEnd"/>
            <w:r w:rsidRPr="005F62F4">
              <w:t xml:space="preserve"> craniofacial reconstruction, stabilise fractured bone, </w:t>
            </w:r>
            <w:proofErr w:type="spellStart"/>
            <w:r w:rsidRPr="005F62F4">
              <w:t>endobrow</w:t>
            </w:r>
            <w:proofErr w:type="spellEnd"/>
            <w:r w:rsidRPr="005F62F4">
              <w:t xml:space="preserve"> fixation, or craniotomy flap fixation</w:t>
            </w:r>
            <w:r w:rsidR="00FE7408" w:rsidRPr="005F62F4">
              <w:t>)</w:t>
            </w:r>
            <w:r w:rsidRPr="005F62F4">
              <w:t>.</w:t>
            </w:r>
          </w:p>
        </w:tc>
        <w:tc>
          <w:tcPr>
            <w:tcW w:w="1275" w:type="dxa"/>
          </w:tcPr>
          <w:p w14:paraId="3643367F" w14:textId="2F4B6325" w:rsidR="006A06CD" w:rsidRPr="005F62F4" w:rsidRDefault="006A06CD" w:rsidP="00514D5F">
            <w:pPr>
              <w:pStyle w:val="TableText"/>
              <w:jc w:val="center"/>
              <w:cnfStyle w:val="000000000000" w:firstRow="0" w:lastRow="0" w:firstColumn="0" w:lastColumn="0" w:oddVBand="0" w:evenVBand="0" w:oddHBand="0" w:evenHBand="0" w:firstRowFirstColumn="0" w:firstRowLastColumn="0" w:lastRowFirstColumn="0" w:lastRowLastColumn="0"/>
            </w:pPr>
            <w:r w:rsidRPr="005F62F4">
              <w:t>Yes</w:t>
            </w:r>
          </w:p>
        </w:tc>
        <w:tc>
          <w:tcPr>
            <w:tcW w:w="851" w:type="dxa"/>
          </w:tcPr>
          <w:p w14:paraId="26743B83" w14:textId="44CAC871" w:rsidR="00262AD1" w:rsidRPr="005F62F4" w:rsidRDefault="00873F4D" w:rsidP="00AF6512">
            <w:pPr>
              <w:pStyle w:val="TableText"/>
              <w:jc w:val="right"/>
              <w:cnfStyle w:val="000000000000" w:firstRow="0" w:lastRow="0" w:firstColumn="0" w:lastColumn="0" w:oddVBand="0" w:evenVBand="0" w:oddHBand="0" w:evenHBand="0" w:firstRowFirstColumn="0" w:firstRowLastColumn="0" w:lastRowFirstColumn="0" w:lastRowLastColumn="0"/>
            </w:pPr>
            <w:r w:rsidRPr="005F62F4">
              <w:t>$2,011</w:t>
            </w:r>
          </w:p>
        </w:tc>
      </w:tr>
      <w:tr w:rsidR="00AF6512" w:rsidRPr="005F62F4" w14:paraId="1442F62F" w14:textId="55858668" w:rsidTr="00586936">
        <w:trPr>
          <w:cnfStyle w:val="000000010000" w:firstRow="0" w:lastRow="0" w:firstColumn="0" w:lastColumn="0" w:oddVBand="0" w:evenVBand="0" w:oddHBand="0" w:evenHBand="1" w:firstRowFirstColumn="0" w:firstRowLastColumn="0" w:lastRowFirstColumn="0" w:lastRowLastColumn="0"/>
          <w:trHeight w:val="937"/>
        </w:trPr>
        <w:tc>
          <w:tcPr>
            <w:cnfStyle w:val="001000000000" w:firstRow="0" w:lastRow="0" w:firstColumn="1" w:lastColumn="0" w:oddVBand="0" w:evenVBand="0" w:oddHBand="0" w:evenHBand="0" w:firstRowFirstColumn="0" w:firstRowLastColumn="0" w:lastRowFirstColumn="0" w:lastRowLastColumn="0"/>
            <w:tcW w:w="1134" w:type="dxa"/>
          </w:tcPr>
          <w:p w14:paraId="5D8225EC" w14:textId="1B46764A" w:rsidR="00495237" w:rsidRPr="005F62F4" w:rsidRDefault="00495237" w:rsidP="00D30C12">
            <w:pPr>
              <w:pStyle w:val="TableText"/>
              <w:rPr>
                <w:b w:val="0"/>
                <w:szCs w:val="18"/>
              </w:rPr>
            </w:pPr>
            <w:r w:rsidRPr="005F62F4">
              <w:rPr>
                <w:rStyle w:val="Strong"/>
                <w:b/>
              </w:rPr>
              <w:t>Johnson &amp; Johnson Pty Ltd</w:t>
            </w:r>
          </w:p>
        </w:tc>
        <w:tc>
          <w:tcPr>
            <w:tcW w:w="1299" w:type="dxa"/>
          </w:tcPr>
          <w:p w14:paraId="64F5C4BF" w14:textId="1C5E613E" w:rsidR="00495237" w:rsidRPr="005F62F4" w:rsidRDefault="00495237"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Custom</w:t>
            </w:r>
            <w:r w:rsidR="00684C07">
              <w:t>-</w:t>
            </w:r>
            <w:r w:rsidRPr="005F62F4">
              <w:t xml:space="preserve">made plates (including </w:t>
            </w:r>
            <w:proofErr w:type="spellStart"/>
            <w:r w:rsidRPr="005F62F4">
              <w:t>Megaplates</w:t>
            </w:r>
            <w:proofErr w:type="spellEnd"/>
            <w:r w:rsidRPr="005F62F4">
              <w:t>) – Surgical Guides</w:t>
            </w:r>
          </w:p>
        </w:tc>
        <w:tc>
          <w:tcPr>
            <w:tcW w:w="1417" w:type="dxa"/>
          </w:tcPr>
          <w:p w14:paraId="224D1315" w14:textId="06989151" w:rsidR="00985DE2" w:rsidRPr="005F62F4" w:rsidRDefault="00104F58"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276733</w:t>
            </w:r>
          </w:p>
        </w:tc>
        <w:tc>
          <w:tcPr>
            <w:tcW w:w="3380" w:type="dxa"/>
          </w:tcPr>
          <w:p w14:paraId="4389B073" w14:textId="29532648" w:rsidR="00495237" w:rsidRPr="005F62F4" w:rsidRDefault="00E25198"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 xml:space="preserve">A pack that includes a combination of screws, </w:t>
            </w:r>
            <w:r w:rsidRPr="005F62F4">
              <w:rPr>
                <w:rStyle w:val="Strong"/>
              </w:rPr>
              <w:t>custom</w:t>
            </w:r>
            <w:r w:rsidR="00684C07">
              <w:rPr>
                <w:rStyle w:val="Strong"/>
              </w:rPr>
              <w:t>-</w:t>
            </w:r>
            <w:r w:rsidRPr="005F62F4">
              <w:rPr>
                <w:rStyle w:val="Strong"/>
              </w:rPr>
              <w:t xml:space="preserve">made surgical guides, anatomical models </w:t>
            </w:r>
            <w:r w:rsidRPr="005F62F4">
              <w:t xml:space="preserve">or implants for bone reconstruction, augmentation and fixation in the craniofacial region </w:t>
            </w:r>
            <w:r w:rsidR="00FE7408" w:rsidRPr="005F62F4">
              <w:t>(</w:t>
            </w:r>
            <w:proofErr w:type="gramStart"/>
            <w:r w:rsidRPr="005F62F4">
              <w:t>e</w:t>
            </w:r>
            <w:r w:rsidR="00FE7408" w:rsidRPr="005F62F4">
              <w:t>.</w:t>
            </w:r>
            <w:r w:rsidRPr="005F62F4">
              <w:t>g</w:t>
            </w:r>
            <w:r w:rsidR="00FE7408" w:rsidRPr="005F62F4">
              <w:t>.</w:t>
            </w:r>
            <w:proofErr w:type="gramEnd"/>
            <w:r w:rsidRPr="005F62F4">
              <w:t xml:space="preserve"> craniofacial reconstruction, stabilise fractured bone, </w:t>
            </w:r>
            <w:proofErr w:type="spellStart"/>
            <w:r w:rsidRPr="005F62F4">
              <w:t>endobrow</w:t>
            </w:r>
            <w:proofErr w:type="spellEnd"/>
            <w:r w:rsidRPr="005F62F4">
              <w:t xml:space="preserve"> fixation, or craniotomy flap fixation</w:t>
            </w:r>
            <w:r w:rsidR="00FE7408" w:rsidRPr="005F62F4">
              <w:t>)</w:t>
            </w:r>
            <w:r w:rsidRPr="005F62F4">
              <w:t>.</w:t>
            </w:r>
          </w:p>
        </w:tc>
        <w:tc>
          <w:tcPr>
            <w:tcW w:w="1275" w:type="dxa"/>
          </w:tcPr>
          <w:p w14:paraId="5DC2E48D" w14:textId="3408DA1D" w:rsidR="006A06CD" w:rsidRPr="005F62F4" w:rsidRDefault="006A06CD" w:rsidP="00514D5F">
            <w:pPr>
              <w:pStyle w:val="TableText"/>
              <w:jc w:val="center"/>
              <w:cnfStyle w:val="000000010000" w:firstRow="0" w:lastRow="0" w:firstColumn="0" w:lastColumn="0" w:oddVBand="0" w:evenVBand="0" w:oddHBand="0" w:evenHBand="1" w:firstRowFirstColumn="0" w:firstRowLastColumn="0" w:lastRowFirstColumn="0" w:lastRowLastColumn="0"/>
            </w:pPr>
            <w:r w:rsidRPr="005F62F4">
              <w:t>Yes</w:t>
            </w:r>
          </w:p>
        </w:tc>
        <w:tc>
          <w:tcPr>
            <w:tcW w:w="851" w:type="dxa"/>
          </w:tcPr>
          <w:p w14:paraId="5E388BD7" w14:textId="72EAF1A8" w:rsidR="00262AD1" w:rsidRPr="005F62F4" w:rsidRDefault="00873F4D" w:rsidP="00AF6512">
            <w:pPr>
              <w:pStyle w:val="TableText"/>
              <w:jc w:val="right"/>
              <w:cnfStyle w:val="000000010000" w:firstRow="0" w:lastRow="0" w:firstColumn="0" w:lastColumn="0" w:oddVBand="0" w:evenVBand="0" w:oddHBand="0" w:evenHBand="1" w:firstRowFirstColumn="0" w:firstRowLastColumn="0" w:lastRowFirstColumn="0" w:lastRowLastColumn="0"/>
            </w:pPr>
            <w:r w:rsidRPr="005F62F4">
              <w:t>$2,011</w:t>
            </w:r>
          </w:p>
        </w:tc>
      </w:tr>
      <w:tr w:rsidR="00495237" w:rsidRPr="005F62F4" w14:paraId="3B265D5F" w14:textId="2450FC64" w:rsidTr="00586936">
        <w:trPr>
          <w:trHeight w:val="952"/>
        </w:trPr>
        <w:tc>
          <w:tcPr>
            <w:cnfStyle w:val="001000000000" w:firstRow="0" w:lastRow="0" w:firstColumn="1" w:lastColumn="0" w:oddVBand="0" w:evenVBand="0" w:oddHBand="0" w:evenHBand="0" w:firstRowFirstColumn="0" w:firstRowLastColumn="0" w:lastRowFirstColumn="0" w:lastRowLastColumn="0"/>
            <w:tcW w:w="1134" w:type="dxa"/>
          </w:tcPr>
          <w:p w14:paraId="0C167A68" w14:textId="30B57E07" w:rsidR="00495237" w:rsidRPr="005F62F4" w:rsidRDefault="00495237" w:rsidP="00D30C12">
            <w:pPr>
              <w:pStyle w:val="TableText"/>
              <w:rPr>
                <w:b w:val="0"/>
                <w:szCs w:val="18"/>
              </w:rPr>
            </w:pPr>
            <w:r w:rsidRPr="005F62F4">
              <w:rPr>
                <w:rStyle w:val="Strong"/>
                <w:b/>
              </w:rPr>
              <w:t>Johnson &amp; Johnson Pty Ltd</w:t>
            </w:r>
          </w:p>
        </w:tc>
        <w:tc>
          <w:tcPr>
            <w:tcW w:w="1299" w:type="dxa"/>
          </w:tcPr>
          <w:p w14:paraId="5562A512" w14:textId="444A1DF9" w:rsidR="00495237" w:rsidRPr="005F62F4" w:rsidRDefault="00495237"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 xml:space="preserve">Surgical guide for OBL </w:t>
            </w:r>
            <w:proofErr w:type="spellStart"/>
            <w:r w:rsidR="003919C3" w:rsidRPr="005F62F4">
              <w:rPr>
                <w:szCs w:val="18"/>
              </w:rPr>
              <w:t>PorousiTi</w:t>
            </w:r>
            <w:proofErr w:type="spellEnd"/>
            <w:r w:rsidRPr="005F62F4">
              <w:rPr>
                <w:szCs w:val="18"/>
              </w:rPr>
              <w:t xml:space="preserve"> PSI System – Mandible and Maxilla </w:t>
            </w:r>
          </w:p>
        </w:tc>
        <w:tc>
          <w:tcPr>
            <w:tcW w:w="1417" w:type="dxa"/>
          </w:tcPr>
          <w:p w14:paraId="7F54B4E6" w14:textId="3D2F8E38" w:rsidR="00985DE2" w:rsidRPr="005F62F4" w:rsidRDefault="00104F58"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276733</w:t>
            </w:r>
          </w:p>
        </w:tc>
        <w:tc>
          <w:tcPr>
            <w:tcW w:w="3380" w:type="dxa"/>
          </w:tcPr>
          <w:p w14:paraId="446393B5" w14:textId="6FD1F9AC" w:rsidR="00495237" w:rsidRPr="005F62F4" w:rsidRDefault="00975F7C"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 xml:space="preserve">A pack that includes a combination of screws, </w:t>
            </w:r>
            <w:r w:rsidRPr="005F62F4">
              <w:rPr>
                <w:rStyle w:val="Strong"/>
              </w:rPr>
              <w:t>custom</w:t>
            </w:r>
            <w:r w:rsidR="00684C07">
              <w:rPr>
                <w:rStyle w:val="Strong"/>
              </w:rPr>
              <w:t>-</w:t>
            </w:r>
            <w:r w:rsidRPr="005F62F4">
              <w:rPr>
                <w:rStyle w:val="Strong"/>
              </w:rPr>
              <w:t>made surgical guides, anatomical models</w:t>
            </w:r>
            <w:r w:rsidRPr="005F62F4">
              <w:t xml:space="preserve"> or implants for bone reconstruction, augmentation and fixation in the craniofacial region </w:t>
            </w:r>
            <w:r w:rsidR="00FE7408" w:rsidRPr="005F62F4">
              <w:t>(</w:t>
            </w:r>
            <w:proofErr w:type="gramStart"/>
            <w:r w:rsidRPr="005F62F4">
              <w:t>e</w:t>
            </w:r>
            <w:r w:rsidR="00FE7408" w:rsidRPr="005F62F4">
              <w:t>.</w:t>
            </w:r>
            <w:r w:rsidRPr="005F62F4">
              <w:t>g</w:t>
            </w:r>
            <w:r w:rsidR="00FE7408" w:rsidRPr="005F62F4">
              <w:t>.</w:t>
            </w:r>
            <w:proofErr w:type="gramEnd"/>
            <w:r w:rsidRPr="005F62F4">
              <w:t xml:space="preserve"> craniofacial reconstruction, stabilise fractured bone, </w:t>
            </w:r>
            <w:proofErr w:type="spellStart"/>
            <w:r w:rsidRPr="005F62F4">
              <w:t>endobrow</w:t>
            </w:r>
            <w:proofErr w:type="spellEnd"/>
            <w:r w:rsidRPr="005F62F4">
              <w:t xml:space="preserve"> fixation, or craniotomy flap fixation</w:t>
            </w:r>
            <w:r w:rsidR="00FE7408" w:rsidRPr="005F62F4">
              <w:t>)</w:t>
            </w:r>
            <w:r w:rsidRPr="005F62F4">
              <w:t>.</w:t>
            </w:r>
          </w:p>
        </w:tc>
        <w:tc>
          <w:tcPr>
            <w:tcW w:w="1275" w:type="dxa"/>
          </w:tcPr>
          <w:p w14:paraId="415D21AE" w14:textId="5D270986" w:rsidR="006A06CD" w:rsidRPr="005F62F4" w:rsidRDefault="006A06CD" w:rsidP="006A06CD">
            <w:pPr>
              <w:pStyle w:val="TableText"/>
              <w:jc w:val="center"/>
              <w:cnfStyle w:val="000000000000" w:firstRow="0" w:lastRow="0" w:firstColumn="0" w:lastColumn="0" w:oddVBand="0" w:evenVBand="0" w:oddHBand="0" w:evenHBand="0" w:firstRowFirstColumn="0" w:firstRowLastColumn="0" w:lastRowFirstColumn="0" w:lastRowLastColumn="0"/>
            </w:pPr>
            <w:r w:rsidRPr="005F62F4">
              <w:t>Yes</w:t>
            </w:r>
          </w:p>
        </w:tc>
        <w:tc>
          <w:tcPr>
            <w:tcW w:w="851" w:type="dxa"/>
          </w:tcPr>
          <w:p w14:paraId="22E56E1E" w14:textId="26AC1DFF" w:rsidR="00262AD1" w:rsidRPr="005F62F4" w:rsidRDefault="00873F4D" w:rsidP="00AF6512">
            <w:pPr>
              <w:pStyle w:val="TableText"/>
              <w:jc w:val="right"/>
              <w:cnfStyle w:val="000000000000" w:firstRow="0" w:lastRow="0" w:firstColumn="0" w:lastColumn="0" w:oddVBand="0" w:evenVBand="0" w:oddHBand="0" w:evenHBand="0" w:firstRowFirstColumn="0" w:firstRowLastColumn="0" w:lastRowFirstColumn="0" w:lastRowLastColumn="0"/>
            </w:pPr>
            <w:r w:rsidRPr="005F62F4">
              <w:t>$2,011</w:t>
            </w:r>
          </w:p>
        </w:tc>
      </w:tr>
      <w:tr w:rsidR="00AF6512" w:rsidRPr="005F62F4" w14:paraId="0E922D36" w14:textId="107F929C" w:rsidTr="00586936">
        <w:trPr>
          <w:cnfStyle w:val="000000010000" w:firstRow="0" w:lastRow="0" w:firstColumn="0" w:lastColumn="0" w:oddVBand="0" w:evenVBand="0" w:oddHBand="0" w:evenHBand="1" w:firstRowFirstColumn="0" w:firstRowLastColumn="0" w:lastRowFirstColumn="0" w:lastRowLastColumn="0"/>
          <w:trHeight w:val="635"/>
        </w:trPr>
        <w:tc>
          <w:tcPr>
            <w:cnfStyle w:val="001000000000" w:firstRow="0" w:lastRow="0" w:firstColumn="1" w:lastColumn="0" w:oddVBand="0" w:evenVBand="0" w:oddHBand="0" w:evenHBand="0" w:firstRowFirstColumn="0" w:firstRowLastColumn="0" w:lastRowFirstColumn="0" w:lastRowLastColumn="0"/>
            <w:tcW w:w="1134" w:type="dxa"/>
          </w:tcPr>
          <w:p w14:paraId="3353BBCA" w14:textId="47D40CA1" w:rsidR="00495237" w:rsidRPr="005F62F4" w:rsidRDefault="00495237" w:rsidP="00D30C12">
            <w:pPr>
              <w:pStyle w:val="TableText"/>
              <w:rPr>
                <w:b w:val="0"/>
                <w:szCs w:val="18"/>
              </w:rPr>
            </w:pPr>
            <w:r w:rsidRPr="005F62F4">
              <w:rPr>
                <w:rStyle w:val="Strong"/>
                <w:b/>
                <w:szCs w:val="18"/>
              </w:rPr>
              <w:t>SPECIFICA PTY LTD</w:t>
            </w:r>
          </w:p>
        </w:tc>
        <w:tc>
          <w:tcPr>
            <w:tcW w:w="1299" w:type="dxa"/>
          </w:tcPr>
          <w:p w14:paraId="2E580F33" w14:textId="2CF56098" w:rsidR="00495237" w:rsidRPr="005F62F4" w:rsidRDefault="00495237" w:rsidP="00D30C12">
            <w:pPr>
              <w:pStyle w:val="TableText"/>
              <w:cnfStyle w:val="000000010000" w:firstRow="0" w:lastRow="0" w:firstColumn="0" w:lastColumn="0" w:oddVBand="0" w:evenVBand="0" w:oddHBand="0" w:evenHBand="1" w:firstRowFirstColumn="0" w:firstRowLastColumn="0" w:lastRowFirstColumn="0" w:lastRowLastColumn="0"/>
              <w:rPr>
                <w:szCs w:val="18"/>
              </w:rPr>
            </w:pPr>
            <w:proofErr w:type="spellStart"/>
            <w:r w:rsidRPr="005F62F4">
              <w:t>OsGuide</w:t>
            </w:r>
            <w:proofErr w:type="spellEnd"/>
          </w:p>
        </w:tc>
        <w:tc>
          <w:tcPr>
            <w:tcW w:w="1417" w:type="dxa"/>
          </w:tcPr>
          <w:p w14:paraId="65BF90EE" w14:textId="03121F87" w:rsidR="00985DE2" w:rsidRPr="005F62F4" w:rsidRDefault="00104F58"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292759</w:t>
            </w:r>
          </w:p>
        </w:tc>
        <w:tc>
          <w:tcPr>
            <w:tcW w:w="3380" w:type="dxa"/>
          </w:tcPr>
          <w:p w14:paraId="034BD0B4" w14:textId="37FE2853" w:rsidR="00495237" w:rsidRPr="005F62F4" w:rsidRDefault="00264F33"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 xml:space="preserve">A non-sterile, </w:t>
            </w:r>
            <w:r w:rsidRPr="005F62F4">
              <w:rPr>
                <w:rStyle w:val="Strong"/>
              </w:rPr>
              <w:t>custom</w:t>
            </w:r>
            <w:r w:rsidR="00A719D1" w:rsidRPr="005F62F4">
              <w:rPr>
                <w:rStyle w:val="Strong"/>
              </w:rPr>
              <w:t>-</w:t>
            </w:r>
            <w:r w:rsidRPr="005F62F4">
              <w:rPr>
                <w:rStyle w:val="Strong"/>
              </w:rPr>
              <w:t>made</w:t>
            </w:r>
            <w:r w:rsidRPr="005F62F4">
              <w:t xml:space="preserve"> surgical instrument intended to be used in an orthopaedic and/or </w:t>
            </w:r>
            <w:r w:rsidR="00D212A0" w:rsidRPr="005F62F4">
              <w:t xml:space="preserve">CMF </w:t>
            </w:r>
            <w:r w:rsidRPr="005F62F4">
              <w:t>procedure (</w:t>
            </w:r>
            <w:proofErr w:type="gramStart"/>
            <w:r w:rsidRPr="005F62F4">
              <w:t>e.g.</w:t>
            </w:r>
            <w:proofErr w:type="gramEnd"/>
            <w:r w:rsidRPr="005F62F4">
              <w:t xml:space="preserve"> osteotomy, arthroplasty, tumour resection, distraction osteogenesis, cranial vault reconstruction) to assist in the </w:t>
            </w:r>
            <w:r w:rsidRPr="005F62F4">
              <w:rPr>
                <w:rStyle w:val="Strong"/>
              </w:rPr>
              <w:t>intraoperative orientation</w:t>
            </w:r>
            <w:r w:rsidRPr="005F62F4">
              <w:t xml:space="preserve"> of implant components, outlining the desired cut-line, and/or guiding of surgical instruments (e.g. surgical drill, oscillating cutting saw). It is made of synthetic polymer materials and is typically manufactured by </w:t>
            </w:r>
            <w:r w:rsidR="00BB4C7E" w:rsidRPr="005F62F4">
              <w:t>3D</w:t>
            </w:r>
            <w:r w:rsidRPr="005F62F4">
              <w:t xml:space="preserve"> printing and CAD/CAM techniques to match the patient-specific contours of the target anatomical site. This is a </w:t>
            </w:r>
            <w:r w:rsidRPr="005F62F4">
              <w:rPr>
                <w:rStyle w:val="Strong"/>
              </w:rPr>
              <w:t>single-use device</w:t>
            </w:r>
            <w:r w:rsidRPr="005F62F4">
              <w:t xml:space="preserve"> intended to be sterili</w:t>
            </w:r>
            <w:r w:rsidR="00CA7219" w:rsidRPr="005F62F4">
              <w:t>s</w:t>
            </w:r>
            <w:r w:rsidRPr="005F62F4">
              <w:t>ed prior to use.</w:t>
            </w:r>
          </w:p>
        </w:tc>
        <w:tc>
          <w:tcPr>
            <w:tcW w:w="1275" w:type="dxa"/>
          </w:tcPr>
          <w:p w14:paraId="083A43A6" w14:textId="541BFE35" w:rsidR="008E0271" w:rsidRPr="005F62F4" w:rsidRDefault="008E0271" w:rsidP="006A06CD">
            <w:pPr>
              <w:pStyle w:val="TableText"/>
              <w:jc w:val="center"/>
              <w:cnfStyle w:val="000000010000" w:firstRow="0" w:lastRow="0" w:firstColumn="0" w:lastColumn="0" w:oddVBand="0" w:evenVBand="0" w:oddHBand="0" w:evenHBand="1" w:firstRowFirstColumn="0" w:firstRowLastColumn="0" w:lastRowFirstColumn="0" w:lastRowLastColumn="0"/>
            </w:pPr>
            <w:r w:rsidRPr="005F62F4">
              <w:t>No</w:t>
            </w:r>
          </w:p>
        </w:tc>
        <w:tc>
          <w:tcPr>
            <w:tcW w:w="851" w:type="dxa"/>
          </w:tcPr>
          <w:p w14:paraId="722DAE07" w14:textId="2147355A" w:rsidR="00262AD1" w:rsidRPr="005F62F4" w:rsidRDefault="00873F4D" w:rsidP="00AF6512">
            <w:pPr>
              <w:pStyle w:val="TableText"/>
              <w:jc w:val="right"/>
              <w:cnfStyle w:val="000000010000" w:firstRow="0" w:lastRow="0" w:firstColumn="0" w:lastColumn="0" w:oddVBand="0" w:evenVBand="0" w:oddHBand="0" w:evenHBand="1" w:firstRowFirstColumn="0" w:firstRowLastColumn="0" w:lastRowFirstColumn="0" w:lastRowLastColumn="0"/>
            </w:pPr>
            <w:r w:rsidRPr="005F62F4">
              <w:t>$2,011</w:t>
            </w:r>
          </w:p>
        </w:tc>
      </w:tr>
      <w:tr w:rsidR="00495237" w:rsidRPr="005F62F4" w14:paraId="0D747D23" w14:textId="4177DEB1" w:rsidTr="00586936">
        <w:trPr>
          <w:trHeight w:val="650"/>
        </w:trPr>
        <w:tc>
          <w:tcPr>
            <w:cnfStyle w:val="001000000000" w:firstRow="0" w:lastRow="0" w:firstColumn="1" w:lastColumn="0" w:oddVBand="0" w:evenVBand="0" w:oddHBand="0" w:evenHBand="0" w:firstRowFirstColumn="0" w:firstRowLastColumn="0" w:lastRowFirstColumn="0" w:lastRowLastColumn="0"/>
            <w:tcW w:w="1134" w:type="dxa"/>
          </w:tcPr>
          <w:p w14:paraId="27BDB9DE" w14:textId="538C03D9" w:rsidR="00495237" w:rsidRPr="005F62F4" w:rsidRDefault="00495237" w:rsidP="00D30C12">
            <w:pPr>
              <w:pStyle w:val="TableText"/>
              <w:rPr>
                <w:b w:val="0"/>
                <w:szCs w:val="18"/>
              </w:rPr>
            </w:pPr>
            <w:r w:rsidRPr="005F62F4">
              <w:rPr>
                <w:rStyle w:val="Strong"/>
                <w:b/>
                <w:szCs w:val="18"/>
              </w:rPr>
              <w:lastRenderedPageBreak/>
              <w:t>SPECIFICA PTY LTD</w:t>
            </w:r>
          </w:p>
        </w:tc>
        <w:tc>
          <w:tcPr>
            <w:tcW w:w="1299" w:type="dxa"/>
          </w:tcPr>
          <w:p w14:paraId="34903DB0" w14:textId="3D7C7705" w:rsidR="00495237" w:rsidRPr="005F62F4" w:rsidRDefault="00495237"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DGUIDE</w:t>
            </w:r>
          </w:p>
        </w:tc>
        <w:tc>
          <w:tcPr>
            <w:tcW w:w="1417" w:type="dxa"/>
          </w:tcPr>
          <w:p w14:paraId="793ABA10" w14:textId="7451FB9E" w:rsidR="00985DE2" w:rsidRPr="005F62F4" w:rsidRDefault="00104F58"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t>322576</w:t>
            </w:r>
          </w:p>
        </w:tc>
        <w:tc>
          <w:tcPr>
            <w:tcW w:w="3380" w:type="dxa"/>
          </w:tcPr>
          <w:p w14:paraId="1C9B50B9" w14:textId="2C5DC1CF" w:rsidR="00495237" w:rsidRPr="005F62F4" w:rsidRDefault="0038474B" w:rsidP="00D30C12">
            <w:pPr>
              <w:pStyle w:val="TableText"/>
              <w:cnfStyle w:val="000000000000" w:firstRow="0" w:lastRow="0" w:firstColumn="0" w:lastColumn="0" w:oddVBand="0" w:evenVBand="0" w:oddHBand="0" w:evenHBand="0" w:firstRowFirstColumn="0" w:firstRowLastColumn="0" w:lastRowFirstColumn="0" w:lastRowLastColumn="0"/>
              <w:rPr>
                <w:szCs w:val="18"/>
              </w:rPr>
            </w:pPr>
            <w:r w:rsidRPr="005F62F4">
              <w:rPr>
                <w:rStyle w:val="Strong"/>
              </w:rPr>
              <w:t xml:space="preserve">Guides </w:t>
            </w:r>
            <w:r w:rsidRPr="005F62F4">
              <w:t xml:space="preserve">and </w:t>
            </w:r>
            <w:proofErr w:type="spellStart"/>
            <w:r w:rsidR="00FE7408" w:rsidRPr="005F62F4">
              <w:rPr>
                <w:b/>
                <w:szCs w:val="18"/>
              </w:rPr>
              <w:t>b</w:t>
            </w:r>
            <w:r w:rsidRPr="005F62F4">
              <w:rPr>
                <w:b/>
                <w:szCs w:val="18"/>
              </w:rPr>
              <w:t>iomodels</w:t>
            </w:r>
            <w:proofErr w:type="spellEnd"/>
            <w:r w:rsidRPr="005F62F4">
              <w:t xml:space="preserve"> manufactured by </w:t>
            </w:r>
            <w:r w:rsidR="00BB4C7E" w:rsidRPr="005F62F4">
              <w:t>3D</w:t>
            </w:r>
            <w:r w:rsidRPr="005F62F4">
              <w:t xml:space="preserve"> printing intended to assist in anatomical visuali</w:t>
            </w:r>
            <w:r w:rsidR="00FE7408" w:rsidRPr="005F62F4">
              <w:t>s</w:t>
            </w:r>
            <w:r w:rsidRPr="005F62F4">
              <w:t>ation</w:t>
            </w:r>
            <w:r w:rsidR="00FE7408" w:rsidRPr="005F62F4">
              <w:t xml:space="preserve"> and/or</w:t>
            </w:r>
            <w:r w:rsidRPr="005F62F4">
              <w:t xml:space="preserve"> surgical treatment planning, for intraoperative dental and </w:t>
            </w:r>
            <w:r w:rsidR="00675369" w:rsidRPr="005F62F4">
              <w:t xml:space="preserve">CMF </w:t>
            </w:r>
            <w:r w:rsidRPr="005F62F4">
              <w:t>surgical procedures</w:t>
            </w:r>
            <w:r w:rsidR="00FE7408" w:rsidRPr="005F62F4">
              <w:t>.</w:t>
            </w:r>
          </w:p>
        </w:tc>
        <w:tc>
          <w:tcPr>
            <w:tcW w:w="1275" w:type="dxa"/>
          </w:tcPr>
          <w:p w14:paraId="2AA3B610" w14:textId="218C09CB" w:rsidR="008E0271" w:rsidRPr="005F62F4" w:rsidRDefault="008E0271" w:rsidP="006A06CD">
            <w:pPr>
              <w:pStyle w:val="TableText"/>
              <w:jc w:val="center"/>
              <w:cnfStyle w:val="000000000000" w:firstRow="0" w:lastRow="0" w:firstColumn="0" w:lastColumn="0" w:oddVBand="0" w:evenVBand="0" w:oddHBand="0" w:evenHBand="0" w:firstRowFirstColumn="0" w:firstRowLastColumn="0" w:lastRowFirstColumn="0" w:lastRowLastColumn="0"/>
            </w:pPr>
            <w:r w:rsidRPr="005F62F4">
              <w:t>No</w:t>
            </w:r>
          </w:p>
        </w:tc>
        <w:tc>
          <w:tcPr>
            <w:tcW w:w="851" w:type="dxa"/>
          </w:tcPr>
          <w:p w14:paraId="48849FCB" w14:textId="2AEB867B" w:rsidR="00262AD1" w:rsidRPr="005F62F4" w:rsidRDefault="00873F4D" w:rsidP="00AF6512">
            <w:pPr>
              <w:pStyle w:val="TableText"/>
              <w:jc w:val="right"/>
              <w:cnfStyle w:val="000000000000" w:firstRow="0" w:lastRow="0" w:firstColumn="0" w:lastColumn="0" w:oddVBand="0" w:evenVBand="0" w:oddHBand="0" w:evenHBand="0" w:firstRowFirstColumn="0" w:firstRowLastColumn="0" w:lastRowFirstColumn="0" w:lastRowLastColumn="0"/>
            </w:pPr>
            <w:r w:rsidRPr="005F62F4">
              <w:t>$2,011</w:t>
            </w:r>
          </w:p>
        </w:tc>
      </w:tr>
      <w:tr w:rsidR="00AF6512" w:rsidRPr="005F62F4" w14:paraId="06338559" w14:textId="5D6E37E8" w:rsidTr="00586936">
        <w:trPr>
          <w:cnfStyle w:val="000000010000" w:firstRow="0" w:lastRow="0" w:firstColumn="0" w:lastColumn="0" w:oddVBand="0" w:evenVBand="0" w:oddHBand="0" w:evenHBand="1" w:firstRowFirstColumn="0" w:firstRowLastColumn="0" w:lastRowFirstColumn="0" w:lastRowLastColumn="0"/>
          <w:trHeight w:val="635"/>
        </w:trPr>
        <w:tc>
          <w:tcPr>
            <w:cnfStyle w:val="001000000000" w:firstRow="0" w:lastRow="0" w:firstColumn="1" w:lastColumn="0" w:oddVBand="0" w:evenVBand="0" w:oddHBand="0" w:evenHBand="0" w:firstRowFirstColumn="0" w:firstRowLastColumn="0" w:lastRowFirstColumn="0" w:lastRowLastColumn="0"/>
            <w:tcW w:w="1134" w:type="dxa"/>
          </w:tcPr>
          <w:p w14:paraId="7C8D2E27" w14:textId="67B45EF3" w:rsidR="00495237" w:rsidRPr="005F62F4" w:rsidRDefault="00495237" w:rsidP="00D30C12">
            <w:pPr>
              <w:pStyle w:val="TableText"/>
              <w:rPr>
                <w:b w:val="0"/>
                <w:szCs w:val="18"/>
              </w:rPr>
            </w:pPr>
            <w:r w:rsidRPr="005F62F4">
              <w:rPr>
                <w:rStyle w:val="Strong"/>
                <w:b/>
                <w:szCs w:val="18"/>
              </w:rPr>
              <w:t>AA-Med Pty Ltd</w:t>
            </w:r>
          </w:p>
        </w:tc>
        <w:tc>
          <w:tcPr>
            <w:tcW w:w="1299" w:type="dxa"/>
          </w:tcPr>
          <w:p w14:paraId="4F307678" w14:textId="0DAB8BB0" w:rsidR="00495237" w:rsidRPr="005F62F4" w:rsidRDefault="00495237" w:rsidP="00D30C12">
            <w:pPr>
              <w:pStyle w:val="TableText"/>
              <w:cnfStyle w:val="000000010000" w:firstRow="0" w:lastRow="0" w:firstColumn="0" w:lastColumn="0" w:oddVBand="0" w:evenVBand="0" w:oddHBand="0" w:evenHBand="1" w:firstRowFirstColumn="0" w:firstRowLastColumn="0" w:lastRowFirstColumn="0" w:lastRowLastColumn="0"/>
              <w:rPr>
                <w:szCs w:val="18"/>
              </w:rPr>
            </w:pPr>
            <w:proofErr w:type="spellStart"/>
            <w:r w:rsidRPr="005F62F4">
              <w:t>OrthoTin</w:t>
            </w:r>
            <w:proofErr w:type="spellEnd"/>
            <w:r w:rsidRPr="005F62F4">
              <w:t xml:space="preserve"> Surgical Guide</w:t>
            </w:r>
          </w:p>
        </w:tc>
        <w:tc>
          <w:tcPr>
            <w:tcW w:w="1417" w:type="dxa"/>
          </w:tcPr>
          <w:p w14:paraId="028BC49F" w14:textId="4BF6998E" w:rsidR="00985DE2" w:rsidRPr="005F62F4" w:rsidRDefault="00104F58"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293845</w:t>
            </w:r>
          </w:p>
        </w:tc>
        <w:tc>
          <w:tcPr>
            <w:tcW w:w="3380" w:type="dxa"/>
          </w:tcPr>
          <w:p w14:paraId="113DAD71" w14:textId="2A3E468D" w:rsidR="00495237" w:rsidRPr="005F62F4" w:rsidRDefault="00EB1C92" w:rsidP="00D30C12">
            <w:pPr>
              <w:pStyle w:val="TableText"/>
              <w:cnfStyle w:val="000000010000" w:firstRow="0" w:lastRow="0" w:firstColumn="0" w:lastColumn="0" w:oddVBand="0" w:evenVBand="0" w:oddHBand="0" w:evenHBand="1" w:firstRowFirstColumn="0" w:firstRowLastColumn="0" w:lastRowFirstColumn="0" w:lastRowLastColumn="0"/>
              <w:rPr>
                <w:szCs w:val="18"/>
              </w:rPr>
            </w:pPr>
            <w:r w:rsidRPr="005F62F4">
              <w:t>Intended for reconstruction of painful and/or severely disabled temporomandibular joints. The system consists of fixation screws, fixation plate, custom</w:t>
            </w:r>
            <w:r w:rsidR="00684C07">
              <w:t>-</w:t>
            </w:r>
            <w:r w:rsidRPr="005F62F4">
              <w:t>made fossa component, custom</w:t>
            </w:r>
            <w:r w:rsidR="00684C07">
              <w:t>-</w:t>
            </w:r>
            <w:r w:rsidRPr="005F62F4">
              <w:t>made fossa bearing component, custom</w:t>
            </w:r>
            <w:r w:rsidR="00684C07">
              <w:t>-</w:t>
            </w:r>
            <w:r w:rsidRPr="005F62F4">
              <w:t>made condylar ramus component, custom</w:t>
            </w:r>
            <w:r w:rsidR="00684C07">
              <w:t>-</w:t>
            </w:r>
            <w:r w:rsidRPr="005F62F4">
              <w:t xml:space="preserve">made plate, </w:t>
            </w:r>
            <w:r w:rsidRPr="005F62F4">
              <w:rPr>
                <w:b/>
                <w:szCs w:val="18"/>
              </w:rPr>
              <w:t>custom</w:t>
            </w:r>
            <w:r w:rsidR="00684C07">
              <w:rPr>
                <w:b/>
                <w:szCs w:val="18"/>
              </w:rPr>
              <w:t>-</w:t>
            </w:r>
            <w:r w:rsidRPr="005F62F4">
              <w:rPr>
                <w:b/>
                <w:szCs w:val="18"/>
              </w:rPr>
              <w:t>made surgical guides</w:t>
            </w:r>
            <w:r w:rsidRPr="005F62F4">
              <w:t xml:space="preserve"> and </w:t>
            </w:r>
            <w:r w:rsidRPr="005F62F4">
              <w:rPr>
                <w:b/>
                <w:szCs w:val="18"/>
              </w:rPr>
              <w:t>custom</w:t>
            </w:r>
            <w:r w:rsidR="00684C07">
              <w:rPr>
                <w:b/>
                <w:szCs w:val="18"/>
              </w:rPr>
              <w:t>-</w:t>
            </w:r>
            <w:r w:rsidRPr="005F62F4">
              <w:rPr>
                <w:b/>
                <w:szCs w:val="18"/>
              </w:rPr>
              <w:t xml:space="preserve">made </w:t>
            </w:r>
            <w:proofErr w:type="spellStart"/>
            <w:r w:rsidRPr="005F62F4">
              <w:rPr>
                <w:b/>
                <w:szCs w:val="18"/>
              </w:rPr>
              <w:t>biomodel</w:t>
            </w:r>
            <w:proofErr w:type="spellEnd"/>
            <w:r w:rsidRPr="005F62F4">
              <w:t>.</w:t>
            </w:r>
          </w:p>
        </w:tc>
        <w:tc>
          <w:tcPr>
            <w:tcW w:w="1275" w:type="dxa"/>
          </w:tcPr>
          <w:p w14:paraId="3BE39C15" w14:textId="05F6E211" w:rsidR="008E0271" w:rsidRPr="005F62F4" w:rsidRDefault="008E0271" w:rsidP="006A06CD">
            <w:pPr>
              <w:pStyle w:val="TableText"/>
              <w:jc w:val="center"/>
              <w:cnfStyle w:val="000000010000" w:firstRow="0" w:lastRow="0" w:firstColumn="0" w:lastColumn="0" w:oddVBand="0" w:evenVBand="0" w:oddHBand="0" w:evenHBand="1" w:firstRowFirstColumn="0" w:firstRowLastColumn="0" w:lastRowFirstColumn="0" w:lastRowLastColumn="0"/>
            </w:pPr>
            <w:r w:rsidRPr="005F62F4">
              <w:t>Yes</w:t>
            </w:r>
          </w:p>
        </w:tc>
        <w:tc>
          <w:tcPr>
            <w:tcW w:w="851" w:type="dxa"/>
          </w:tcPr>
          <w:p w14:paraId="1E5E10D6" w14:textId="3495EC85" w:rsidR="00262AD1" w:rsidRPr="005F62F4" w:rsidRDefault="00873F4D" w:rsidP="00AF6512">
            <w:pPr>
              <w:pStyle w:val="TableText"/>
              <w:jc w:val="right"/>
              <w:cnfStyle w:val="000000010000" w:firstRow="0" w:lastRow="0" w:firstColumn="0" w:lastColumn="0" w:oddVBand="0" w:evenVBand="0" w:oddHBand="0" w:evenHBand="1" w:firstRowFirstColumn="0" w:firstRowLastColumn="0" w:lastRowFirstColumn="0" w:lastRowLastColumn="0"/>
            </w:pPr>
            <w:r w:rsidRPr="005F62F4">
              <w:t>$2,011</w:t>
            </w:r>
          </w:p>
        </w:tc>
      </w:tr>
      <w:tr w:rsidR="00495237" w:rsidRPr="005F62F4" w14:paraId="6DB1EC24" w14:textId="64120989" w:rsidTr="00586936">
        <w:trPr>
          <w:trHeight w:val="635"/>
        </w:trPr>
        <w:tc>
          <w:tcPr>
            <w:cnfStyle w:val="001000000000" w:firstRow="0" w:lastRow="0" w:firstColumn="1" w:lastColumn="0" w:oddVBand="0" w:evenVBand="0" w:oddHBand="0" w:evenHBand="0" w:firstRowFirstColumn="0" w:firstRowLastColumn="0" w:lastRowFirstColumn="0" w:lastRowLastColumn="0"/>
            <w:tcW w:w="1134" w:type="dxa"/>
          </w:tcPr>
          <w:p w14:paraId="55EA80C4" w14:textId="5C5E5372" w:rsidR="00495237" w:rsidRPr="005F62F4" w:rsidRDefault="00495237" w:rsidP="00A579A7">
            <w:pPr>
              <w:pStyle w:val="TableText"/>
              <w:rPr>
                <w:b w:val="0"/>
              </w:rPr>
            </w:pPr>
            <w:r w:rsidRPr="005F62F4">
              <w:rPr>
                <w:rStyle w:val="Strong"/>
                <w:b/>
                <w:szCs w:val="18"/>
              </w:rPr>
              <w:t>AA-Med Pty Ltd</w:t>
            </w:r>
          </w:p>
        </w:tc>
        <w:tc>
          <w:tcPr>
            <w:tcW w:w="1299" w:type="dxa"/>
          </w:tcPr>
          <w:p w14:paraId="205ACA6E" w14:textId="29B41907" w:rsidR="00495237" w:rsidRPr="005F62F4" w:rsidRDefault="00495237" w:rsidP="00A579A7">
            <w:pPr>
              <w:pStyle w:val="TableText"/>
              <w:cnfStyle w:val="000000000000" w:firstRow="0" w:lastRow="0" w:firstColumn="0" w:lastColumn="0" w:oddVBand="0" w:evenVBand="0" w:oddHBand="0" w:evenHBand="0" w:firstRowFirstColumn="0" w:firstRowLastColumn="0" w:lastRowFirstColumn="0" w:lastRowLastColumn="0"/>
            </w:pPr>
            <w:proofErr w:type="spellStart"/>
            <w:r w:rsidRPr="005F62F4">
              <w:t>Lyka</w:t>
            </w:r>
            <w:proofErr w:type="spellEnd"/>
            <w:r w:rsidRPr="005F62F4">
              <w:t xml:space="preserve"> Smith Patient Specific Guides</w:t>
            </w:r>
          </w:p>
        </w:tc>
        <w:tc>
          <w:tcPr>
            <w:tcW w:w="1417" w:type="dxa"/>
          </w:tcPr>
          <w:p w14:paraId="40F526F2" w14:textId="4F51110B" w:rsidR="00985DE2" w:rsidRPr="005F62F4" w:rsidRDefault="00104F58" w:rsidP="00A579A7">
            <w:pPr>
              <w:pStyle w:val="TableText"/>
              <w:cnfStyle w:val="000000000000" w:firstRow="0" w:lastRow="0" w:firstColumn="0" w:lastColumn="0" w:oddVBand="0" w:evenVBand="0" w:oddHBand="0" w:evenHBand="0" w:firstRowFirstColumn="0" w:firstRowLastColumn="0" w:lastRowFirstColumn="0" w:lastRowLastColumn="0"/>
            </w:pPr>
            <w:r w:rsidRPr="005F62F4">
              <w:t>293845</w:t>
            </w:r>
          </w:p>
        </w:tc>
        <w:tc>
          <w:tcPr>
            <w:tcW w:w="3380" w:type="dxa"/>
          </w:tcPr>
          <w:p w14:paraId="56148EAA" w14:textId="52D5D52A" w:rsidR="00495237" w:rsidRPr="005F62F4" w:rsidRDefault="00A71160" w:rsidP="00A579A7">
            <w:pPr>
              <w:pStyle w:val="TableText"/>
              <w:cnfStyle w:val="000000000000" w:firstRow="0" w:lastRow="0" w:firstColumn="0" w:lastColumn="0" w:oddVBand="0" w:evenVBand="0" w:oddHBand="0" w:evenHBand="0" w:firstRowFirstColumn="0" w:firstRowLastColumn="0" w:lastRowFirstColumn="0" w:lastRowLastColumn="0"/>
            </w:pPr>
            <w:r w:rsidRPr="005F62F4">
              <w:t>Intended for reconstruction of painful and/or severely disabled temporomandibular joints. The system consists of fixation screws, fixation plate, custom</w:t>
            </w:r>
            <w:r w:rsidR="00440E0F">
              <w:t>-</w:t>
            </w:r>
            <w:r w:rsidRPr="005F62F4">
              <w:t>made fossa component, custom</w:t>
            </w:r>
            <w:r w:rsidR="00440E0F">
              <w:t>-</w:t>
            </w:r>
            <w:r w:rsidRPr="005F62F4">
              <w:t>made fossa bearing component, custom</w:t>
            </w:r>
            <w:r w:rsidR="00440E0F">
              <w:t>-</w:t>
            </w:r>
            <w:r w:rsidRPr="005F62F4">
              <w:t>made condylar ramus component, custom</w:t>
            </w:r>
            <w:r w:rsidR="00440E0F">
              <w:t>-</w:t>
            </w:r>
            <w:r w:rsidRPr="005F62F4">
              <w:t>made plate, custom</w:t>
            </w:r>
            <w:r w:rsidR="00440E0F">
              <w:t>-</w:t>
            </w:r>
            <w:r w:rsidRPr="005F62F4">
              <w:t>made surgical guides and custom</w:t>
            </w:r>
            <w:r w:rsidR="00440E0F">
              <w:t>-</w:t>
            </w:r>
            <w:r w:rsidRPr="005F62F4">
              <w:t xml:space="preserve">made </w:t>
            </w:r>
            <w:proofErr w:type="spellStart"/>
            <w:r w:rsidRPr="005F62F4">
              <w:t>biomodel</w:t>
            </w:r>
            <w:proofErr w:type="spellEnd"/>
            <w:r w:rsidRPr="005F62F4">
              <w:t>.</w:t>
            </w:r>
          </w:p>
        </w:tc>
        <w:tc>
          <w:tcPr>
            <w:tcW w:w="1275" w:type="dxa"/>
          </w:tcPr>
          <w:p w14:paraId="6676DAA3" w14:textId="6F03210F" w:rsidR="008E0271" w:rsidRPr="005F62F4" w:rsidRDefault="008E0271" w:rsidP="00AF6512">
            <w:pPr>
              <w:pStyle w:val="TableText"/>
              <w:jc w:val="center"/>
              <w:cnfStyle w:val="000000000000" w:firstRow="0" w:lastRow="0" w:firstColumn="0" w:lastColumn="0" w:oddVBand="0" w:evenVBand="0" w:oddHBand="0" w:evenHBand="0" w:firstRowFirstColumn="0" w:firstRowLastColumn="0" w:lastRowFirstColumn="0" w:lastRowLastColumn="0"/>
            </w:pPr>
            <w:r w:rsidRPr="005F62F4">
              <w:t>Yes</w:t>
            </w:r>
          </w:p>
        </w:tc>
        <w:tc>
          <w:tcPr>
            <w:tcW w:w="851" w:type="dxa"/>
          </w:tcPr>
          <w:p w14:paraId="2C453525" w14:textId="51A23E4D" w:rsidR="00262AD1" w:rsidRPr="005F62F4" w:rsidRDefault="00873F4D" w:rsidP="00AF6512">
            <w:pPr>
              <w:pStyle w:val="TableText"/>
              <w:jc w:val="right"/>
              <w:cnfStyle w:val="000000000000" w:firstRow="0" w:lastRow="0" w:firstColumn="0" w:lastColumn="0" w:oddVBand="0" w:evenVBand="0" w:oddHBand="0" w:evenHBand="0" w:firstRowFirstColumn="0" w:firstRowLastColumn="0" w:lastRowFirstColumn="0" w:lastRowLastColumn="0"/>
            </w:pPr>
            <w:r w:rsidRPr="005F62F4">
              <w:t>$2,011</w:t>
            </w:r>
          </w:p>
        </w:tc>
      </w:tr>
    </w:tbl>
    <w:p w14:paraId="42E7429A" w14:textId="1BB6742F" w:rsidR="008F4DC6" w:rsidRPr="005F62F4" w:rsidRDefault="00E56C05" w:rsidP="00181065">
      <w:pPr>
        <w:pStyle w:val="Para"/>
      </w:pPr>
      <w:bookmarkStart w:id="263" w:name="_Toc129954659"/>
      <w:r w:rsidRPr="005F62F4">
        <w:t>Table </w:t>
      </w:r>
      <w:r w:rsidRPr="005F62F4">
        <w:fldChar w:fldCharType="begin"/>
      </w:r>
      <w:r w:rsidRPr="005F62F4">
        <w:instrText>SEQ Table \* ARABIC</w:instrText>
      </w:r>
      <w:r w:rsidRPr="005F62F4">
        <w:fldChar w:fldCharType="separate"/>
      </w:r>
      <w:r w:rsidR="005606BF">
        <w:rPr>
          <w:noProof/>
        </w:rPr>
        <w:t>22</w:t>
      </w:r>
      <w:r w:rsidRPr="005F62F4">
        <w:fldChar w:fldCharType="end"/>
      </w:r>
      <w:r w:rsidR="008F4DC6" w:rsidRPr="005F62F4">
        <w:t xml:space="preserve">: Anatomical </w:t>
      </w:r>
      <w:proofErr w:type="spellStart"/>
      <w:r w:rsidR="008F4DC6" w:rsidRPr="005F62F4">
        <w:t>biomodels</w:t>
      </w:r>
      <w:proofErr w:type="spellEnd"/>
      <w:r w:rsidR="008F4DC6" w:rsidRPr="005F62F4">
        <w:t xml:space="preserve"> (07.02.09)</w:t>
      </w:r>
      <w:bookmarkEnd w:id="263"/>
    </w:p>
    <w:tbl>
      <w:tblPr>
        <w:tblStyle w:val="SGB"/>
        <w:tblW w:w="9356" w:type="dxa"/>
        <w:tblLayout w:type="fixed"/>
        <w:tblLook w:val="04A0" w:firstRow="1" w:lastRow="0" w:firstColumn="1" w:lastColumn="0" w:noHBand="0" w:noVBand="1"/>
      </w:tblPr>
      <w:tblGrid>
        <w:gridCol w:w="1134"/>
        <w:gridCol w:w="1247"/>
        <w:gridCol w:w="1417"/>
        <w:gridCol w:w="3432"/>
        <w:gridCol w:w="1275"/>
        <w:gridCol w:w="851"/>
      </w:tblGrid>
      <w:tr w:rsidR="00A353E6" w:rsidRPr="005F62F4" w14:paraId="23824349" w14:textId="5D2CF462" w:rsidTr="0058693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6727BE2D" w14:textId="77777777" w:rsidR="00023052" w:rsidRPr="005F62F4" w:rsidRDefault="00023052" w:rsidP="0023740C">
            <w:pPr>
              <w:pStyle w:val="Tabletextkeep"/>
              <w:rPr>
                <w:sz w:val="20"/>
              </w:rPr>
            </w:pPr>
            <w:bookmarkStart w:id="264" w:name="ColumnTitle_24"/>
            <w:r w:rsidRPr="005F62F4">
              <w:rPr>
                <w:sz w:val="20"/>
              </w:rPr>
              <w:t>Sponsor</w:t>
            </w:r>
          </w:p>
        </w:tc>
        <w:tc>
          <w:tcPr>
            <w:tcW w:w="1247" w:type="dxa"/>
          </w:tcPr>
          <w:p w14:paraId="7AB7ACDF" w14:textId="77777777" w:rsidR="00023052" w:rsidRPr="005F62F4" w:rsidRDefault="00023052" w:rsidP="0023740C">
            <w:pPr>
              <w:pStyle w:val="Tabletextkeep"/>
              <w:cnfStyle w:val="100000000000" w:firstRow="1" w:lastRow="0" w:firstColumn="0" w:lastColumn="0" w:oddVBand="0" w:evenVBand="0" w:oddHBand="0" w:evenHBand="0" w:firstRowFirstColumn="0" w:firstRowLastColumn="0" w:lastRowFirstColumn="0" w:lastRowLastColumn="0"/>
              <w:rPr>
                <w:sz w:val="20"/>
              </w:rPr>
            </w:pPr>
            <w:r w:rsidRPr="005F62F4">
              <w:rPr>
                <w:sz w:val="20"/>
              </w:rPr>
              <w:t>Product name</w:t>
            </w:r>
          </w:p>
        </w:tc>
        <w:tc>
          <w:tcPr>
            <w:tcW w:w="1417" w:type="dxa"/>
          </w:tcPr>
          <w:p w14:paraId="09BBDE0F" w14:textId="47BF89A8" w:rsidR="00985DE2" w:rsidRPr="005F62F4" w:rsidRDefault="00985DE2" w:rsidP="0023740C">
            <w:pPr>
              <w:pStyle w:val="Tabletextkeep"/>
              <w:cnfStyle w:val="100000000000" w:firstRow="1" w:lastRow="0" w:firstColumn="0" w:lastColumn="0" w:oddVBand="0" w:evenVBand="0" w:oddHBand="0" w:evenHBand="0" w:firstRowFirstColumn="0" w:firstRowLastColumn="0" w:lastRowFirstColumn="0" w:lastRowLastColumn="0"/>
              <w:rPr>
                <w:sz w:val="20"/>
              </w:rPr>
            </w:pPr>
            <w:r w:rsidRPr="005F62F4">
              <w:rPr>
                <w:sz w:val="20"/>
              </w:rPr>
              <w:t>ARTG Identification Number</w:t>
            </w:r>
          </w:p>
        </w:tc>
        <w:tc>
          <w:tcPr>
            <w:tcW w:w="3432" w:type="dxa"/>
          </w:tcPr>
          <w:p w14:paraId="736FCFC2" w14:textId="7FBD9FBD" w:rsidR="00023052" w:rsidRPr="005F62F4" w:rsidRDefault="00985DE2" w:rsidP="0023740C">
            <w:pPr>
              <w:pStyle w:val="Tabletextkeep"/>
              <w:cnfStyle w:val="100000000000" w:firstRow="1" w:lastRow="0" w:firstColumn="0" w:lastColumn="0" w:oddVBand="0" w:evenVBand="0" w:oddHBand="0" w:evenHBand="0" w:firstRowFirstColumn="0" w:firstRowLastColumn="0" w:lastRowFirstColumn="0" w:lastRowLastColumn="0"/>
              <w:rPr>
                <w:sz w:val="20"/>
              </w:rPr>
            </w:pPr>
            <w:r w:rsidRPr="005F62F4">
              <w:rPr>
                <w:sz w:val="20"/>
              </w:rPr>
              <w:t xml:space="preserve">ARTG </w:t>
            </w:r>
            <w:r w:rsidR="0023740C" w:rsidRPr="005F62F4">
              <w:rPr>
                <w:sz w:val="20"/>
              </w:rPr>
              <w:t>i</w:t>
            </w:r>
            <w:r w:rsidR="00AA391A" w:rsidRPr="005F62F4">
              <w:rPr>
                <w:sz w:val="20"/>
              </w:rPr>
              <w:t xml:space="preserve">ntended </w:t>
            </w:r>
            <w:r w:rsidR="0023740C" w:rsidRPr="005F62F4">
              <w:rPr>
                <w:sz w:val="20"/>
              </w:rPr>
              <w:t>p</w:t>
            </w:r>
            <w:r w:rsidR="00AA391A" w:rsidRPr="005F62F4">
              <w:rPr>
                <w:sz w:val="20"/>
              </w:rPr>
              <w:t>urpose</w:t>
            </w:r>
          </w:p>
        </w:tc>
        <w:tc>
          <w:tcPr>
            <w:tcW w:w="1275" w:type="dxa"/>
          </w:tcPr>
          <w:p w14:paraId="6C32237D" w14:textId="25373C4F" w:rsidR="008E0271" w:rsidRPr="005F62F4" w:rsidRDefault="008E0271" w:rsidP="0023740C">
            <w:pPr>
              <w:pStyle w:val="TableTextCentred"/>
              <w:cnfStyle w:val="100000000000" w:firstRow="1" w:lastRow="0" w:firstColumn="0" w:lastColumn="0" w:oddVBand="0" w:evenVBand="0" w:oddHBand="0" w:evenHBand="0" w:firstRowFirstColumn="0" w:firstRowLastColumn="0" w:lastRowFirstColumn="0" w:lastRowLastColumn="0"/>
              <w:rPr>
                <w:sz w:val="20"/>
                <w:szCs w:val="20"/>
              </w:rPr>
            </w:pPr>
            <w:r w:rsidRPr="005F62F4">
              <w:rPr>
                <w:sz w:val="20"/>
                <w:szCs w:val="20"/>
              </w:rPr>
              <w:t>Includes prostheses</w:t>
            </w:r>
            <w:r w:rsidR="004C35D1" w:rsidRPr="005F62F4">
              <w:rPr>
                <w:sz w:val="20"/>
                <w:szCs w:val="20"/>
              </w:rPr>
              <w:t xml:space="preserve"> as part of kit/</w:t>
            </w:r>
            <w:r w:rsidR="0023740C" w:rsidRPr="005F62F4">
              <w:rPr>
                <w:sz w:val="20"/>
                <w:szCs w:val="20"/>
              </w:rPr>
              <w:t>‌</w:t>
            </w:r>
            <w:r w:rsidR="004C35D1" w:rsidRPr="005F62F4">
              <w:rPr>
                <w:sz w:val="20"/>
                <w:szCs w:val="20"/>
              </w:rPr>
              <w:t>system?</w:t>
            </w:r>
          </w:p>
        </w:tc>
        <w:tc>
          <w:tcPr>
            <w:tcW w:w="851" w:type="dxa"/>
          </w:tcPr>
          <w:p w14:paraId="56620694" w14:textId="738FAD43" w:rsidR="00873F4D" w:rsidRPr="005F62F4" w:rsidRDefault="00873F4D" w:rsidP="00105877">
            <w:pPr>
              <w:pStyle w:val="TableTextRight"/>
              <w:cnfStyle w:val="100000000000" w:firstRow="1" w:lastRow="0" w:firstColumn="0" w:lastColumn="0" w:oddVBand="0" w:evenVBand="0" w:oddHBand="0" w:evenHBand="0" w:firstRowFirstColumn="0" w:firstRowLastColumn="0" w:lastRowFirstColumn="0" w:lastRowLastColumn="0"/>
              <w:rPr>
                <w:sz w:val="20"/>
              </w:rPr>
            </w:pPr>
            <w:r w:rsidRPr="005F62F4">
              <w:rPr>
                <w:sz w:val="20"/>
              </w:rPr>
              <w:t>Benefit</w:t>
            </w:r>
          </w:p>
        </w:tc>
      </w:tr>
      <w:bookmarkEnd w:id="264"/>
      <w:tr w:rsidR="00961700" w:rsidRPr="005F62F4" w14:paraId="15C87B6C" w14:textId="4662984D" w:rsidTr="00586936">
        <w:tc>
          <w:tcPr>
            <w:cnfStyle w:val="001000000000" w:firstRow="0" w:lastRow="0" w:firstColumn="1" w:lastColumn="0" w:oddVBand="0" w:evenVBand="0" w:oddHBand="0" w:evenHBand="0" w:firstRowFirstColumn="0" w:firstRowLastColumn="0" w:lastRowFirstColumn="0" w:lastRowLastColumn="0"/>
            <w:tcW w:w="1134" w:type="dxa"/>
          </w:tcPr>
          <w:p w14:paraId="238A7F52" w14:textId="5109BF1B" w:rsidR="00961700" w:rsidRPr="005F62F4" w:rsidRDefault="00961700" w:rsidP="00961700">
            <w:pPr>
              <w:rPr>
                <w:rStyle w:val="Strong"/>
                <w:b/>
                <w:sz w:val="20"/>
              </w:rPr>
            </w:pPr>
            <w:proofErr w:type="spellStart"/>
            <w:r w:rsidRPr="005F62F4">
              <w:rPr>
                <w:rStyle w:val="Strong"/>
                <w:b/>
                <w:sz w:val="20"/>
              </w:rPr>
              <w:t>Anatomics</w:t>
            </w:r>
            <w:proofErr w:type="spellEnd"/>
            <w:r w:rsidRPr="005F62F4">
              <w:rPr>
                <w:rStyle w:val="Strong"/>
                <w:b/>
                <w:sz w:val="20"/>
              </w:rPr>
              <w:t xml:space="preserve"> Pty Ltd</w:t>
            </w:r>
          </w:p>
        </w:tc>
        <w:tc>
          <w:tcPr>
            <w:tcW w:w="1247" w:type="dxa"/>
          </w:tcPr>
          <w:p w14:paraId="13433985" w14:textId="7DF543D9" w:rsidR="00961700" w:rsidRPr="005F62F4" w:rsidRDefault="00961700" w:rsidP="0043244F">
            <w:pPr>
              <w:pStyle w:val="TableText"/>
              <w:cnfStyle w:val="000000000000" w:firstRow="0" w:lastRow="0" w:firstColumn="0" w:lastColumn="0" w:oddVBand="0" w:evenVBand="0" w:oddHBand="0" w:evenHBand="0" w:firstRowFirstColumn="0" w:firstRowLastColumn="0" w:lastRowFirstColumn="0" w:lastRowLastColumn="0"/>
              <w:rPr>
                <w:sz w:val="20"/>
              </w:rPr>
            </w:pPr>
            <w:proofErr w:type="spellStart"/>
            <w:r w:rsidRPr="005F62F4">
              <w:rPr>
                <w:sz w:val="20"/>
              </w:rPr>
              <w:t>Anatomics</w:t>
            </w:r>
            <w:proofErr w:type="spellEnd"/>
            <w:r w:rsidRPr="005F62F4">
              <w:rPr>
                <w:sz w:val="20"/>
              </w:rPr>
              <w:t xml:space="preserve"> </w:t>
            </w:r>
            <w:proofErr w:type="spellStart"/>
            <w:r w:rsidRPr="005F62F4">
              <w:rPr>
                <w:sz w:val="20"/>
              </w:rPr>
              <w:t>Biomodel</w:t>
            </w:r>
            <w:proofErr w:type="spellEnd"/>
          </w:p>
        </w:tc>
        <w:tc>
          <w:tcPr>
            <w:tcW w:w="1417" w:type="dxa"/>
          </w:tcPr>
          <w:p w14:paraId="412C0238" w14:textId="572A7503" w:rsidR="00985DE2" w:rsidRPr="005F62F4" w:rsidRDefault="00C37CBA" w:rsidP="0043244F">
            <w:pPr>
              <w:pStyle w:val="TableText"/>
              <w:cnfStyle w:val="000000000000" w:firstRow="0" w:lastRow="0" w:firstColumn="0" w:lastColumn="0" w:oddVBand="0" w:evenVBand="0" w:oddHBand="0" w:evenHBand="0" w:firstRowFirstColumn="0" w:firstRowLastColumn="0" w:lastRowFirstColumn="0" w:lastRowLastColumn="0"/>
              <w:rPr>
                <w:sz w:val="20"/>
              </w:rPr>
            </w:pPr>
            <w:r w:rsidRPr="005F62F4">
              <w:rPr>
                <w:sz w:val="20"/>
              </w:rPr>
              <w:t>288564</w:t>
            </w:r>
          </w:p>
        </w:tc>
        <w:tc>
          <w:tcPr>
            <w:tcW w:w="3432" w:type="dxa"/>
          </w:tcPr>
          <w:p w14:paraId="150256CC" w14:textId="0185E8E7" w:rsidR="00961700" w:rsidRPr="005F62F4" w:rsidRDefault="00E44EC4" w:rsidP="00E45B3C">
            <w:pPr>
              <w:pStyle w:val="TableText"/>
              <w:cnfStyle w:val="000000000000" w:firstRow="0" w:lastRow="0" w:firstColumn="0" w:lastColumn="0" w:oddVBand="0" w:evenVBand="0" w:oddHBand="0" w:evenHBand="0" w:firstRowFirstColumn="0" w:firstRowLastColumn="0" w:lastRowFirstColumn="0" w:lastRowLastColumn="0"/>
              <w:rPr>
                <w:sz w:val="20"/>
              </w:rPr>
            </w:pPr>
            <w:r w:rsidRPr="005F62F4">
              <w:rPr>
                <w:sz w:val="20"/>
              </w:rPr>
              <w:t>Intended for the replacement or augmentation of bony defects in the craniofacial skeleton. This kit includes a customised</w:t>
            </w:r>
            <w:r w:rsidR="00FE7408" w:rsidRPr="005F62F4">
              <w:rPr>
                <w:sz w:val="20"/>
              </w:rPr>
              <w:t xml:space="preserve"> </w:t>
            </w:r>
            <w:r w:rsidRPr="005F62F4">
              <w:rPr>
                <w:sz w:val="20"/>
              </w:rPr>
              <w:t xml:space="preserve">craniofacial implant, </w:t>
            </w:r>
            <w:r w:rsidRPr="005F62F4">
              <w:rPr>
                <w:rStyle w:val="Strong"/>
                <w:sz w:val="20"/>
              </w:rPr>
              <w:t xml:space="preserve">customised anatomical </w:t>
            </w:r>
            <w:proofErr w:type="spellStart"/>
            <w:r w:rsidRPr="005F62F4">
              <w:rPr>
                <w:rStyle w:val="Strong"/>
                <w:sz w:val="20"/>
              </w:rPr>
              <w:t>biomodel</w:t>
            </w:r>
            <w:proofErr w:type="spellEnd"/>
            <w:r w:rsidRPr="005F62F4">
              <w:rPr>
                <w:sz w:val="20"/>
              </w:rPr>
              <w:t>, fixation plates and screws.</w:t>
            </w:r>
          </w:p>
        </w:tc>
        <w:tc>
          <w:tcPr>
            <w:tcW w:w="1275" w:type="dxa"/>
          </w:tcPr>
          <w:p w14:paraId="6BB59AB4" w14:textId="2A829CFE" w:rsidR="008E0271" w:rsidRPr="005F62F4" w:rsidRDefault="008E0271" w:rsidP="008E0271">
            <w:pPr>
              <w:pStyle w:val="TableTextRight"/>
              <w:jc w:val="center"/>
              <w:cnfStyle w:val="000000000000" w:firstRow="0" w:lastRow="0" w:firstColumn="0" w:lastColumn="0" w:oddVBand="0" w:evenVBand="0" w:oddHBand="0" w:evenHBand="0" w:firstRowFirstColumn="0" w:firstRowLastColumn="0" w:lastRowFirstColumn="0" w:lastRowLastColumn="0"/>
              <w:rPr>
                <w:sz w:val="20"/>
                <w:lang w:val="en-AU"/>
              </w:rPr>
            </w:pPr>
            <w:r w:rsidRPr="005F62F4">
              <w:rPr>
                <w:sz w:val="20"/>
                <w:lang w:val="en-AU"/>
              </w:rPr>
              <w:t>Yes</w:t>
            </w:r>
          </w:p>
        </w:tc>
        <w:tc>
          <w:tcPr>
            <w:tcW w:w="851" w:type="dxa"/>
          </w:tcPr>
          <w:p w14:paraId="3B89FB34" w14:textId="51B4F2A9" w:rsidR="00873F4D" w:rsidRPr="005F62F4" w:rsidRDefault="00DC019E" w:rsidP="00105877">
            <w:pPr>
              <w:pStyle w:val="TableTextRight"/>
              <w:cnfStyle w:val="000000000000" w:firstRow="0" w:lastRow="0" w:firstColumn="0" w:lastColumn="0" w:oddVBand="0" w:evenVBand="0" w:oddHBand="0" w:evenHBand="0" w:firstRowFirstColumn="0" w:firstRowLastColumn="0" w:lastRowFirstColumn="0" w:lastRowLastColumn="0"/>
              <w:rPr>
                <w:sz w:val="20"/>
                <w:lang w:val="en-AU"/>
              </w:rPr>
            </w:pPr>
            <w:r w:rsidRPr="005F62F4">
              <w:rPr>
                <w:sz w:val="20"/>
                <w:lang w:val="en-AU"/>
              </w:rPr>
              <w:t>$1,829</w:t>
            </w:r>
          </w:p>
        </w:tc>
      </w:tr>
      <w:tr w:rsidR="00961700" w:rsidRPr="005F62F4" w14:paraId="46BD38FA" w14:textId="7408F4D6" w:rsidTr="0058693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12BD36EB" w14:textId="324CAC5C" w:rsidR="00961700" w:rsidRPr="005F62F4" w:rsidRDefault="00961700" w:rsidP="00961700">
            <w:pPr>
              <w:rPr>
                <w:rStyle w:val="Strong"/>
                <w:b/>
                <w:sz w:val="20"/>
              </w:rPr>
            </w:pPr>
            <w:r w:rsidRPr="005F62F4">
              <w:rPr>
                <w:rStyle w:val="Strong"/>
                <w:b/>
                <w:sz w:val="20"/>
              </w:rPr>
              <w:t xml:space="preserve">Digital Dental Network PTY LTD </w:t>
            </w:r>
          </w:p>
        </w:tc>
        <w:tc>
          <w:tcPr>
            <w:tcW w:w="1247" w:type="dxa"/>
          </w:tcPr>
          <w:p w14:paraId="7FF0A11F" w14:textId="427D099B" w:rsidR="00961700" w:rsidRPr="005F62F4" w:rsidRDefault="00961700" w:rsidP="0043244F">
            <w:pPr>
              <w:pStyle w:val="TableText"/>
              <w:cnfStyle w:val="000000010000" w:firstRow="0" w:lastRow="0" w:firstColumn="0" w:lastColumn="0" w:oddVBand="0" w:evenVBand="0" w:oddHBand="0" w:evenHBand="1" w:firstRowFirstColumn="0" w:firstRowLastColumn="0" w:lastRowFirstColumn="0" w:lastRowLastColumn="0"/>
              <w:rPr>
                <w:sz w:val="20"/>
              </w:rPr>
            </w:pPr>
            <w:r w:rsidRPr="005F62F4">
              <w:rPr>
                <w:sz w:val="20"/>
              </w:rPr>
              <w:t xml:space="preserve">DDN </w:t>
            </w:r>
            <w:proofErr w:type="spellStart"/>
            <w:r w:rsidRPr="005F62F4">
              <w:rPr>
                <w:sz w:val="20"/>
              </w:rPr>
              <w:t>Biomodel</w:t>
            </w:r>
            <w:proofErr w:type="spellEnd"/>
          </w:p>
        </w:tc>
        <w:tc>
          <w:tcPr>
            <w:tcW w:w="1417" w:type="dxa"/>
          </w:tcPr>
          <w:p w14:paraId="0607E33B" w14:textId="6E25256B" w:rsidR="00985DE2" w:rsidRPr="005F62F4" w:rsidRDefault="00104F58" w:rsidP="0043244F">
            <w:pPr>
              <w:pStyle w:val="TableText"/>
              <w:cnfStyle w:val="000000010000" w:firstRow="0" w:lastRow="0" w:firstColumn="0" w:lastColumn="0" w:oddVBand="0" w:evenVBand="0" w:oddHBand="0" w:evenHBand="1" w:firstRowFirstColumn="0" w:firstRowLastColumn="0" w:lastRowFirstColumn="0" w:lastRowLastColumn="0"/>
              <w:rPr>
                <w:sz w:val="20"/>
              </w:rPr>
            </w:pPr>
            <w:r w:rsidRPr="005F62F4">
              <w:rPr>
                <w:sz w:val="20"/>
              </w:rPr>
              <w:t>336209</w:t>
            </w:r>
          </w:p>
        </w:tc>
        <w:tc>
          <w:tcPr>
            <w:tcW w:w="3432" w:type="dxa"/>
          </w:tcPr>
          <w:p w14:paraId="4D62149A" w14:textId="61D2C070" w:rsidR="00961700" w:rsidRPr="005F62F4" w:rsidRDefault="00A65E6C" w:rsidP="00E45B3C">
            <w:pPr>
              <w:pStyle w:val="TableText"/>
              <w:cnfStyle w:val="000000010000" w:firstRow="0" w:lastRow="0" w:firstColumn="0" w:lastColumn="0" w:oddVBand="0" w:evenVBand="0" w:oddHBand="0" w:evenHBand="1" w:firstRowFirstColumn="0" w:firstRowLastColumn="0" w:lastRowFirstColumn="0" w:lastRowLastColumn="0"/>
              <w:rPr>
                <w:sz w:val="20"/>
              </w:rPr>
            </w:pPr>
            <w:r w:rsidRPr="005F62F4">
              <w:rPr>
                <w:sz w:val="20"/>
              </w:rPr>
              <w:t>Custom</w:t>
            </w:r>
            <w:r w:rsidR="00440E0F">
              <w:rPr>
                <w:sz w:val="20"/>
              </w:rPr>
              <w:t>-</w:t>
            </w:r>
            <w:r w:rsidRPr="005F62F4">
              <w:rPr>
                <w:sz w:val="20"/>
              </w:rPr>
              <w:t xml:space="preserve">made </w:t>
            </w:r>
            <w:r w:rsidRPr="005F62F4">
              <w:rPr>
                <w:rStyle w:val="Strong"/>
                <w:sz w:val="20"/>
              </w:rPr>
              <w:t>patient-specific and single-use</w:t>
            </w:r>
            <w:r w:rsidRPr="005F62F4">
              <w:rPr>
                <w:sz w:val="20"/>
              </w:rPr>
              <w:t xml:space="preserve"> </w:t>
            </w:r>
            <w:r w:rsidRPr="005F62F4">
              <w:rPr>
                <w:rStyle w:val="Strong"/>
                <w:sz w:val="20"/>
              </w:rPr>
              <w:t xml:space="preserve">guides </w:t>
            </w:r>
            <w:r w:rsidRPr="005F62F4">
              <w:rPr>
                <w:sz w:val="20"/>
              </w:rPr>
              <w:t xml:space="preserve">and </w:t>
            </w:r>
            <w:proofErr w:type="spellStart"/>
            <w:r w:rsidRPr="005F62F4">
              <w:rPr>
                <w:rStyle w:val="Strong"/>
                <w:sz w:val="20"/>
              </w:rPr>
              <w:t>biomodels</w:t>
            </w:r>
            <w:proofErr w:type="spellEnd"/>
            <w:r w:rsidRPr="005F62F4">
              <w:rPr>
                <w:rStyle w:val="Strong"/>
                <w:sz w:val="20"/>
              </w:rPr>
              <w:t xml:space="preserve"> </w:t>
            </w:r>
            <w:r w:rsidRPr="005F62F4">
              <w:rPr>
                <w:sz w:val="20"/>
              </w:rPr>
              <w:t xml:space="preserve">manufactured by </w:t>
            </w:r>
            <w:r w:rsidR="00BB4C7E" w:rsidRPr="005F62F4">
              <w:rPr>
                <w:sz w:val="20"/>
              </w:rPr>
              <w:t>3D</w:t>
            </w:r>
            <w:r w:rsidRPr="005F62F4">
              <w:rPr>
                <w:sz w:val="20"/>
              </w:rPr>
              <w:t xml:space="preserve"> printing, intended to be used by a dental surgeon to assist in anatomical visuali</w:t>
            </w:r>
            <w:r w:rsidR="00B01874" w:rsidRPr="005F62F4">
              <w:rPr>
                <w:sz w:val="20"/>
              </w:rPr>
              <w:t>s</w:t>
            </w:r>
            <w:r w:rsidRPr="005F62F4">
              <w:rPr>
                <w:sz w:val="20"/>
              </w:rPr>
              <w:t>ation</w:t>
            </w:r>
            <w:r w:rsidR="00B01874" w:rsidRPr="005F62F4">
              <w:rPr>
                <w:sz w:val="20"/>
              </w:rPr>
              <w:t xml:space="preserve"> and/or</w:t>
            </w:r>
            <w:r w:rsidRPr="005F62F4">
              <w:rPr>
                <w:sz w:val="20"/>
              </w:rPr>
              <w:t xml:space="preserve"> surgical treatment planning, to guide drilling in the jawbone of a patient during guided dental implantation procedure for dental implant placement/fixation.</w:t>
            </w:r>
          </w:p>
        </w:tc>
        <w:tc>
          <w:tcPr>
            <w:tcW w:w="1275" w:type="dxa"/>
          </w:tcPr>
          <w:p w14:paraId="1EA15DBD" w14:textId="26C02184" w:rsidR="00565500" w:rsidRPr="005F62F4" w:rsidRDefault="00565500" w:rsidP="008E0271">
            <w:pPr>
              <w:pStyle w:val="TableTextRight"/>
              <w:jc w:val="center"/>
              <w:cnfStyle w:val="000000010000" w:firstRow="0" w:lastRow="0" w:firstColumn="0" w:lastColumn="0" w:oddVBand="0" w:evenVBand="0" w:oddHBand="0" w:evenHBand="1" w:firstRowFirstColumn="0" w:firstRowLastColumn="0" w:lastRowFirstColumn="0" w:lastRowLastColumn="0"/>
              <w:rPr>
                <w:sz w:val="20"/>
                <w:lang w:val="en-AU"/>
              </w:rPr>
            </w:pPr>
            <w:r w:rsidRPr="005F62F4">
              <w:rPr>
                <w:sz w:val="20"/>
                <w:lang w:val="en-AU"/>
              </w:rPr>
              <w:t>No</w:t>
            </w:r>
          </w:p>
        </w:tc>
        <w:tc>
          <w:tcPr>
            <w:tcW w:w="851" w:type="dxa"/>
          </w:tcPr>
          <w:p w14:paraId="6AC78EEF" w14:textId="174EDB13" w:rsidR="00873F4D" w:rsidRPr="005F62F4" w:rsidRDefault="00DC019E" w:rsidP="00105877">
            <w:pPr>
              <w:pStyle w:val="TableTextRight"/>
              <w:cnfStyle w:val="000000010000" w:firstRow="0" w:lastRow="0" w:firstColumn="0" w:lastColumn="0" w:oddVBand="0" w:evenVBand="0" w:oddHBand="0" w:evenHBand="1" w:firstRowFirstColumn="0" w:firstRowLastColumn="0" w:lastRowFirstColumn="0" w:lastRowLastColumn="0"/>
              <w:rPr>
                <w:sz w:val="20"/>
                <w:lang w:val="en-AU"/>
              </w:rPr>
            </w:pPr>
            <w:r w:rsidRPr="005F62F4">
              <w:rPr>
                <w:sz w:val="20"/>
                <w:lang w:val="en-AU"/>
              </w:rPr>
              <w:t>$1,829</w:t>
            </w:r>
          </w:p>
        </w:tc>
      </w:tr>
      <w:tr w:rsidR="00961700" w:rsidRPr="005F62F4" w14:paraId="69B3A26C" w14:textId="6C04CB67" w:rsidTr="00586936">
        <w:tc>
          <w:tcPr>
            <w:cnfStyle w:val="001000000000" w:firstRow="0" w:lastRow="0" w:firstColumn="1" w:lastColumn="0" w:oddVBand="0" w:evenVBand="0" w:oddHBand="0" w:evenHBand="0" w:firstRowFirstColumn="0" w:firstRowLastColumn="0" w:lastRowFirstColumn="0" w:lastRowLastColumn="0"/>
            <w:tcW w:w="1134" w:type="dxa"/>
          </w:tcPr>
          <w:p w14:paraId="3EA4728F" w14:textId="0EA60515" w:rsidR="00961700" w:rsidRPr="005F62F4" w:rsidRDefault="00961700" w:rsidP="00961700">
            <w:pPr>
              <w:rPr>
                <w:rStyle w:val="Strong"/>
                <w:b/>
                <w:sz w:val="20"/>
              </w:rPr>
            </w:pPr>
            <w:r w:rsidRPr="005F62F4">
              <w:rPr>
                <w:rStyle w:val="Strong"/>
                <w:b/>
                <w:sz w:val="20"/>
              </w:rPr>
              <w:lastRenderedPageBreak/>
              <w:t>Stryker Australia Pty Ltd</w:t>
            </w:r>
          </w:p>
        </w:tc>
        <w:tc>
          <w:tcPr>
            <w:tcW w:w="1247" w:type="dxa"/>
          </w:tcPr>
          <w:p w14:paraId="45CBAAF8" w14:textId="121DA550" w:rsidR="00961700" w:rsidRPr="005F62F4" w:rsidRDefault="00961700" w:rsidP="0043244F">
            <w:pPr>
              <w:pStyle w:val="TableText"/>
              <w:cnfStyle w:val="000000000000" w:firstRow="0" w:lastRow="0" w:firstColumn="0" w:lastColumn="0" w:oddVBand="0" w:evenVBand="0" w:oddHBand="0" w:evenHBand="0" w:firstRowFirstColumn="0" w:firstRowLastColumn="0" w:lastRowFirstColumn="0" w:lastRowLastColumn="0"/>
              <w:rPr>
                <w:sz w:val="20"/>
              </w:rPr>
            </w:pPr>
            <w:r w:rsidRPr="005F62F4">
              <w:rPr>
                <w:sz w:val="20"/>
              </w:rPr>
              <w:t xml:space="preserve">Stryker anatomical </w:t>
            </w:r>
            <w:proofErr w:type="spellStart"/>
            <w:r w:rsidRPr="005F62F4">
              <w:rPr>
                <w:sz w:val="20"/>
              </w:rPr>
              <w:t>biomodel</w:t>
            </w:r>
            <w:proofErr w:type="spellEnd"/>
            <w:r w:rsidRPr="005F62F4">
              <w:rPr>
                <w:sz w:val="20"/>
              </w:rPr>
              <w:t xml:space="preserve"> for mandible</w:t>
            </w:r>
          </w:p>
        </w:tc>
        <w:tc>
          <w:tcPr>
            <w:tcW w:w="1417" w:type="dxa"/>
          </w:tcPr>
          <w:p w14:paraId="669D7163" w14:textId="327BD789" w:rsidR="00985DE2" w:rsidRPr="005F62F4" w:rsidRDefault="00104F58" w:rsidP="0043244F">
            <w:pPr>
              <w:pStyle w:val="TableText"/>
              <w:cnfStyle w:val="000000000000" w:firstRow="0" w:lastRow="0" w:firstColumn="0" w:lastColumn="0" w:oddVBand="0" w:evenVBand="0" w:oddHBand="0" w:evenHBand="0" w:firstRowFirstColumn="0" w:firstRowLastColumn="0" w:lastRowFirstColumn="0" w:lastRowLastColumn="0"/>
              <w:rPr>
                <w:sz w:val="20"/>
              </w:rPr>
            </w:pPr>
            <w:r w:rsidRPr="005F62F4">
              <w:rPr>
                <w:sz w:val="20"/>
              </w:rPr>
              <w:t>218563</w:t>
            </w:r>
          </w:p>
        </w:tc>
        <w:tc>
          <w:tcPr>
            <w:tcW w:w="3432" w:type="dxa"/>
          </w:tcPr>
          <w:p w14:paraId="316ACFD3" w14:textId="3A03051A" w:rsidR="00961700" w:rsidRPr="005F62F4" w:rsidRDefault="00667227" w:rsidP="00E45B3C">
            <w:pPr>
              <w:pStyle w:val="TableText"/>
              <w:cnfStyle w:val="000000000000" w:firstRow="0" w:lastRow="0" w:firstColumn="0" w:lastColumn="0" w:oddVBand="0" w:evenVBand="0" w:oddHBand="0" w:evenHBand="0" w:firstRowFirstColumn="0" w:firstRowLastColumn="0" w:lastRowFirstColumn="0" w:lastRowLastColumn="0"/>
              <w:rPr>
                <w:sz w:val="20"/>
              </w:rPr>
            </w:pPr>
            <w:r w:rsidRPr="005F62F4">
              <w:rPr>
                <w:sz w:val="20"/>
              </w:rPr>
              <w:t>Intended to be used for rigid internal fixation of primary and secondary mandibular reconstructions.</w:t>
            </w:r>
          </w:p>
        </w:tc>
        <w:tc>
          <w:tcPr>
            <w:tcW w:w="1275" w:type="dxa"/>
          </w:tcPr>
          <w:p w14:paraId="05E84BEA" w14:textId="0A881A3B" w:rsidR="00565500" w:rsidRPr="005F62F4" w:rsidRDefault="00565500" w:rsidP="008E0271">
            <w:pPr>
              <w:pStyle w:val="TableTextRight"/>
              <w:jc w:val="center"/>
              <w:cnfStyle w:val="000000000000" w:firstRow="0" w:lastRow="0" w:firstColumn="0" w:lastColumn="0" w:oddVBand="0" w:evenVBand="0" w:oddHBand="0" w:evenHBand="0" w:firstRowFirstColumn="0" w:firstRowLastColumn="0" w:lastRowFirstColumn="0" w:lastRowLastColumn="0"/>
              <w:rPr>
                <w:sz w:val="20"/>
                <w:lang w:val="en-AU"/>
              </w:rPr>
            </w:pPr>
            <w:r w:rsidRPr="005F62F4">
              <w:rPr>
                <w:sz w:val="20"/>
                <w:lang w:val="en-AU"/>
              </w:rPr>
              <w:t>No</w:t>
            </w:r>
          </w:p>
        </w:tc>
        <w:tc>
          <w:tcPr>
            <w:tcW w:w="851" w:type="dxa"/>
          </w:tcPr>
          <w:p w14:paraId="2C2728A1" w14:textId="25C84BD8" w:rsidR="00873F4D" w:rsidRPr="005F62F4" w:rsidRDefault="00DC019E" w:rsidP="00105877">
            <w:pPr>
              <w:pStyle w:val="TableTextRight"/>
              <w:cnfStyle w:val="000000000000" w:firstRow="0" w:lastRow="0" w:firstColumn="0" w:lastColumn="0" w:oddVBand="0" w:evenVBand="0" w:oddHBand="0" w:evenHBand="0" w:firstRowFirstColumn="0" w:firstRowLastColumn="0" w:lastRowFirstColumn="0" w:lastRowLastColumn="0"/>
              <w:rPr>
                <w:sz w:val="20"/>
                <w:lang w:val="en-AU"/>
              </w:rPr>
            </w:pPr>
            <w:r w:rsidRPr="005F62F4">
              <w:rPr>
                <w:sz w:val="20"/>
                <w:lang w:val="en-AU"/>
              </w:rPr>
              <w:t>$1,829</w:t>
            </w:r>
          </w:p>
        </w:tc>
      </w:tr>
      <w:tr w:rsidR="00961700" w:rsidRPr="005F62F4" w14:paraId="47731504" w14:textId="0BAA9C4F" w:rsidTr="0058693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5BEE25FA" w14:textId="553F9212" w:rsidR="00961700" w:rsidRPr="005F62F4" w:rsidRDefault="00961700" w:rsidP="00961700">
            <w:pPr>
              <w:rPr>
                <w:rStyle w:val="Strong"/>
                <w:b/>
                <w:sz w:val="20"/>
              </w:rPr>
            </w:pPr>
            <w:r w:rsidRPr="005F62F4">
              <w:rPr>
                <w:rStyle w:val="Strong"/>
                <w:b/>
                <w:sz w:val="20"/>
              </w:rPr>
              <w:t>Stryker Australia Pty Ltd</w:t>
            </w:r>
          </w:p>
        </w:tc>
        <w:tc>
          <w:tcPr>
            <w:tcW w:w="1247" w:type="dxa"/>
          </w:tcPr>
          <w:p w14:paraId="5A33D956" w14:textId="02D39928" w:rsidR="00961700" w:rsidRPr="005F62F4" w:rsidRDefault="00961700" w:rsidP="0043244F">
            <w:pPr>
              <w:pStyle w:val="TableText"/>
              <w:cnfStyle w:val="000000010000" w:firstRow="0" w:lastRow="0" w:firstColumn="0" w:lastColumn="0" w:oddVBand="0" w:evenVBand="0" w:oddHBand="0" w:evenHBand="1" w:firstRowFirstColumn="0" w:firstRowLastColumn="0" w:lastRowFirstColumn="0" w:lastRowLastColumn="0"/>
              <w:rPr>
                <w:sz w:val="20"/>
              </w:rPr>
            </w:pPr>
            <w:r w:rsidRPr="005F62F4">
              <w:rPr>
                <w:sz w:val="20"/>
              </w:rPr>
              <w:t xml:space="preserve">Stryker anatomical </w:t>
            </w:r>
            <w:proofErr w:type="spellStart"/>
            <w:r w:rsidRPr="005F62F4">
              <w:rPr>
                <w:sz w:val="20"/>
              </w:rPr>
              <w:t>biomodel</w:t>
            </w:r>
            <w:proofErr w:type="spellEnd"/>
            <w:r w:rsidRPr="005F62F4">
              <w:rPr>
                <w:sz w:val="20"/>
              </w:rPr>
              <w:t xml:space="preserve"> for PEEK</w:t>
            </w:r>
          </w:p>
        </w:tc>
        <w:tc>
          <w:tcPr>
            <w:tcW w:w="1417" w:type="dxa"/>
          </w:tcPr>
          <w:p w14:paraId="3362587E" w14:textId="79B103AE" w:rsidR="00985DE2" w:rsidRPr="005F62F4" w:rsidRDefault="00104F58" w:rsidP="0043244F">
            <w:pPr>
              <w:pStyle w:val="TableText"/>
              <w:cnfStyle w:val="000000010000" w:firstRow="0" w:lastRow="0" w:firstColumn="0" w:lastColumn="0" w:oddVBand="0" w:evenVBand="0" w:oddHBand="0" w:evenHBand="1" w:firstRowFirstColumn="0" w:firstRowLastColumn="0" w:lastRowFirstColumn="0" w:lastRowLastColumn="0"/>
              <w:rPr>
                <w:sz w:val="20"/>
              </w:rPr>
            </w:pPr>
            <w:r w:rsidRPr="005F62F4">
              <w:rPr>
                <w:sz w:val="20"/>
              </w:rPr>
              <w:t>225792</w:t>
            </w:r>
          </w:p>
        </w:tc>
        <w:tc>
          <w:tcPr>
            <w:tcW w:w="3432" w:type="dxa"/>
          </w:tcPr>
          <w:p w14:paraId="12259934" w14:textId="3BAAC7EC" w:rsidR="00961700" w:rsidRPr="005F62F4" w:rsidRDefault="0006402B" w:rsidP="00E45B3C">
            <w:pPr>
              <w:pStyle w:val="TableText"/>
              <w:cnfStyle w:val="000000010000" w:firstRow="0" w:lastRow="0" w:firstColumn="0" w:lastColumn="0" w:oddVBand="0" w:evenVBand="0" w:oddHBand="0" w:evenHBand="1" w:firstRowFirstColumn="0" w:firstRowLastColumn="0" w:lastRowFirstColumn="0" w:lastRowLastColumn="0"/>
              <w:rPr>
                <w:sz w:val="20"/>
              </w:rPr>
            </w:pPr>
            <w:r w:rsidRPr="005F62F4">
              <w:rPr>
                <w:sz w:val="20"/>
              </w:rPr>
              <w:t xml:space="preserve">The PEEK </w:t>
            </w:r>
            <w:r w:rsidR="00B01874" w:rsidRPr="005F62F4">
              <w:rPr>
                <w:sz w:val="20"/>
              </w:rPr>
              <w:t>c</w:t>
            </w:r>
            <w:r w:rsidRPr="005F62F4">
              <w:rPr>
                <w:sz w:val="20"/>
              </w:rPr>
              <w:t>ustomi</w:t>
            </w:r>
            <w:r w:rsidR="00227F48" w:rsidRPr="005F62F4">
              <w:rPr>
                <w:sz w:val="20"/>
              </w:rPr>
              <w:t>s</w:t>
            </w:r>
            <w:r w:rsidRPr="005F62F4">
              <w:rPr>
                <w:sz w:val="20"/>
              </w:rPr>
              <w:t xml:space="preserve">ed cranial implants </w:t>
            </w:r>
            <w:r w:rsidR="00B01874" w:rsidRPr="005F62F4">
              <w:rPr>
                <w:sz w:val="20"/>
              </w:rPr>
              <w:t>k</w:t>
            </w:r>
            <w:r w:rsidRPr="005F62F4">
              <w:rPr>
                <w:sz w:val="20"/>
              </w:rPr>
              <w:t>it is indicated for the augmentation and/or restoration of bony and/or soft tissue deformities in the cranial and craniofacial skeleton.</w:t>
            </w:r>
          </w:p>
        </w:tc>
        <w:tc>
          <w:tcPr>
            <w:tcW w:w="1275" w:type="dxa"/>
          </w:tcPr>
          <w:p w14:paraId="53F4F049" w14:textId="464C0B92" w:rsidR="00794CB0" w:rsidRPr="005F62F4" w:rsidRDefault="00794CB0" w:rsidP="008E0271">
            <w:pPr>
              <w:pStyle w:val="TableTextRight"/>
              <w:jc w:val="center"/>
              <w:cnfStyle w:val="000000010000" w:firstRow="0" w:lastRow="0" w:firstColumn="0" w:lastColumn="0" w:oddVBand="0" w:evenVBand="0" w:oddHBand="0" w:evenHBand="1" w:firstRowFirstColumn="0" w:firstRowLastColumn="0" w:lastRowFirstColumn="0" w:lastRowLastColumn="0"/>
              <w:rPr>
                <w:sz w:val="20"/>
                <w:lang w:val="en-AU"/>
              </w:rPr>
            </w:pPr>
            <w:r w:rsidRPr="005F62F4">
              <w:rPr>
                <w:sz w:val="20"/>
                <w:lang w:val="en-AU"/>
              </w:rPr>
              <w:t>No</w:t>
            </w:r>
          </w:p>
        </w:tc>
        <w:tc>
          <w:tcPr>
            <w:tcW w:w="851" w:type="dxa"/>
          </w:tcPr>
          <w:p w14:paraId="67C74160" w14:textId="751246EC" w:rsidR="00873F4D" w:rsidRPr="005F62F4" w:rsidRDefault="00DC019E" w:rsidP="00105877">
            <w:pPr>
              <w:pStyle w:val="TableTextRight"/>
              <w:cnfStyle w:val="000000010000" w:firstRow="0" w:lastRow="0" w:firstColumn="0" w:lastColumn="0" w:oddVBand="0" w:evenVBand="0" w:oddHBand="0" w:evenHBand="1" w:firstRowFirstColumn="0" w:firstRowLastColumn="0" w:lastRowFirstColumn="0" w:lastRowLastColumn="0"/>
              <w:rPr>
                <w:sz w:val="20"/>
                <w:lang w:val="en-AU"/>
              </w:rPr>
            </w:pPr>
            <w:r w:rsidRPr="005F62F4">
              <w:rPr>
                <w:sz w:val="20"/>
                <w:lang w:val="en-AU"/>
              </w:rPr>
              <w:t>$1,829</w:t>
            </w:r>
          </w:p>
        </w:tc>
      </w:tr>
      <w:tr w:rsidR="00961700" w:rsidRPr="005F62F4" w14:paraId="5C4FF7B7" w14:textId="00841BA2" w:rsidTr="00586936">
        <w:tc>
          <w:tcPr>
            <w:cnfStyle w:val="001000000000" w:firstRow="0" w:lastRow="0" w:firstColumn="1" w:lastColumn="0" w:oddVBand="0" w:evenVBand="0" w:oddHBand="0" w:evenHBand="0" w:firstRowFirstColumn="0" w:firstRowLastColumn="0" w:lastRowFirstColumn="0" w:lastRowLastColumn="0"/>
            <w:tcW w:w="1134" w:type="dxa"/>
          </w:tcPr>
          <w:p w14:paraId="29AE1534" w14:textId="4B8789FE" w:rsidR="00961700" w:rsidRPr="005F62F4" w:rsidRDefault="00961700" w:rsidP="00961700">
            <w:pPr>
              <w:rPr>
                <w:rStyle w:val="Strong"/>
                <w:b/>
                <w:sz w:val="20"/>
              </w:rPr>
            </w:pPr>
            <w:r w:rsidRPr="005F62F4">
              <w:rPr>
                <w:rStyle w:val="Strong"/>
                <w:b/>
                <w:sz w:val="20"/>
              </w:rPr>
              <w:t>Stryker Australia Pty Ltd</w:t>
            </w:r>
          </w:p>
        </w:tc>
        <w:tc>
          <w:tcPr>
            <w:tcW w:w="1247" w:type="dxa"/>
          </w:tcPr>
          <w:p w14:paraId="16702A4F" w14:textId="29C5A1FE" w:rsidR="00961700" w:rsidRPr="005F62F4" w:rsidRDefault="00961700" w:rsidP="0043244F">
            <w:pPr>
              <w:pStyle w:val="TableText"/>
              <w:cnfStyle w:val="000000000000" w:firstRow="0" w:lastRow="0" w:firstColumn="0" w:lastColumn="0" w:oddVBand="0" w:evenVBand="0" w:oddHBand="0" w:evenHBand="0" w:firstRowFirstColumn="0" w:firstRowLastColumn="0" w:lastRowFirstColumn="0" w:lastRowLastColumn="0"/>
              <w:rPr>
                <w:sz w:val="20"/>
              </w:rPr>
            </w:pPr>
            <w:r w:rsidRPr="005F62F4">
              <w:rPr>
                <w:sz w:val="20"/>
              </w:rPr>
              <w:t xml:space="preserve">VSP </w:t>
            </w:r>
            <w:proofErr w:type="spellStart"/>
            <w:r w:rsidRPr="005F62F4">
              <w:rPr>
                <w:sz w:val="20"/>
              </w:rPr>
              <w:t>Orthognathics</w:t>
            </w:r>
            <w:proofErr w:type="spellEnd"/>
            <w:r w:rsidRPr="005F62F4">
              <w:rPr>
                <w:sz w:val="20"/>
              </w:rPr>
              <w:t xml:space="preserve"> Bundle (Custom </w:t>
            </w:r>
            <w:proofErr w:type="spellStart"/>
            <w:r w:rsidRPr="005F62F4">
              <w:rPr>
                <w:sz w:val="20"/>
              </w:rPr>
              <w:t>Biomodel</w:t>
            </w:r>
            <w:proofErr w:type="spellEnd"/>
            <w:r w:rsidRPr="005F62F4">
              <w:rPr>
                <w:sz w:val="20"/>
              </w:rPr>
              <w:t xml:space="preserve"> and Implants)</w:t>
            </w:r>
          </w:p>
        </w:tc>
        <w:tc>
          <w:tcPr>
            <w:tcW w:w="1417" w:type="dxa"/>
          </w:tcPr>
          <w:p w14:paraId="76DD9B15" w14:textId="4EC27AFF" w:rsidR="00985DE2" w:rsidRPr="005F62F4" w:rsidRDefault="00AA391A" w:rsidP="0043244F">
            <w:pPr>
              <w:pStyle w:val="TableText"/>
              <w:cnfStyle w:val="000000000000" w:firstRow="0" w:lastRow="0" w:firstColumn="0" w:lastColumn="0" w:oddVBand="0" w:evenVBand="0" w:oddHBand="0" w:evenHBand="0" w:firstRowFirstColumn="0" w:firstRowLastColumn="0" w:lastRowFirstColumn="0" w:lastRowLastColumn="0"/>
              <w:rPr>
                <w:sz w:val="20"/>
              </w:rPr>
            </w:pPr>
            <w:r w:rsidRPr="005F62F4">
              <w:rPr>
                <w:sz w:val="20"/>
              </w:rPr>
              <w:t>200615</w:t>
            </w:r>
          </w:p>
        </w:tc>
        <w:tc>
          <w:tcPr>
            <w:tcW w:w="3432" w:type="dxa"/>
          </w:tcPr>
          <w:p w14:paraId="6813D7F0" w14:textId="4590DD72" w:rsidR="00961700" w:rsidRPr="005F62F4" w:rsidRDefault="00D17EDE" w:rsidP="00E45B3C">
            <w:pPr>
              <w:pStyle w:val="TableText"/>
              <w:cnfStyle w:val="000000000000" w:firstRow="0" w:lastRow="0" w:firstColumn="0" w:lastColumn="0" w:oddVBand="0" w:evenVBand="0" w:oddHBand="0" w:evenHBand="0" w:firstRowFirstColumn="0" w:firstRowLastColumn="0" w:lastRowFirstColumn="0" w:lastRowLastColumn="0"/>
              <w:rPr>
                <w:sz w:val="20"/>
              </w:rPr>
            </w:pPr>
            <w:r w:rsidRPr="005F62F4">
              <w:rPr>
                <w:sz w:val="20"/>
              </w:rPr>
              <w:t>Intended for reconstruction, stabili</w:t>
            </w:r>
            <w:r w:rsidR="00227F48" w:rsidRPr="005F62F4">
              <w:rPr>
                <w:sz w:val="20"/>
              </w:rPr>
              <w:t>s</w:t>
            </w:r>
            <w:r w:rsidRPr="005F62F4">
              <w:rPr>
                <w:sz w:val="20"/>
              </w:rPr>
              <w:t>ation and/or rigid fixation of non</w:t>
            </w:r>
            <w:r w:rsidR="004E7A48">
              <w:rPr>
                <w:sz w:val="20"/>
              </w:rPr>
              <w:t>-</w:t>
            </w:r>
            <w:r w:rsidRPr="005F62F4">
              <w:rPr>
                <w:sz w:val="20"/>
              </w:rPr>
              <w:t xml:space="preserve">load-bearing bony areas </w:t>
            </w:r>
            <w:proofErr w:type="gramStart"/>
            <w:r w:rsidRPr="005F62F4">
              <w:rPr>
                <w:sz w:val="20"/>
              </w:rPr>
              <w:t>subsequent to</w:t>
            </w:r>
            <w:proofErr w:type="gramEnd"/>
            <w:r w:rsidRPr="005F62F4">
              <w:rPr>
                <w:sz w:val="20"/>
              </w:rPr>
              <w:t xml:space="preserve"> craniotomy, craniectomy and cranial fractures in adults and adolescents (age 12 and </w:t>
            </w:r>
            <w:r w:rsidR="00B01874" w:rsidRPr="005F62F4">
              <w:rPr>
                <w:sz w:val="20"/>
              </w:rPr>
              <w:t>over</w:t>
            </w:r>
            <w:r w:rsidRPr="005F62F4">
              <w:rPr>
                <w:sz w:val="20"/>
              </w:rPr>
              <w:t>).</w:t>
            </w:r>
          </w:p>
        </w:tc>
        <w:tc>
          <w:tcPr>
            <w:tcW w:w="1275" w:type="dxa"/>
          </w:tcPr>
          <w:p w14:paraId="10B0C625" w14:textId="4B76006E" w:rsidR="00794CB0" w:rsidRPr="005F62F4" w:rsidRDefault="00794CB0" w:rsidP="008E0271">
            <w:pPr>
              <w:pStyle w:val="TableTextRight"/>
              <w:jc w:val="center"/>
              <w:cnfStyle w:val="000000000000" w:firstRow="0" w:lastRow="0" w:firstColumn="0" w:lastColumn="0" w:oddVBand="0" w:evenVBand="0" w:oddHBand="0" w:evenHBand="0" w:firstRowFirstColumn="0" w:firstRowLastColumn="0" w:lastRowFirstColumn="0" w:lastRowLastColumn="0"/>
              <w:rPr>
                <w:sz w:val="20"/>
                <w:lang w:val="en-AU"/>
              </w:rPr>
            </w:pPr>
            <w:r w:rsidRPr="005F62F4">
              <w:rPr>
                <w:sz w:val="20"/>
                <w:lang w:val="en-AU"/>
              </w:rPr>
              <w:t>Yes</w:t>
            </w:r>
          </w:p>
        </w:tc>
        <w:tc>
          <w:tcPr>
            <w:tcW w:w="851" w:type="dxa"/>
          </w:tcPr>
          <w:p w14:paraId="66C50C94" w14:textId="2C0D6C92" w:rsidR="00873F4D" w:rsidRPr="005F62F4" w:rsidRDefault="00DC019E" w:rsidP="00105877">
            <w:pPr>
              <w:pStyle w:val="TableTextRight"/>
              <w:cnfStyle w:val="000000000000" w:firstRow="0" w:lastRow="0" w:firstColumn="0" w:lastColumn="0" w:oddVBand="0" w:evenVBand="0" w:oddHBand="0" w:evenHBand="0" w:firstRowFirstColumn="0" w:firstRowLastColumn="0" w:lastRowFirstColumn="0" w:lastRowLastColumn="0"/>
              <w:rPr>
                <w:sz w:val="20"/>
                <w:lang w:val="en-AU"/>
              </w:rPr>
            </w:pPr>
            <w:r w:rsidRPr="005F62F4">
              <w:rPr>
                <w:sz w:val="20"/>
                <w:lang w:val="en-AU"/>
              </w:rPr>
              <w:t>$1,829</w:t>
            </w:r>
          </w:p>
        </w:tc>
      </w:tr>
      <w:tr w:rsidR="00961700" w:rsidRPr="005F62F4" w14:paraId="4FA5237D" w14:textId="712612E0" w:rsidTr="0058693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2753531F" w14:textId="5C0A2F97" w:rsidR="00961700" w:rsidRPr="005F62F4" w:rsidRDefault="00961700" w:rsidP="00961700">
            <w:pPr>
              <w:rPr>
                <w:rStyle w:val="Strong"/>
                <w:b/>
                <w:sz w:val="20"/>
              </w:rPr>
            </w:pPr>
            <w:r w:rsidRPr="005F62F4">
              <w:rPr>
                <w:rStyle w:val="Strong"/>
                <w:b/>
                <w:sz w:val="20"/>
              </w:rPr>
              <w:t>Stryker Australia Pty Ltd</w:t>
            </w:r>
          </w:p>
        </w:tc>
        <w:tc>
          <w:tcPr>
            <w:tcW w:w="1247" w:type="dxa"/>
          </w:tcPr>
          <w:p w14:paraId="42A8A07B" w14:textId="0DD089F4" w:rsidR="00961700" w:rsidRPr="005F62F4" w:rsidRDefault="00961700" w:rsidP="0043244F">
            <w:pPr>
              <w:pStyle w:val="TableText"/>
              <w:cnfStyle w:val="000000010000" w:firstRow="0" w:lastRow="0" w:firstColumn="0" w:lastColumn="0" w:oddVBand="0" w:evenVBand="0" w:oddHBand="0" w:evenHBand="1" w:firstRowFirstColumn="0" w:firstRowLastColumn="0" w:lastRowFirstColumn="0" w:lastRowLastColumn="0"/>
              <w:rPr>
                <w:sz w:val="20"/>
              </w:rPr>
            </w:pPr>
            <w:r w:rsidRPr="005F62F4">
              <w:rPr>
                <w:sz w:val="20"/>
              </w:rPr>
              <w:t xml:space="preserve">VSP Reconstruction Maxillofacial Case Bundle </w:t>
            </w:r>
          </w:p>
        </w:tc>
        <w:tc>
          <w:tcPr>
            <w:tcW w:w="1417" w:type="dxa"/>
          </w:tcPr>
          <w:p w14:paraId="609E7EDD" w14:textId="19DF42F6" w:rsidR="00985DE2" w:rsidRPr="005F62F4" w:rsidRDefault="00AA391A" w:rsidP="0043244F">
            <w:pPr>
              <w:pStyle w:val="TableText"/>
              <w:cnfStyle w:val="000000010000" w:firstRow="0" w:lastRow="0" w:firstColumn="0" w:lastColumn="0" w:oddVBand="0" w:evenVBand="0" w:oddHBand="0" w:evenHBand="1" w:firstRowFirstColumn="0" w:firstRowLastColumn="0" w:lastRowFirstColumn="0" w:lastRowLastColumn="0"/>
              <w:rPr>
                <w:sz w:val="20"/>
              </w:rPr>
            </w:pPr>
            <w:r w:rsidRPr="005F62F4">
              <w:rPr>
                <w:sz w:val="20"/>
              </w:rPr>
              <w:t>200615</w:t>
            </w:r>
          </w:p>
        </w:tc>
        <w:tc>
          <w:tcPr>
            <w:tcW w:w="3432" w:type="dxa"/>
          </w:tcPr>
          <w:p w14:paraId="5A216ED1" w14:textId="18AC17F9" w:rsidR="00961700" w:rsidRPr="005F62F4" w:rsidRDefault="008847CC" w:rsidP="0043244F">
            <w:pPr>
              <w:pStyle w:val="TableText"/>
              <w:cnfStyle w:val="000000010000" w:firstRow="0" w:lastRow="0" w:firstColumn="0" w:lastColumn="0" w:oddVBand="0" w:evenVBand="0" w:oddHBand="0" w:evenHBand="1" w:firstRowFirstColumn="0" w:firstRowLastColumn="0" w:lastRowFirstColumn="0" w:lastRowLastColumn="0"/>
              <w:rPr>
                <w:sz w:val="20"/>
              </w:rPr>
            </w:pPr>
            <w:r w:rsidRPr="005F62F4">
              <w:rPr>
                <w:sz w:val="20"/>
              </w:rPr>
              <w:t>Intended for reconstruction, stabili</w:t>
            </w:r>
            <w:r w:rsidR="00227F48" w:rsidRPr="005F62F4">
              <w:rPr>
                <w:sz w:val="20"/>
              </w:rPr>
              <w:t>s</w:t>
            </w:r>
            <w:r w:rsidRPr="005F62F4">
              <w:rPr>
                <w:sz w:val="20"/>
              </w:rPr>
              <w:t>ation and/or rigid fixation of non</w:t>
            </w:r>
            <w:r w:rsidR="004E7A48">
              <w:rPr>
                <w:sz w:val="20"/>
              </w:rPr>
              <w:t>-</w:t>
            </w:r>
            <w:r w:rsidRPr="005F62F4">
              <w:rPr>
                <w:sz w:val="20"/>
              </w:rPr>
              <w:t xml:space="preserve">load-bearing bony areas </w:t>
            </w:r>
            <w:proofErr w:type="gramStart"/>
            <w:r w:rsidRPr="005F62F4">
              <w:rPr>
                <w:sz w:val="20"/>
              </w:rPr>
              <w:t>subsequent to</w:t>
            </w:r>
            <w:proofErr w:type="gramEnd"/>
            <w:r w:rsidRPr="005F62F4">
              <w:rPr>
                <w:sz w:val="20"/>
              </w:rPr>
              <w:t xml:space="preserve"> craniotomy, craniectomy and cranial fractures in adults and adolescents (age 12 and </w:t>
            </w:r>
            <w:r w:rsidR="00B01874" w:rsidRPr="005F62F4">
              <w:rPr>
                <w:sz w:val="20"/>
              </w:rPr>
              <w:t>over</w:t>
            </w:r>
            <w:r w:rsidRPr="005F62F4">
              <w:rPr>
                <w:sz w:val="20"/>
              </w:rPr>
              <w:t>).</w:t>
            </w:r>
          </w:p>
        </w:tc>
        <w:tc>
          <w:tcPr>
            <w:tcW w:w="1275" w:type="dxa"/>
          </w:tcPr>
          <w:p w14:paraId="5285F852" w14:textId="4EC09D30" w:rsidR="00E8135E" w:rsidRPr="005F62F4" w:rsidRDefault="00E8135E" w:rsidP="008E0271">
            <w:pPr>
              <w:pStyle w:val="TableTextRight"/>
              <w:jc w:val="center"/>
              <w:cnfStyle w:val="000000010000" w:firstRow="0" w:lastRow="0" w:firstColumn="0" w:lastColumn="0" w:oddVBand="0" w:evenVBand="0" w:oddHBand="0" w:evenHBand="1" w:firstRowFirstColumn="0" w:firstRowLastColumn="0" w:lastRowFirstColumn="0" w:lastRowLastColumn="0"/>
              <w:rPr>
                <w:sz w:val="20"/>
                <w:lang w:val="en-AU"/>
              </w:rPr>
            </w:pPr>
            <w:r w:rsidRPr="005F62F4">
              <w:rPr>
                <w:sz w:val="20"/>
                <w:lang w:val="en-AU"/>
              </w:rPr>
              <w:t>No</w:t>
            </w:r>
          </w:p>
        </w:tc>
        <w:tc>
          <w:tcPr>
            <w:tcW w:w="851" w:type="dxa"/>
          </w:tcPr>
          <w:p w14:paraId="784304E3" w14:textId="0C2A5ADC" w:rsidR="00873F4D" w:rsidRPr="005F62F4" w:rsidRDefault="00DC019E" w:rsidP="00105877">
            <w:pPr>
              <w:pStyle w:val="TableTextRight"/>
              <w:cnfStyle w:val="000000010000" w:firstRow="0" w:lastRow="0" w:firstColumn="0" w:lastColumn="0" w:oddVBand="0" w:evenVBand="0" w:oddHBand="0" w:evenHBand="1" w:firstRowFirstColumn="0" w:firstRowLastColumn="0" w:lastRowFirstColumn="0" w:lastRowLastColumn="0"/>
              <w:rPr>
                <w:sz w:val="20"/>
                <w:lang w:val="en-AU"/>
              </w:rPr>
            </w:pPr>
            <w:r w:rsidRPr="005F62F4">
              <w:rPr>
                <w:sz w:val="20"/>
                <w:lang w:val="en-AU"/>
              </w:rPr>
              <w:t>$1,829</w:t>
            </w:r>
          </w:p>
        </w:tc>
      </w:tr>
      <w:tr w:rsidR="00961700" w:rsidRPr="005F62F4" w14:paraId="21C39A3B" w14:textId="51346465" w:rsidTr="00586936">
        <w:tc>
          <w:tcPr>
            <w:cnfStyle w:val="001000000000" w:firstRow="0" w:lastRow="0" w:firstColumn="1" w:lastColumn="0" w:oddVBand="0" w:evenVBand="0" w:oddHBand="0" w:evenHBand="0" w:firstRowFirstColumn="0" w:firstRowLastColumn="0" w:lastRowFirstColumn="0" w:lastRowLastColumn="0"/>
            <w:tcW w:w="1134" w:type="dxa"/>
          </w:tcPr>
          <w:p w14:paraId="62C26964" w14:textId="4F3D8919" w:rsidR="00961700" w:rsidRPr="005F62F4" w:rsidRDefault="00961700" w:rsidP="00961700">
            <w:pPr>
              <w:rPr>
                <w:rStyle w:val="Strong"/>
                <w:b/>
                <w:sz w:val="20"/>
              </w:rPr>
            </w:pPr>
            <w:r w:rsidRPr="005F62F4">
              <w:rPr>
                <w:rStyle w:val="Strong"/>
                <w:b/>
                <w:sz w:val="20"/>
              </w:rPr>
              <w:t>KLS Martin Australia Pty Ltd</w:t>
            </w:r>
          </w:p>
        </w:tc>
        <w:tc>
          <w:tcPr>
            <w:tcW w:w="1247" w:type="dxa"/>
          </w:tcPr>
          <w:p w14:paraId="5751FCD1" w14:textId="06C165F1" w:rsidR="00961700" w:rsidRPr="005F62F4" w:rsidRDefault="00961700" w:rsidP="0043244F">
            <w:pPr>
              <w:pStyle w:val="TableText"/>
              <w:cnfStyle w:val="000000000000" w:firstRow="0" w:lastRow="0" w:firstColumn="0" w:lastColumn="0" w:oddVBand="0" w:evenVBand="0" w:oddHBand="0" w:evenHBand="0" w:firstRowFirstColumn="0" w:firstRowLastColumn="0" w:lastRowFirstColumn="0" w:lastRowLastColumn="0"/>
              <w:rPr>
                <w:sz w:val="20"/>
              </w:rPr>
            </w:pPr>
            <w:r w:rsidRPr="005F62F4">
              <w:rPr>
                <w:sz w:val="20"/>
              </w:rPr>
              <w:t xml:space="preserve">UNIQOS Patient Specific Anatomical </w:t>
            </w:r>
            <w:proofErr w:type="spellStart"/>
            <w:r w:rsidRPr="005F62F4">
              <w:rPr>
                <w:sz w:val="20"/>
              </w:rPr>
              <w:t>Biomodel</w:t>
            </w:r>
            <w:proofErr w:type="spellEnd"/>
            <w:r w:rsidRPr="005F62F4">
              <w:rPr>
                <w:sz w:val="20"/>
              </w:rPr>
              <w:t xml:space="preserve"> </w:t>
            </w:r>
          </w:p>
        </w:tc>
        <w:tc>
          <w:tcPr>
            <w:tcW w:w="1417" w:type="dxa"/>
          </w:tcPr>
          <w:p w14:paraId="51A7DAD5" w14:textId="5FC67322" w:rsidR="00985DE2" w:rsidRPr="005F62F4" w:rsidRDefault="00AA391A" w:rsidP="0043244F">
            <w:pPr>
              <w:pStyle w:val="TableText"/>
              <w:cnfStyle w:val="000000000000" w:firstRow="0" w:lastRow="0" w:firstColumn="0" w:lastColumn="0" w:oddVBand="0" w:evenVBand="0" w:oddHBand="0" w:evenHBand="0" w:firstRowFirstColumn="0" w:firstRowLastColumn="0" w:lastRowFirstColumn="0" w:lastRowLastColumn="0"/>
              <w:rPr>
                <w:sz w:val="20"/>
              </w:rPr>
            </w:pPr>
            <w:r w:rsidRPr="005F62F4">
              <w:rPr>
                <w:sz w:val="20"/>
              </w:rPr>
              <w:t>200232</w:t>
            </w:r>
          </w:p>
        </w:tc>
        <w:tc>
          <w:tcPr>
            <w:tcW w:w="3432" w:type="dxa"/>
          </w:tcPr>
          <w:p w14:paraId="7F5CAF72" w14:textId="4F5EDBC1" w:rsidR="00961700" w:rsidRPr="005F62F4" w:rsidRDefault="00126547" w:rsidP="0043244F">
            <w:pPr>
              <w:pStyle w:val="TableText"/>
              <w:cnfStyle w:val="000000000000" w:firstRow="0" w:lastRow="0" w:firstColumn="0" w:lastColumn="0" w:oddVBand="0" w:evenVBand="0" w:oddHBand="0" w:evenHBand="0" w:firstRowFirstColumn="0" w:firstRowLastColumn="0" w:lastRowFirstColumn="0" w:lastRowLastColumn="0"/>
              <w:rPr>
                <w:sz w:val="20"/>
              </w:rPr>
            </w:pPr>
            <w:r w:rsidRPr="005F62F4">
              <w:rPr>
                <w:sz w:val="20"/>
              </w:rPr>
              <w:t xml:space="preserve">Currently in transition arrangements. No intended purpose listed on the </w:t>
            </w:r>
            <w:r w:rsidR="00D04DE5" w:rsidRPr="005F62F4">
              <w:rPr>
                <w:sz w:val="20"/>
              </w:rPr>
              <w:t>ARTG</w:t>
            </w:r>
            <w:r w:rsidR="00B01874" w:rsidRPr="005F62F4">
              <w:rPr>
                <w:sz w:val="20"/>
              </w:rPr>
              <w:t>.</w:t>
            </w:r>
          </w:p>
        </w:tc>
        <w:tc>
          <w:tcPr>
            <w:tcW w:w="1275" w:type="dxa"/>
          </w:tcPr>
          <w:p w14:paraId="49119712" w14:textId="7AF0AB51" w:rsidR="002825F5" w:rsidRPr="005F62F4" w:rsidRDefault="002825F5" w:rsidP="008E0271">
            <w:pPr>
              <w:pStyle w:val="TableTextRight"/>
              <w:jc w:val="center"/>
              <w:cnfStyle w:val="000000000000" w:firstRow="0" w:lastRow="0" w:firstColumn="0" w:lastColumn="0" w:oddVBand="0" w:evenVBand="0" w:oddHBand="0" w:evenHBand="0" w:firstRowFirstColumn="0" w:firstRowLastColumn="0" w:lastRowFirstColumn="0" w:lastRowLastColumn="0"/>
              <w:rPr>
                <w:sz w:val="20"/>
                <w:lang w:val="en-AU"/>
              </w:rPr>
            </w:pPr>
            <w:r w:rsidRPr="005F62F4">
              <w:rPr>
                <w:sz w:val="20"/>
                <w:lang w:val="en-AU"/>
              </w:rPr>
              <w:t>Not known</w:t>
            </w:r>
          </w:p>
        </w:tc>
        <w:tc>
          <w:tcPr>
            <w:tcW w:w="851" w:type="dxa"/>
          </w:tcPr>
          <w:p w14:paraId="7D165804" w14:textId="166743F8" w:rsidR="00873F4D" w:rsidRPr="005F62F4" w:rsidRDefault="00DC019E" w:rsidP="00105877">
            <w:pPr>
              <w:pStyle w:val="TableTextRight"/>
              <w:cnfStyle w:val="000000000000" w:firstRow="0" w:lastRow="0" w:firstColumn="0" w:lastColumn="0" w:oddVBand="0" w:evenVBand="0" w:oddHBand="0" w:evenHBand="0" w:firstRowFirstColumn="0" w:firstRowLastColumn="0" w:lastRowFirstColumn="0" w:lastRowLastColumn="0"/>
              <w:rPr>
                <w:sz w:val="20"/>
                <w:lang w:val="en-AU"/>
              </w:rPr>
            </w:pPr>
            <w:r w:rsidRPr="005F62F4">
              <w:rPr>
                <w:sz w:val="20"/>
                <w:lang w:val="en-AU"/>
              </w:rPr>
              <w:t>$1,829</w:t>
            </w:r>
          </w:p>
        </w:tc>
      </w:tr>
      <w:tr w:rsidR="00961700" w:rsidRPr="005F62F4" w14:paraId="4A80F434" w14:textId="4DE9A901" w:rsidTr="0058693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0ADD4DCE" w14:textId="2C80C979" w:rsidR="00961700" w:rsidRPr="005F62F4" w:rsidRDefault="00961700" w:rsidP="00961700">
            <w:pPr>
              <w:rPr>
                <w:rStyle w:val="Strong"/>
                <w:b/>
                <w:sz w:val="20"/>
              </w:rPr>
            </w:pPr>
            <w:proofErr w:type="spellStart"/>
            <w:r w:rsidRPr="005F62F4">
              <w:rPr>
                <w:rStyle w:val="Strong"/>
                <w:b/>
                <w:sz w:val="20"/>
              </w:rPr>
              <w:t>Maxoniq</w:t>
            </w:r>
            <w:proofErr w:type="spellEnd"/>
          </w:p>
        </w:tc>
        <w:tc>
          <w:tcPr>
            <w:tcW w:w="1247" w:type="dxa"/>
          </w:tcPr>
          <w:p w14:paraId="66FE8E62" w14:textId="63BDF6E7" w:rsidR="00961700" w:rsidRPr="005F62F4" w:rsidRDefault="00961700" w:rsidP="0043244F">
            <w:pPr>
              <w:pStyle w:val="TableText"/>
              <w:cnfStyle w:val="000000010000" w:firstRow="0" w:lastRow="0" w:firstColumn="0" w:lastColumn="0" w:oddVBand="0" w:evenVBand="0" w:oddHBand="0" w:evenHBand="1" w:firstRowFirstColumn="0" w:firstRowLastColumn="0" w:lastRowFirstColumn="0" w:lastRowLastColumn="0"/>
              <w:rPr>
                <w:sz w:val="20"/>
              </w:rPr>
            </w:pPr>
            <w:r w:rsidRPr="005F62F4">
              <w:rPr>
                <w:sz w:val="20"/>
              </w:rPr>
              <w:t xml:space="preserve">The OMX Solutions </w:t>
            </w:r>
            <w:proofErr w:type="spellStart"/>
            <w:r w:rsidRPr="005F62F4">
              <w:rPr>
                <w:sz w:val="20"/>
              </w:rPr>
              <w:t>Biomodel</w:t>
            </w:r>
            <w:proofErr w:type="spellEnd"/>
            <w:r w:rsidRPr="005F62F4">
              <w:rPr>
                <w:sz w:val="20"/>
              </w:rPr>
              <w:t xml:space="preserve"> </w:t>
            </w:r>
          </w:p>
        </w:tc>
        <w:tc>
          <w:tcPr>
            <w:tcW w:w="1417" w:type="dxa"/>
          </w:tcPr>
          <w:p w14:paraId="6206D56D" w14:textId="6D0EC70B" w:rsidR="00985DE2" w:rsidRPr="005F62F4" w:rsidRDefault="00AA391A" w:rsidP="0043244F">
            <w:pPr>
              <w:pStyle w:val="TableText"/>
              <w:cnfStyle w:val="000000010000" w:firstRow="0" w:lastRow="0" w:firstColumn="0" w:lastColumn="0" w:oddVBand="0" w:evenVBand="0" w:oddHBand="0" w:evenHBand="1" w:firstRowFirstColumn="0" w:firstRowLastColumn="0" w:lastRowFirstColumn="0" w:lastRowLastColumn="0"/>
              <w:rPr>
                <w:sz w:val="20"/>
              </w:rPr>
            </w:pPr>
            <w:r w:rsidRPr="005F62F4">
              <w:rPr>
                <w:sz w:val="20"/>
              </w:rPr>
              <w:t>276753</w:t>
            </w:r>
          </w:p>
        </w:tc>
        <w:tc>
          <w:tcPr>
            <w:tcW w:w="3432" w:type="dxa"/>
          </w:tcPr>
          <w:p w14:paraId="4EA9286E" w14:textId="6B50320C" w:rsidR="00961700" w:rsidRPr="005F62F4" w:rsidRDefault="00875243" w:rsidP="0043244F">
            <w:pPr>
              <w:pStyle w:val="TableText"/>
              <w:cnfStyle w:val="000000010000" w:firstRow="0" w:lastRow="0" w:firstColumn="0" w:lastColumn="0" w:oddVBand="0" w:evenVBand="0" w:oddHBand="0" w:evenHBand="1" w:firstRowFirstColumn="0" w:firstRowLastColumn="0" w:lastRowFirstColumn="0" w:lastRowLastColumn="0"/>
              <w:rPr>
                <w:sz w:val="20"/>
              </w:rPr>
            </w:pPr>
            <w:r w:rsidRPr="005F62F4">
              <w:rPr>
                <w:sz w:val="20"/>
              </w:rPr>
              <w:t>Intended to improve and simplify the performance of surgical interventions by acting as an aid or reference to transfer a preoperative plan to surgery.</w:t>
            </w:r>
          </w:p>
        </w:tc>
        <w:tc>
          <w:tcPr>
            <w:tcW w:w="1275" w:type="dxa"/>
          </w:tcPr>
          <w:p w14:paraId="12D0D314" w14:textId="0B69E6EA" w:rsidR="002825F5" w:rsidRPr="005F62F4" w:rsidRDefault="002825F5" w:rsidP="008E0271">
            <w:pPr>
              <w:pStyle w:val="TableTextRight"/>
              <w:jc w:val="center"/>
              <w:cnfStyle w:val="000000010000" w:firstRow="0" w:lastRow="0" w:firstColumn="0" w:lastColumn="0" w:oddVBand="0" w:evenVBand="0" w:oddHBand="0" w:evenHBand="1" w:firstRowFirstColumn="0" w:firstRowLastColumn="0" w:lastRowFirstColumn="0" w:lastRowLastColumn="0"/>
              <w:rPr>
                <w:sz w:val="20"/>
                <w:lang w:val="en-AU"/>
              </w:rPr>
            </w:pPr>
            <w:r w:rsidRPr="005F62F4">
              <w:rPr>
                <w:sz w:val="20"/>
                <w:lang w:val="en-AU"/>
              </w:rPr>
              <w:t>No</w:t>
            </w:r>
          </w:p>
        </w:tc>
        <w:tc>
          <w:tcPr>
            <w:tcW w:w="851" w:type="dxa"/>
          </w:tcPr>
          <w:p w14:paraId="5078870F" w14:textId="18984438" w:rsidR="00873F4D" w:rsidRPr="005F62F4" w:rsidRDefault="00DC019E" w:rsidP="00105877">
            <w:pPr>
              <w:pStyle w:val="TableTextRight"/>
              <w:cnfStyle w:val="000000010000" w:firstRow="0" w:lastRow="0" w:firstColumn="0" w:lastColumn="0" w:oddVBand="0" w:evenVBand="0" w:oddHBand="0" w:evenHBand="1" w:firstRowFirstColumn="0" w:firstRowLastColumn="0" w:lastRowFirstColumn="0" w:lastRowLastColumn="0"/>
              <w:rPr>
                <w:sz w:val="20"/>
                <w:lang w:val="en-AU"/>
              </w:rPr>
            </w:pPr>
            <w:r w:rsidRPr="005F62F4">
              <w:rPr>
                <w:sz w:val="20"/>
                <w:lang w:val="en-AU"/>
              </w:rPr>
              <w:t>$1,829</w:t>
            </w:r>
          </w:p>
        </w:tc>
      </w:tr>
      <w:tr w:rsidR="00961700" w:rsidRPr="005F62F4" w14:paraId="1DB084D1" w14:textId="56BB8D7C" w:rsidTr="00586936">
        <w:tc>
          <w:tcPr>
            <w:cnfStyle w:val="001000000000" w:firstRow="0" w:lastRow="0" w:firstColumn="1" w:lastColumn="0" w:oddVBand="0" w:evenVBand="0" w:oddHBand="0" w:evenHBand="0" w:firstRowFirstColumn="0" w:firstRowLastColumn="0" w:lastRowFirstColumn="0" w:lastRowLastColumn="0"/>
            <w:tcW w:w="1134" w:type="dxa"/>
          </w:tcPr>
          <w:p w14:paraId="08E67AE1" w14:textId="247F2F7B" w:rsidR="00961700" w:rsidRPr="005F62F4" w:rsidRDefault="00961700" w:rsidP="00961700">
            <w:pPr>
              <w:rPr>
                <w:rStyle w:val="Strong"/>
                <w:b/>
                <w:sz w:val="20"/>
              </w:rPr>
            </w:pPr>
            <w:r w:rsidRPr="005F62F4">
              <w:rPr>
                <w:rStyle w:val="Strong"/>
                <w:b/>
                <w:sz w:val="20"/>
              </w:rPr>
              <w:t>Johnson &amp; Johnson Pty Ltd</w:t>
            </w:r>
          </w:p>
        </w:tc>
        <w:tc>
          <w:tcPr>
            <w:tcW w:w="1247" w:type="dxa"/>
          </w:tcPr>
          <w:p w14:paraId="0D04CA68" w14:textId="3E4D44D2" w:rsidR="00961700" w:rsidRPr="005F62F4" w:rsidRDefault="00961700" w:rsidP="0043244F">
            <w:pPr>
              <w:pStyle w:val="TableText"/>
              <w:cnfStyle w:val="000000000000" w:firstRow="0" w:lastRow="0" w:firstColumn="0" w:lastColumn="0" w:oddVBand="0" w:evenVBand="0" w:oddHBand="0" w:evenHBand="0" w:firstRowFirstColumn="0" w:firstRowLastColumn="0" w:lastRowFirstColumn="0" w:lastRowLastColumn="0"/>
              <w:rPr>
                <w:sz w:val="20"/>
              </w:rPr>
            </w:pPr>
            <w:r w:rsidRPr="005F62F4">
              <w:rPr>
                <w:sz w:val="20"/>
              </w:rPr>
              <w:t>PSI</w:t>
            </w:r>
          </w:p>
        </w:tc>
        <w:tc>
          <w:tcPr>
            <w:tcW w:w="1417" w:type="dxa"/>
          </w:tcPr>
          <w:p w14:paraId="7132BD9F" w14:textId="4AB84C5C" w:rsidR="00985DE2" w:rsidRPr="005F62F4" w:rsidRDefault="00AA391A" w:rsidP="0043244F">
            <w:pPr>
              <w:pStyle w:val="TableText"/>
              <w:cnfStyle w:val="000000000000" w:firstRow="0" w:lastRow="0" w:firstColumn="0" w:lastColumn="0" w:oddVBand="0" w:evenVBand="0" w:oddHBand="0" w:evenHBand="0" w:firstRowFirstColumn="0" w:firstRowLastColumn="0" w:lastRowFirstColumn="0" w:lastRowLastColumn="0"/>
              <w:rPr>
                <w:sz w:val="20"/>
              </w:rPr>
            </w:pPr>
            <w:r w:rsidRPr="005F62F4">
              <w:rPr>
                <w:sz w:val="20"/>
              </w:rPr>
              <w:t>276733</w:t>
            </w:r>
          </w:p>
        </w:tc>
        <w:tc>
          <w:tcPr>
            <w:tcW w:w="3432" w:type="dxa"/>
          </w:tcPr>
          <w:p w14:paraId="0BD5A1E5" w14:textId="525DD623" w:rsidR="00961700" w:rsidRPr="005F62F4" w:rsidRDefault="009A387D" w:rsidP="00961700">
            <w:pPr>
              <w:cnfStyle w:val="000000000000" w:firstRow="0" w:lastRow="0" w:firstColumn="0" w:lastColumn="0" w:oddVBand="0" w:evenVBand="0" w:oddHBand="0" w:evenHBand="0" w:firstRowFirstColumn="0" w:firstRowLastColumn="0" w:lastRowFirstColumn="0" w:lastRowLastColumn="0"/>
              <w:rPr>
                <w:sz w:val="20"/>
              </w:rPr>
            </w:pPr>
            <w:r w:rsidRPr="005F62F4">
              <w:rPr>
                <w:rStyle w:val="TableTextChar"/>
                <w:sz w:val="20"/>
              </w:rPr>
              <w:t xml:space="preserve">A pack that includes a combination of screws, </w:t>
            </w:r>
            <w:r w:rsidRPr="005F62F4">
              <w:rPr>
                <w:rStyle w:val="Strong"/>
                <w:sz w:val="20"/>
              </w:rPr>
              <w:t>custom</w:t>
            </w:r>
            <w:r w:rsidR="00440E0F">
              <w:rPr>
                <w:rStyle w:val="Strong"/>
                <w:sz w:val="20"/>
              </w:rPr>
              <w:t>-</w:t>
            </w:r>
            <w:r w:rsidRPr="005F62F4">
              <w:rPr>
                <w:rStyle w:val="Strong"/>
                <w:sz w:val="20"/>
              </w:rPr>
              <w:t>made surgical guides, anatomical models</w:t>
            </w:r>
            <w:r w:rsidRPr="005F62F4">
              <w:rPr>
                <w:rStyle w:val="TableTextChar"/>
                <w:sz w:val="20"/>
              </w:rPr>
              <w:t xml:space="preserve"> or implants for bone reconstruction, augmentation and fixation in the craniofacial region </w:t>
            </w:r>
            <w:r w:rsidR="00B01874" w:rsidRPr="005F62F4">
              <w:rPr>
                <w:rStyle w:val="TableTextChar"/>
                <w:sz w:val="20"/>
              </w:rPr>
              <w:t>(</w:t>
            </w:r>
            <w:proofErr w:type="spellStart"/>
            <w:r w:rsidRPr="005F62F4">
              <w:rPr>
                <w:rStyle w:val="TableTextChar"/>
                <w:sz w:val="20"/>
              </w:rPr>
              <w:t>e</w:t>
            </w:r>
            <w:r w:rsidR="00B01874" w:rsidRPr="005F62F4">
              <w:rPr>
                <w:rStyle w:val="TableTextChar"/>
                <w:sz w:val="20"/>
              </w:rPr>
              <w:t>.</w:t>
            </w:r>
            <w:r w:rsidRPr="005F62F4">
              <w:rPr>
                <w:rStyle w:val="TableTextChar"/>
                <w:sz w:val="20"/>
              </w:rPr>
              <w:t>g</w:t>
            </w:r>
            <w:proofErr w:type="spellEnd"/>
            <w:r w:rsidRPr="005F62F4">
              <w:rPr>
                <w:rStyle w:val="TableTextChar"/>
                <w:sz w:val="20"/>
              </w:rPr>
              <w:t xml:space="preserve"> craniofacial reconstruction, stabilise fractured bone, </w:t>
            </w:r>
            <w:proofErr w:type="spellStart"/>
            <w:r w:rsidRPr="005F62F4">
              <w:rPr>
                <w:rStyle w:val="TableTextChar"/>
                <w:sz w:val="20"/>
              </w:rPr>
              <w:t>endobrow</w:t>
            </w:r>
            <w:proofErr w:type="spellEnd"/>
            <w:r w:rsidRPr="005F62F4">
              <w:rPr>
                <w:rStyle w:val="TableTextChar"/>
                <w:sz w:val="20"/>
              </w:rPr>
              <w:t xml:space="preserve"> fixation, or craniotomy flap fixation</w:t>
            </w:r>
            <w:r w:rsidR="00B01874" w:rsidRPr="005F62F4">
              <w:rPr>
                <w:rStyle w:val="TableTextChar"/>
                <w:sz w:val="20"/>
              </w:rPr>
              <w:t>)</w:t>
            </w:r>
            <w:r w:rsidRPr="005F62F4">
              <w:rPr>
                <w:rStyle w:val="TableTextChar"/>
                <w:sz w:val="20"/>
              </w:rPr>
              <w:t>.</w:t>
            </w:r>
          </w:p>
        </w:tc>
        <w:tc>
          <w:tcPr>
            <w:tcW w:w="1275" w:type="dxa"/>
          </w:tcPr>
          <w:p w14:paraId="755C7136" w14:textId="44BC38DA" w:rsidR="002825F5" w:rsidRPr="005F62F4" w:rsidRDefault="002825F5" w:rsidP="008E0271">
            <w:pPr>
              <w:pStyle w:val="TableTextRight"/>
              <w:jc w:val="center"/>
              <w:cnfStyle w:val="000000000000" w:firstRow="0" w:lastRow="0" w:firstColumn="0" w:lastColumn="0" w:oddVBand="0" w:evenVBand="0" w:oddHBand="0" w:evenHBand="0" w:firstRowFirstColumn="0" w:firstRowLastColumn="0" w:lastRowFirstColumn="0" w:lastRowLastColumn="0"/>
              <w:rPr>
                <w:sz w:val="20"/>
                <w:lang w:val="en-AU"/>
              </w:rPr>
            </w:pPr>
            <w:r w:rsidRPr="005F62F4">
              <w:rPr>
                <w:sz w:val="20"/>
                <w:lang w:val="en-AU"/>
              </w:rPr>
              <w:t>Yes</w:t>
            </w:r>
          </w:p>
        </w:tc>
        <w:tc>
          <w:tcPr>
            <w:tcW w:w="851" w:type="dxa"/>
          </w:tcPr>
          <w:p w14:paraId="5EE475BF" w14:textId="7B069519" w:rsidR="00873F4D" w:rsidRPr="005F62F4" w:rsidRDefault="00DC019E" w:rsidP="00105877">
            <w:pPr>
              <w:pStyle w:val="TableTextRight"/>
              <w:cnfStyle w:val="000000000000" w:firstRow="0" w:lastRow="0" w:firstColumn="0" w:lastColumn="0" w:oddVBand="0" w:evenVBand="0" w:oddHBand="0" w:evenHBand="0" w:firstRowFirstColumn="0" w:firstRowLastColumn="0" w:lastRowFirstColumn="0" w:lastRowLastColumn="0"/>
              <w:rPr>
                <w:sz w:val="20"/>
                <w:lang w:val="en-AU"/>
              </w:rPr>
            </w:pPr>
            <w:r w:rsidRPr="005F62F4">
              <w:rPr>
                <w:sz w:val="20"/>
                <w:lang w:val="en-AU"/>
              </w:rPr>
              <w:t>$1,829</w:t>
            </w:r>
          </w:p>
        </w:tc>
      </w:tr>
      <w:tr w:rsidR="00961700" w:rsidRPr="005F62F4" w14:paraId="0A3206B4" w14:textId="099F7507" w:rsidTr="0058693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5CF8BA0F" w14:textId="3EC60237" w:rsidR="00961700" w:rsidRPr="005F62F4" w:rsidRDefault="00961700" w:rsidP="00961700">
            <w:pPr>
              <w:rPr>
                <w:rStyle w:val="Strong"/>
                <w:b/>
                <w:sz w:val="20"/>
              </w:rPr>
            </w:pPr>
            <w:r w:rsidRPr="005F62F4">
              <w:rPr>
                <w:rStyle w:val="Strong"/>
                <w:b/>
                <w:sz w:val="20"/>
              </w:rPr>
              <w:lastRenderedPageBreak/>
              <w:t>Johnson &amp; Johnson Pty Ltd</w:t>
            </w:r>
          </w:p>
        </w:tc>
        <w:tc>
          <w:tcPr>
            <w:tcW w:w="1247" w:type="dxa"/>
          </w:tcPr>
          <w:p w14:paraId="4D06B720" w14:textId="4D4FC7C7" w:rsidR="00961700" w:rsidRPr="005F62F4" w:rsidRDefault="00961700" w:rsidP="0043244F">
            <w:pPr>
              <w:pStyle w:val="TableText"/>
              <w:cnfStyle w:val="000000010000" w:firstRow="0" w:lastRow="0" w:firstColumn="0" w:lastColumn="0" w:oddVBand="0" w:evenVBand="0" w:oddHBand="0" w:evenHBand="1" w:firstRowFirstColumn="0" w:firstRowLastColumn="0" w:lastRowFirstColumn="0" w:lastRowLastColumn="0"/>
              <w:rPr>
                <w:sz w:val="20"/>
              </w:rPr>
            </w:pPr>
            <w:proofErr w:type="spellStart"/>
            <w:r w:rsidRPr="005F62F4">
              <w:rPr>
                <w:sz w:val="20"/>
              </w:rPr>
              <w:t>ProPlan</w:t>
            </w:r>
            <w:proofErr w:type="spellEnd"/>
          </w:p>
        </w:tc>
        <w:tc>
          <w:tcPr>
            <w:tcW w:w="1417" w:type="dxa"/>
          </w:tcPr>
          <w:p w14:paraId="3C99A385" w14:textId="0625481A" w:rsidR="00985DE2" w:rsidRPr="005F62F4" w:rsidRDefault="00AA391A" w:rsidP="0043244F">
            <w:pPr>
              <w:pStyle w:val="TableText"/>
              <w:cnfStyle w:val="000000010000" w:firstRow="0" w:lastRow="0" w:firstColumn="0" w:lastColumn="0" w:oddVBand="0" w:evenVBand="0" w:oddHBand="0" w:evenHBand="1" w:firstRowFirstColumn="0" w:firstRowLastColumn="0" w:lastRowFirstColumn="0" w:lastRowLastColumn="0"/>
              <w:rPr>
                <w:sz w:val="20"/>
              </w:rPr>
            </w:pPr>
            <w:r w:rsidRPr="005F62F4">
              <w:rPr>
                <w:sz w:val="20"/>
              </w:rPr>
              <w:t>276733</w:t>
            </w:r>
          </w:p>
        </w:tc>
        <w:tc>
          <w:tcPr>
            <w:tcW w:w="3432" w:type="dxa"/>
          </w:tcPr>
          <w:p w14:paraId="15AC3320" w14:textId="1780A1F4" w:rsidR="00961700" w:rsidRPr="005F62F4" w:rsidRDefault="007850F8" w:rsidP="00961700">
            <w:pPr>
              <w:cnfStyle w:val="000000010000" w:firstRow="0" w:lastRow="0" w:firstColumn="0" w:lastColumn="0" w:oddVBand="0" w:evenVBand="0" w:oddHBand="0" w:evenHBand="1" w:firstRowFirstColumn="0" w:firstRowLastColumn="0" w:lastRowFirstColumn="0" w:lastRowLastColumn="0"/>
              <w:rPr>
                <w:sz w:val="20"/>
              </w:rPr>
            </w:pPr>
            <w:r w:rsidRPr="005F62F4">
              <w:rPr>
                <w:rStyle w:val="TableTextChar"/>
                <w:sz w:val="20"/>
              </w:rPr>
              <w:t xml:space="preserve">A pack that includes a combination of screws, </w:t>
            </w:r>
            <w:r w:rsidRPr="005F62F4">
              <w:rPr>
                <w:rStyle w:val="Strong"/>
                <w:sz w:val="20"/>
              </w:rPr>
              <w:t>custom</w:t>
            </w:r>
            <w:r w:rsidR="00440E0F">
              <w:rPr>
                <w:rStyle w:val="Strong"/>
                <w:sz w:val="20"/>
              </w:rPr>
              <w:t>-</w:t>
            </w:r>
            <w:r w:rsidRPr="005F62F4">
              <w:rPr>
                <w:rStyle w:val="Strong"/>
                <w:sz w:val="20"/>
              </w:rPr>
              <w:t>made surgical guides, anatomical models</w:t>
            </w:r>
            <w:r w:rsidRPr="005F62F4">
              <w:rPr>
                <w:rStyle w:val="TableTextChar"/>
                <w:sz w:val="20"/>
              </w:rPr>
              <w:t xml:space="preserve"> or implants for bone reconstruction, augmentation and fixation in the craniofacial region </w:t>
            </w:r>
            <w:r w:rsidR="00B01874" w:rsidRPr="005F62F4">
              <w:rPr>
                <w:rStyle w:val="TableTextChar"/>
                <w:sz w:val="20"/>
              </w:rPr>
              <w:t>(</w:t>
            </w:r>
            <w:proofErr w:type="gramStart"/>
            <w:r w:rsidRPr="005F62F4">
              <w:rPr>
                <w:rStyle w:val="TableTextChar"/>
                <w:sz w:val="20"/>
              </w:rPr>
              <w:t>e</w:t>
            </w:r>
            <w:r w:rsidR="00B01874" w:rsidRPr="005F62F4">
              <w:rPr>
                <w:rStyle w:val="TableTextChar"/>
                <w:sz w:val="20"/>
              </w:rPr>
              <w:t>.</w:t>
            </w:r>
            <w:r w:rsidRPr="005F62F4">
              <w:rPr>
                <w:rStyle w:val="TableTextChar"/>
                <w:sz w:val="20"/>
              </w:rPr>
              <w:t>g</w:t>
            </w:r>
            <w:r w:rsidR="00B01874" w:rsidRPr="005F62F4">
              <w:rPr>
                <w:rStyle w:val="TableTextChar"/>
                <w:sz w:val="20"/>
              </w:rPr>
              <w:t>.</w:t>
            </w:r>
            <w:proofErr w:type="gramEnd"/>
            <w:r w:rsidRPr="005F62F4">
              <w:rPr>
                <w:rStyle w:val="TableTextChar"/>
                <w:sz w:val="20"/>
              </w:rPr>
              <w:t xml:space="preserve"> craniofacial reconstruction, stabilise fractured bone, </w:t>
            </w:r>
            <w:proofErr w:type="spellStart"/>
            <w:r w:rsidRPr="005F62F4">
              <w:rPr>
                <w:rStyle w:val="TableTextChar"/>
                <w:sz w:val="20"/>
              </w:rPr>
              <w:t>endobrow</w:t>
            </w:r>
            <w:proofErr w:type="spellEnd"/>
            <w:r w:rsidRPr="005F62F4">
              <w:rPr>
                <w:rStyle w:val="TableTextChar"/>
                <w:sz w:val="20"/>
              </w:rPr>
              <w:t xml:space="preserve"> fixation, or craniotomy flap fixation</w:t>
            </w:r>
            <w:r w:rsidR="00B01874" w:rsidRPr="005F62F4">
              <w:rPr>
                <w:rStyle w:val="TableTextChar"/>
                <w:sz w:val="20"/>
              </w:rPr>
              <w:t>)</w:t>
            </w:r>
            <w:r w:rsidRPr="005F62F4">
              <w:rPr>
                <w:rStyle w:val="TableTextChar"/>
                <w:sz w:val="20"/>
              </w:rPr>
              <w:t>.</w:t>
            </w:r>
          </w:p>
        </w:tc>
        <w:tc>
          <w:tcPr>
            <w:tcW w:w="1275" w:type="dxa"/>
          </w:tcPr>
          <w:p w14:paraId="652D65C2" w14:textId="3A7FA104" w:rsidR="002825F5" w:rsidRPr="005F62F4" w:rsidRDefault="002825F5" w:rsidP="008E0271">
            <w:pPr>
              <w:pStyle w:val="TableTextRight"/>
              <w:jc w:val="center"/>
              <w:cnfStyle w:val="000000010000" w:firstRow="0" w:lastRow="0" w:firstColumn="0" w:lastColumn="0" w:oddVBand="0" w:evenVBand="0" w:oddHBand="0" w:evenHBand="1" w:firstRowFirstColumn="0" w:firstRowLastColumn="0" w:lastRowFirstColumn="0" w:lastRowLastColumn="0"/>
              <w:rPr>
                <w:sz w:val="20"/>
                <w:lang w:val="en-AU"/>
              </w:rPr>
            </w:pPr>
            <w:r w:rsidRPr="005F62F4">
              <w:rPr>
                <w:sz w:val="20"/>
                <w:lang w:val="en-AU"/>
              </w:rPr>
              <w:t>Yes</w:t>
            </w:r>
          </w:p>
        </w:tc>
        <w:tc>
          <w:tcPr>
            <w:tcW w:w="851" w:type="dxa"/>
          </w:tcPr>
          <w:p w14:paraId="473BFCBC" w14:textId="3E0259BF" w:rsidR="00873F4D" w:rsidRPr="005F62F4" w:rsidRDefault="00DC019E" w:rsidP="00105877">
            <w:pPr>
              <w:pStyle w:val="TableTextRight"/>
              <w:cnfStyle w:val="000000010000" w:firstRow="0" w:lastRow="0" w:firstColumn="0" w:lastColumn="0" w:oddVBand="0" w:evenVBand="0" w:oddHBand="0" w:evenHBand="1" w:firstRowFirstColumn="0" w:firstRowLastColumn="0" w:lastRowFirstColumn="0" w:lastRowLastColumn="0"/>
              <w:rPr>
                <w:sz w:val="20"/>
                <w:lang w:val="en-AU"/>
              </w:rPr>
            </w:pPr>
            <w:r w:rsidRPr="005F62F4">
              <w:rPr>
                <w:sz w:val="20"/>
                <w:lang w:val="en-AU"/>
              </w:rPr>
              <w:t>$1,829</w:t>
            </w:r>
          </w:p>
        </w:tc>
      </w:tr>
      <w:tr w:rsidR="00961700" w:rsidRPr="005F62F4" w14:paraId="3331DFD8" w14:textId="3EAB3009" w:rsidTr="00586936">
        <w:tc>
          <w:tcPr>
            <w:cnfStyle w:val="001000000000" w:firstRow="0" w:lastRow="0" w:firstColumn="1" w:lastColumn="0" w:oddVBand="0" w:evenVBand="0" w:oddHBand="0" w:evenHBand="0" w:firstRowFirstColumn="0" w:firstRowLastColumn="0" w:lastRowFirstColumn="0" w:lastRowLastColumn="0"/>
            <w:tcW w:w="1134" w:type="dxa"/>
          </w:tcPr>
          <w:p w14:paraId="67EFDC01" w14:textId="643AE768" w:rsidR="00961700" w:rsidRPr="005F62F4" w:rsidRDefault="00961700" w:rsidP="00961700">
            <w:pPr>
              <w:rPr>
                <w:rStyle w:val="Strong"/>
                <w:b/>
                <w:sz w:val="20"/>
              </w:rPr>
            </w:pPr>
            <w:r w:rsidRPr="005F62F4">
              <w:rPr>
                <w:rStyle w:val="Strong"/>
                <w:b/>
                <w:sz w:val="20"/>
              </w:rPr>
              <w:t>SPECIFICA PTY LTD</w:t>
            </w:r>
          </w:p>
        </w:tc>
        <w:tc>
          <w:tcPr>
            <w:tcW w:w="1247" w:type="dxa"/>
          </w:tcPr>
          <w:p w14:paraId="77D80FCA" w14:textId="42CC6988" w:rsidR="00961700" w:rsidRPr="005F62F4" w:rsidRDefault="00961700" w:rsidP="0043244F">
            <w:pPr>
              <w:pStyle w:val="TableText"/>
              <w:cnfStyle w:val="000000000000" w:firstRow="0" w:lastRow="0" w:firstColumn="0" w:lastColumn="0" w:oddVBand="0" w:evenVBand="0" w:oddHBand="0" w:evenHBand="0" w:firstRowFirstColumn="0" w:firstRowLastColumn="0" w:lastRowFirstColumn="0" w:lastRowLastColumn="0"/>
              <w:rPr>
                <w:b/>
                <w:sz w:val="20"/>
              </w:rPr>
            </w:pPr>
            <w:r w:rsidRPr="005F62F4">
              <w:rPr>
                <w:b/>
                <w:sz w:val="20"/>
              </w:rPr>
              <w:t>BIOMODEL</w:t>
            </w:r>
          </w:p>
        </w:tc>
        <w:tc>
          <w:tcPr>
            <w:tcW w:w="1417" w:type="dxa"/>
          </w:tcPr>
          <w:p w14:paraId="33D4024C" w14:textId="128B041F" w:rsidR="00985DE2" w:rsidRPr="005F62F4" w:rsidRDefault="00AA391A" w:rsidP="0043244F">
            <w:pPr>
              <w:pStyle w:val="TableText"/>
              <w:cnfStyle w:val="000000000000" w:firstRow="0" w:lastRow="0" w:firstColumn="0" w:lastColumn="0" w:oddVBand="0" w:evenVBand="0" w:oddHBand="0" w:evenHBand="0" w:firstRowFirstColumn="0" w:firstRowLastColumn="0" w:lastRowFirstColumn="0" w:lastRowLastColumn="0"/>
              <w:rPr>
                <w:sz w:val="20"/>
              </w:rPr>
            </w:pPr>
            <w:r w:rsidRPr="005F62F4">
              <w:rPr>
                <w:sz w:val="20"/>
              </w:rPr>
              <w:t>292561</w:t>
            </w:r>
          </w:p>
        </w:tc>
        <w:tc>
          <w:tcPr>
            <w:tcW w:w="3432" w:type="dxa"/>
          </w:tcPr>
          <w:p w14:paraId="36E2BB22" w14:textId="0BCC6E34" w:rsidR="00961700" w:rsidRPr="005F62F4" w:rsidRDefault="00B01874" w:rsidP="0043244F">
            <w:pPr>
              <w:pStyle w:val="TableText"/>
              <w:cnfStyle w:val="000000000000" w:firstRow="0" w:lastRow="0" w:firstColumn="0" w:lastColumn="0" w:oddVBand="0" w:evenVBand="0" w:oddHBand="0" w:evenHBand="0" w:firstRowFirstColumn="0" w:firstRowLastColumn="0" w:lastRowFirstColumn="0" w:lastRowLastColumn="0"/>
              <w:rPr>
                <w:sz w:val="20"/>
              </w:rPr>
            </w:pPr>
            <w:r w:rsidRPr="005F62F4">
              <w:rPr>
                <w:sz w:val="20"/>
              </w:rPr>
              <w:t>Intended to i</w:t>
            </w:r>
            <w:r w:rsidR="00F52943" w:rsidRPr="005F62F4">
              <w:rPr>
                <w:sz w:val="20"/>
              </w:rPr>
              <w:t xml:space="preserve">mprove and simplify the performance of surgical interventions by acting as an aid or reference </w:t>
            </w:r>
            <w:proofErr w:type="gramStart"/>
            <w:r w:rsidR="00F52943" w:rsidRPr="005F62F4">
              <w:rPr>
                <w:sz w:val="20"/>
              </w:rPr>
              <w:t>to</w:t>
            </w:r>
            <w:r w:rsidRPr="005F62F4">
              <w:rPr>
                <w:sz w:val="20"/>
              </w:rPr>
              <w:t>:</w:t>
            </w:r>
            <w:proofErr w:type="gramEnd"/>
            <w:r w:rsidR="00F52943" w:rsidRPr="005F62F4">
              <w:rPr>
                <w:sz w:val="20"/>
              </w:rPr>
              <w:t xml:space="preserve"> elaborate a preoperative surgical plan</w:t>
            </w:r>
            <w:r w:rsidRPr="005F62F4">
              <w:rPr>
                <w:sz w:val="20"/>
              </w:rPr>
              <w:t>;</w:t>
            </w:r>
            <w:r w:rsidR="00F52943" w:rsidRPr="005F62F4">
              <w:rPr>
                <w:sz w:val="20"/>
              </w:rPr>
              <w:t xml:space="preserve"> transfer the plan to surgery</w:t>
            </w:r>
            <w:r w:rsidRPr="005F62F4">
              <w:rPr>
                <w:sz w:val="20"/>
              </w:rPr>
              <w:t>;</w:t>
            </w:r>
            <w:r w:rsidR="00F52943" w:rsidRPr="005F62F4">
              <w:rPr>
                <w:sz w:val="20"/>
              </w:rPr>
              <w:t xml:space="preserve"> and determine the correct sizing of the fixture(s) eventually required as part of the surgical procedure.</w:t>
            </w:r>
          </w:p>
        </w:tc>
        <w:tc>
          <w:tcPr>
            <w:tcW w:w="1275" w:type="dxa"/>
          </w:tcPr>
          <w:p w14:paraId="56A7589E" w14:textId="6C449D6C" w:rsidR="002825F5" w:rsidRPr="005F62F4" w:rsidRDefault="002825F5" w:rsidP="008E0271">
            <w:pPr>
              <w:pStyle w:val="TableTextRight"/>
              <w:jc w:val="center"/>
              <w:cnfStyle w:val="000000000000" w:firstRow="0" w:lastRow="0" w:firstColumn="0" w:lastColumn="0" w:oddVBand="0" w:evenVBand="0" w:oddHBand="0" w:evenHBand="0" w:firstRowFirstColumn="0" w:firstRowLastColumn="0" w:lastRowFirstColumn="0" w:lastRowLastColumn="0"/>
              <w:rPr>
                <w:sz w:val="20"/>
                <w:lang w:val="en-AU"/>
              </w:rPr>
            </w:pPr>
            <w:r w:rsidRPr="005F62F4">
              <w:rPr>
                <w:sz w:val="20"/>
                <w:lang w:val="en-AU"/>
              </w:rPr>
              <w:t>No</w:t>
            </w:r>
          </w:p>
        </w:tc>
        <w:tc>
          <w:tcPr>
            <w:tcW w:w="851" w:type="dxa"/>
          </w:tcPr>
          <w:p w14:paraId="3361A3B4" w14:textId="0BC8282A" w:rsidR="00873F4D" w:rsidRPr="005F62F4" w:rsidRDefault="00DC019E" w:rsidP="00105877">
            <w:pPr>
              <w:pStyle w:val="TableTextRight"/>
              <w:cnfStyle w:val="000000000000" w:firstRow="0" w:lastRow="0" w:firstColumn="0" w:lastColumn="0" w:oddVBand="0" w:evenVBand="0" w:oddHBand="0" w:evenHBand="0" w:firstRowFirstColumn="0" w:firstRowLastColumn="0" w:lastRowFirstColumn="0" w:lastRowLastColumn="0"/>
              <w:rPr>
                <w:sz w:val="20"/>
                <w:lang w:val="en-AU"/>
              </w:rPr>
            </w:pPr>
            <w:r w:rsidRPr="005F62F4">
              <w:rPr>
                <w:sz w:val="20"/>
                <w:lang w:val="en-AU"/>
              </w:rPr>
              <w:t>$1,829</w:t>
            </w:r>
          </w:p>
        </w:tc>
      </w:tr>
      <w:tr w:rsidR="00961700" w:rsidRPr="005F62F4" w14:paraId="1DB40098" w14:textId="46B418F9" w:rsidTr="0058693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149962C1" w14:textId="178C66F5" w:rsidR="00961700" w:rsidRPr="005F62F4" w:rsidRDefault="00961700" w:rsidP="00961700">
            <w:pPr>
              <w:rPr>
                <w:rStyle w:val="Strong"/>
                <w:b/>
                <w:sz w:val="20"/>
              </w:rPr>
            </w:pPr>
            <w:r w:rsidRPr="005F62F4">
              <w:rPr>
                <w:rStyle w:val="Strong"/>
                <w:b/>
                <w:sz w:val="20"/>
              </w:rPr>
              <w:t>SPECIFICA PTY LTD</w:t>
            </w:r>
          </w:p>
        </w:tc>
        <w:tc>
          <w:tcPr>
            <w:tcW w:w="1247" w:type="dxa"/>
          </w:tcPr>
          <w:p w14:paraId="5B6E3B89" w14:textId="0056910F" w:rsidR="00961700" w:rsidRPr="005F62F4" w:rsidRDefault="00961700" w:rsidP="0043244F">
            <w:pPr>
              <w:pStyle w:val="TableText"/>
              <w:cnfStyle w:val="000000010000" w:firstRow="0" w:lastRow="0" w:firstColumn="0" w:lastColumn="0" w:oddVBand="0" w:evenVBand="0" w:oddHBand="0" w:evenHBand="1" w:firstRowFirstColumn="0" w:firstRowLastColumn="0" w:lastRowFirstColumn="0" w:lastRowLastColumn="0"/>
              <w:rPr>
                <w:sz w:val="20"/>
              </w:rPr>
            </w:pPr>
            <w:r w:rsidRPr="005F62F4">
              <w:rPr>
                <w:sz w:val="20"/>
              </w:rPr>
              <w:t xml:space="preserve">OMF Model </w:t>
            </w:r>
          </w:p>
        </w:tc>
        <w:tc>
          <w:tcPr>
            <w:tcW w:w="1417" w:type="dxa"/>
          </w:tcPr>
          <w:p w14:paraId="64B864BC" w14:textId="14CDE228" w:rsidR="00985DE2" w:rsidRPr="005F62F4" w:rsidRDefault="00AA391A" w:rsidP="0043244F">
            <w:pPr>
              <w:pStyle w:val="TableText"/>
              <w:cnfStyle w:val="000000010000" w:firstRow="0" w:lastRow="0" w:firstColumn="0" w:lastColumn="0" w:oddVBand="0" w:evenVBand="0" w:oddHBand="0" w:evenHBand="1" w:firstRowFirstColumn="0" w:firstRowLastColumn="0" w:lastRowFirstColumn="0" w:lastRowLastColumn="0"/>
              <w:rPr>
                <w:sz w:val="20"/>
              </w:rPr>
            </w:pPr>
            <w:r w:rsidRPr="005F62F4">
              <w:rPr>
                <w:sz w:val="20"/>
              </w:rPr>
              <w:t>322576</w:t>
            </w:r>
          </w:p>
        </w:tc>
        <w:tc>
          <w:tcPr>
            <w:tcW w:w="3432" w:type="dxa"/>
          </w:tcPr>
          <w:p w14:paraId="2EEEE42B" w14:textId="23E0F945" w:rsidR="00961700" w:rsidRPr="005F62F4" w:rsidRDefault="00DB446C" w:rsidP="00961700">
            <w:pPr>
              <w:cnfStyle w:val="000000010000" w:firstRow="0" w:lastRow="0" w:firstColumn="0" w:lastColumn="0" w:oddVBand="0" w:evenVBand="0" w:oddHBand="0" w:evenHBand="1" w:firstRowFirstColumn="0" w:firstRowLastColumn="0" w:lastRowFirstColumn="0" w:lastRowLastColumn="0"/>
              <w:rPr>
                <w:sz w:val="20"/>
              </w:rPr>
            </w:pPr>
            <w:r w:rsidRPr="005F62F4">
              <w:rPr>
                <w:rStyle w:val="Strong"/>
                <w:sz w:val="20"/>
              </w:rPr>
              <w:t xml:space="preserve">Guides </w:t>
            </w:r>
            <w:r w:rsidRPr="005F62F4">
              <w:rPr>
                <w:rStyle w:val="TableTextChar"/>
                <w:sz w:val="20"/>
              </w:rPr>
              <w:t xml:space="preserve">and </w:t>
            </w:r>
            <w:proofErr w:type="spellStart"/>
            <w:r w:rsidR="00B01874" w:rsidRPr="005F62F4">
              <w:rPr>
                <w:rStyle w:val="Strong"/>
                <w:sz w:val="20"/>
              </w:rPr>
              <w:t>b</w:t>
            </w:r>
            <w:r w:rsidRPr="005F62F4">
              <w:rPr>
                <w:rStyle w:val="Strong"/>
                <w:sz w:val="20"/>
              </w:rPr>
              <w:t>iomodels</w:t>
            </w:r>
            <w:proofErr w:type="spellEnd"/>
            <w:r w:rsidRPr="005F62F4">
              <w:rPr>
                <w:rStyle w:val="Strong"/>
                <w:sz w:val="20"/>
              </w:rPr>
              <w:t xml:space="preserve"> </w:t>
            </w:r>
            <w:r w:rsidRPr="005F62F4">
              <w:rPr>
                <w:rStyle w:val="TableTextChar"/>
                <w:sz w:val="20"/>
              </w:rPr>
              <w:t xml:space="preserve">manufactured by </w:t>
            </w:r>
            <w:r w:rsidR="00BB4C7E" w:rsidRPr="005F62F4">
              <w:rPr>
                <w:rStyle w:val="TableTextChar"/>
                <w:sz w:val="20"/>
              </w:rPr>
              <w:t>3D</w:t>
            </w:r>
            <w:r w:rsidRPr="005F62F4">
              <w:rPr>
                <w:rStyle w:val="TableTextChar"/>
                <w:sz w:val="20"/>
              </w:rPr>
              <w:t xml:space="preserve"> printing intended to assist in anatomical visuali</w:t>
            </w:r>
            <w:r w:rsidR="00B01874" w:rsidRPr="005F62F4">
              <w:rPr>
                <w:rStyle w:val="TableTextChar"/>
                <w:sz w:val="20"/>
              </w:rPr>
              <w:t>s</w:t>
            </w:r>
            <w:r w:rsidRPr="005F62F4">
              <w:rPr>
                <w:rStyle w:val="TableTextChar"/>
                <w:sz w:val="20"/>
              </w:rPr>
              <w:t>ation</w:t>
            </w:r>
            <w:r w:rsidR="00B01874" w:rsidRPr="005F62F4">
              <w:rPr>
                <w:rStyle w:val="TableTextChar"/>
                <w:sz w:val="20"/>
              </w:rPr>
              <w:t xml:space="preserve"> and/or</w:t>
            </w:r>
            <w:r w:rsidRPr="005F62F4">
              <w:rPr>
                <w:rStyle w:val="TableTextChar"/>
                <w:sz w:val="20"/>
              </w:rPr>
              <w:t xml:space="preserve"> surgical treatment planning, for intraoperative dental and </w:t>
            </w:r>
            <w:r w:rsidR="00D212A0" w:rsidRPr="005F62F4">
              <w:rPr>
                <w:rStyle w:val="TableTextChar"/>
                <w:sz w:val="20"/>
              </w:rPr>
              <w:t xml:space="preserve">CMF </w:t>
            </w:r>
            <w:r w:rsidRPr="005F62F4">
              <w:rPr>
                <w:rStyle w:val="TableTextChar"/>
                <w:sz w:val="20"/>
              </w:rPr>
              <w:t>surgical procedures</w:t>
            </w:r>
            <w:r w:rsidR="00B01874" w:rsidRPr="005F62F4">
              <w:rPr>
                <w:rStyle w:val="TableTextChar"/>
                <w:sz w:val="20"/>
              </w:rPr>
              <w:t>.</w:t>
            </w:r>
          </w:p>
        </w:tc>
        <w:tc>
          <w:tcPr>
            <w:tcW w:w="1275" w:type="dxa"/>
          </w:tcPr>
          <w:p w14:paraId="2AD53D40" w14:textId="1A0408DF" w:rsidR="008E0271" w:rsidRPr="005F62F4" w:rsidRDefault="00C50F25" w:rsidP="008E0271">
            <w:pPr>
              <w:pStyle w:val="TableTextRight"/>
              <w:jc w:val="center"/>
              <w:cnfStyle w:val="000000010000" w:firstRow="0" w:lastRow="0" w:firstColumn="0" w:lastColumn="0" w:oddVBand="0" w:evenVBand="0" w:oddHBand="0" w:evenHBand="1" w:firstRowFirstColumn="0" w:firstRowLastColumn="0" w:lastRowFirstColumn="0" w:lastRowLastColumn="0"/>
              <w:rPr>
                <w:sz w:val="20"/>
                <w:lang w:val="en-AU"/>
              </w:rPr>
            </w:pPr>
            <w:r w:rsidRPr="005F62F4">
              <w:rPr>
                <w:sz w:val="20"/>
                <w:lang w:val="en-AU"/>
              </w:rPr>
              <w:t>No</w:t>
            </w:r>
          </w:p>
        </w:tc>
        <w:tc>
          <w:tcPr>
            <w:tcW w:w="851" w:type="dxa"/>
          </w:tcPr>
          <w:p w14:paraId="5C301D80" w14:textId="65CABFBD" w:rsidR="00873F4D" w:rsidRPr="005F62F4" w:rsidRDefault="00DC019E" w:rsidP="00105877">
            <w:pPr>
              <w:pStyle w:val="TableTextRight"/>
              <w:cnfStyle w:val="000000010000" w:firstRow="0" w:lastRow="0" w:firstColumn="0" w:lastColumn="0" w:oddVBand="0" w:evenVBand="0" w:oddHBand="0" w:evenHBand="1" w:firstRowFirstColumn="0" w:firstRowLastColumn="0" w:lastRowFirstColumn="0" w:lastRowLastColumn="0"/>
              <w:rPr>
                <w:sz w:val="20"/>
                <w:lang w:val="en-AU"/>
              </w:rPr>
            </w:pPr>
            <w:r w:rsidRPr="005F62F4">
              <w:rPr>
                <w:sz w:val="20"/>
                <w:lang w:val="en-AU"/>
              </w:rPr>
              <w:t>$1,829</w:t>
            </w:r>
          </w:p>
        </w:tc>
      </w:tr>
      <w:tr w:rsidR="00961700" w:rsidRPr="005F62F4" w14:paraId="67224FC9" w14:textId="2E738F32" w:rsidTr="00586936">
        <w:tc>
          <w:tcPr>
            <w:cnfStyle w:val="001000000000" w:firstRow="0" w:lastRow="0" w:firstColumn="1" w:lastColumn="0" w:oddVBand="0" w:evenVBand="0" w:oddHBand="0" w:evenHBand="0" w:firstRowFirstColumn="0" w:firstRowLastColumn="0" w:lastRowFirstColumn="0" w:lastRowLastColumn="0"/>
            <w:tcW w:w="1134" w:type="dxa"/>
          </w:tcPr>
          <w:p w14:paraId="0CE47C86" w14:textId="05A8A097" w:rsidR="00961700" w:rsidRPr="005F62F4" w:rsidRDefault="00961700" w:rsidP="00961700">
            <w:pPr>
              <w:rPr>
                <w:rStyle w:val="Strong"/>
                <w:b/>
                <w:sz w:val="20"/>
              </w:rPr>
            </w:pPr>
            <w:r w:rsidRPr="005F62F4">
              <w:rPr>
                <w:rStyle w:val="Strong"/>
                <w:b/>
                <w:sz w:val="20"/>
              </w:rPr>
              <w:t>AA-Med Pty Ltd</w:t>
            </w:r>
          </w:p>
        </w:tc>
        <w:tc>
          <w:tcPr>
            <w:tcW w:w="1247" w:type="dxa"/>
          </w:tcPr>
          <w:p w14:paraId="3489E4F1" w14:textId="31257EE1" w:rsidR="00961700" w:rsidRPr="005F62F4" w:rsidRDefault="00961700" w:rsidP="0043244F">
            <w:pPr>
              <w:pStyle w:val="TableText"/>
              <w:cnfStyle w:val="000000000000" w:firstRow="0" w:lastRow="0" w:firstColumn="0" w:lastColumn="0" w:oddVBand="0" w:evenVBand="0" w:oddHBand="0" w:evenHBand="0" w:firstRowFirstColumn="0" w:firstRowLastColumn="0" w:lastRowFirstColumn="0" w:lastRowLastColumn="0"/>
              <w:rPr>
                <w:sz w:val="20"/>
              </w:rPr>
            </w:pPr>
            <w:proofErr w:type="spellStart"/>
            <w:r w:rsidRPr="005F62F4">
              <w:rPr>
                <w:sz w:val="20"/>
              </w:rPr>
              <w:t>OrthoTin</w:t>
            </w:r>
            <w:proofErr w:type="spellEnd"/>
            <w:r w:rsidRPr="005F62F4">
              <w:rPr>
                <w:sz w:val="20"/>
              </w:rPr>
              <w:t xml:space="preserve"> Anatomic </w:t>
            </w:r>
            <w:proofErr w:type="spellStart"/>
            <w:r w:rsidRPr="005F62F4">
              <w:rPr>
                <w:sz w:val="20"/>
              </w:rPr>
              <w:t>Biomodel</w:t>
            </w:r>
            <w:proofErr w:type="spellEnd"/>
            <w:r w:rsidRPr="005F62F4">
              <w:rPr>
                <w:sz w:val="20"/>
              </w:rPr>
              <w:t xml:space="preserve"> </w:t>
            </w:r>
          </w:p>
        </w:tc>
        <w:tc>
          <w:tcPr>
            <w:tcW w:w="1417" w:type="dxa"/>
          </w:tcPr>
          <w:p w14:paraId="03AC5D9B" w14:textId="437F1B1F" w:rsidR="00985DE2" w:rsidRPr="005F62F4" w:rsidRDefault="00AA391A" w:rsidP="0043244F">
            <w:pPr>
              <w:pStyle w:val="TableText"/>
              <w:cnfStyle w:val="000000000000" w:firstRow="0" w:lastRow="0" w:firstColumn="0" w:lastColumn="0" w:oddVBand="0" w:evenVBand="0" w:oddHBand="0" w:evenHBand="0" w:firstRowFirstColumn="0" w:firstRowLastColumn="0" w:lastRowFirstColumn="0" w:lastRowLastColumn="0"/>
              <w:rPr>
                <w:sz w:val="20"/>
              </w:rPr>
            </w:pPr>
            <w:r w:rsidRPr="005F62F4">
              <w:rPr>
                <w:sz w:val="20"/>
              </w:rPr>
              <w:t>293845</w:t>
            </w:r>
          </w:p>
        </w:tc>
        <w:tc>
          <w:tcPr>
            <w:tcW w:w="3432" w:type="dxa"/>
          </w:tcPr>
          <w:p w14:paraId="2920B73C" w14:textId="59D69B36" w:rsidR="00961700" w:rsidRPr="005F62F4" w:rsidRDefault="001A7B0C" w:rsidP="00961700">
            <w:pPr>
              <w:cnfStyle w:val="000000000000" w:firstRow="0" w:lastRow="0" w:firstColumn="0" w:lastColumn="0" w:oddVBand="0" w:evenVBand="0" w:oddHBand="0" w:evenHBand="0" w:firstRowFirstColumn="0" w:firstRowLastColumn="0" w:lastRowFirstColumn="0" w:lastRowLastColumn="0"/>
              <w:rPr>
                <w:sz w:val="20"/>
              </w:rPr>
            </w:pPr>
            <w:r w:rsidRPr="005F62F4">
              <w:rPr>
                <w:rStyle w:val="TableTextChar"/>
                <w:sz w:val="20"/>
              </w:rPr>
              <w:t>Intended for reconstruction of painful and/or severely disabled temporomandibular joints. The system consists of fixation screws, fixation plate, custom</w:t>
            </w:r>
            <w:r w:rsidR="00440E0F">
              <w:rPr>
                <w:rStyle w:val="TableTextChar"/>
                <w:sz w:val="20"/>
              </w:rPr>
              <w:t>-</w:t>
            </w:r>
            <w:r w:rsidRPr="005F62F4">
              <w:rPr>
                <w:rStyle w:val="TableTextChar"/>
                <w:sz w:val="20"/>
              </w:rPr>
              <w:t>made fossa component, custom</w:t>
            </w:r>
            <w:r w:rsidR="00440E0F">
              <w:rPr>
                <w:rStyle w:val="TableTextChar"/>
                <w:sz w:val="20"/>
              </w:rPr>
              <w:t>-</w:t>
            </w:r>
            <w:r w:rsidRPr="005F62F4">
              <w:rPr>
                <w:rStyle w:val="TableTextChar"/>
                <w:sz w:val="20"/>
              </w:rPr>
              <w:t>made fossa bearing component, custom</w:t>
            </w:r>
            <w:r w:rsidR="00440E0F">
              <w:rPr>
                <w:rStyle w:val="TableTextChar"/>
                <w:sz w:val="20"/>
              </w:rPr>
              <w:t>-</w:t>
            </w:r>
            <w:r w:rsidRPr="005F62F4">
              <w:rPr>
                <w:rStyle w:val="TableTextChar"/>
                <w:sz w:val="20"/>
              </w:rPr>
              <w:t>made condylar ramus component, custom</w:t>
            </w:r>
            <w:r w:rsidR="00440E0F">
              <w:rPr>
                <w:rStyle w:val="TableTextChar"/>
                <w:sz w:val="20"/>
              </w:rPr>
              <w:t>-</w:t>
            </w:r>
            <w:r w:rsidRPr="005F62F4">
              <w:rPr>
                <w:rStyle w:val="TableTextChar"/>
                <w:sz w:val="20"/>
              </w:rPr>
              <w:t xml:space="preserve">made plate, </w:t>
            </w:r>
            <w:r w:rsidRPr="005F62F4">
              <w:rPr>
                <w:rStyle w:val="Strong"/>
                <w:sz w:val="20"/>
              </w:rPr>
              <w:t>custom</w:t>
            </w:r>
            <w:r w:rsidR="00440E0F">
              <w:rPr>
                <w:rStyle w:val="Strong"/>
                <w:sz w:val="20"/>
              </w:rPr>
              <w:t>-</w:t>
            </w:r>
            <w:r w:rsidRPr="005F62F4">
              <w:rPr>
                <w:rStyle w:val="Strong"/>
                <w:sz w:val="20"/>
              </w:rPr>
              <w:t xml:space="preserve">made surgical guides </w:t>
            </w:r>
            <w:r w:rsidRPr="005F62F4">
              <w:rPr>
                <w:rStyle w:val="TableTextChar"/>
                <w:sz w:val="20"/>
              </w:rPr>
              <w:t>and</w:t>
            </w:r>
            <w:r w:rsidRPr="005F62F4">
              <w:rPr>
                <w:rStyle w:val="Strong"/>
                <w:sz w:val="20"/>
              </w:rPr>
              <w:t xml:space="preserve"> custom</w:t>
            </w:r>
            <w:r w:rsidR="00440E0F">
              <w:rPr>
                <w:rStyle w:val="Strong"/>
                <w:sz w:val="20"/>
              </w:rPr>
              <w:t>-</w:t>
            </w:r>
            <w:r w:rsidRPr="005F62F4">
              <w:rPr>
                <w:rStyle w:val="Strong"/>
                <w:sz w:val="20"/>
              </w:rPr>
              <w:t xml:space="preserve">made </w:t>
            </w:r>
            <w:proofErr w:type="spellStart"/>
            <w:r w:rsidRPr="005F62F4">
              <w:rPr>
                <w:rStyle w:val="Strong"/>
                <w:sz w:val="20"/>
              </w:rPr>
              <w:t>biomodel</w:t>
            </w:r>
            <w:proofErr w:type="spellEnd"/>
            <w:r w:rsidRPr="005F62F4">
              <w:rPr>
                <w:rStyle w:val="TableTextChar"/>
                <w:sz w:val="20"/>
              </w:rPr>
              <w:t>.</w:t>
            </w:r>
          </w:p>
        </w:tc>
        <w:tc>
          <w:tcPr>
            <w:tcW w:w="1275" w:type="dxa"/>
          </w:tcPr>
          <w:p w14:paraId="7429F529" w14:textId="39E567FA" w:rsidR="008E0271" w:rsidRPr="005F62F4" w:rsidRDefault="00C50F25" w:rsidP="008E0271">
            <w:pPr>
              <w:pStyle w:val="TableTextRight"/>
              <w:jc w:val="center"/>
              <w:cnfStyle w:val="000000000000" w:firstRow="0" w:lastRow="0" w:firstColumn="0" w:lastColumn="0" w:oddVBand="0" w:evenVBand="0" w:oddHBand="0" w:evenHBand="0" w:firstRowFirstColumn="0" w:firstRowLastColumn="0" w:lastRowFirstColumn="0" w:lastRowLastColumn="0"/>
              <w:rPr>
                <w:sz w:val="20"/>
                <w:lang w:val="en-AU"/>
              </w:rPr>
            </w:pPr>
            <w:r w:rsidRPr="005F62F4">
              <w:rPr>
                <w:sz w:val="20"/>
                <w:lang w:val="en-AU"/>
              </w:rPr>
              <w:t>Yes</w:t>
            </w:r>
          </w:p>
        </w:tc>
        <w:tc>
          <w:tcPr>
            <w:tcW w:w="851" w:type="dxa"/>
          </w:tcPr>
          <w:p w14:paraId="55A2FE27" w14:textId="0B194D5B" w:rsidR="00873F4D" w:rsidRPr="005F62F4" w:rsidRDefault="00DC019E" w:rsidP="00105877">
            <w:pPr>
              <w:pStyle w:val="TableTextRight"/>
              <w:cnfStyle w:val="000000000000" w:firstRow="0" w:lastRow="0" w:firstColumn="0" w:lastColumn="0" w:oddVBand="0" w:evenVBand="0" w:oddHBand="0" w:evenHBand="0" w:firstRowFirstColumn="0" w:firstRowLastColumn="0" w:lastRowFirstColumn="0" w:lastRowLastColumn="0"/>
              <w:rPr>
                <w:sz w:val="20"/>
                <w:lang w:val="en-AU"/>
              </w:rPr>
            </w:pPr>
            <w:r w:rsidRPr="005F62F4">
              <w:rPr>
                <w:sz w:val="20"/>
                <w:lang w:val="en-AU"/>
              </w:rPr>
              <w:t>$1,829</w:t>
            </w:r>
          </w:p>
        </w:tc>
      </w:tr>
      <w:tr w:rsidR="00961700" w:rsidRPr="005F62F4" w14:paraId="11153F51" w14:textId="601136A3" w:rsidTr="0058693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1B190CE2" w14:textId="28C15CBE" w:rsidR="00961700" w:rsidRPr="005F62F4" w:rsidRDefault="00961700" w:rsidP="00961700">
            <w:pPr>
              <w:rPr>
                <w:rStyle w:val="Strong"/>
                <w:b/>
                <w:sz w:val="20"/>
              </w:rPr>
            </w:pPr>
            <w:r w:rsidRPr="005F62F4">
              <w:rPr>
                <w:rStyle w:val="Strong"/>
                <w:b/>
                <w:sz w:val="20"/>
              </w:rPr>
              <w:t>AA-Med Pty Ltd</w:t>
            </w:r>
          </w:p>
        </w:tc>
        <w:tc>
          <w:tcPr>
            <w:tcW w:w="1247" w:type="dxa"/>
          </w:tcPr>
          <w:p w14:paraId="2B0FEE1A" w14:textId="3313E188" w:rsidR="00961700" w:rsidRPr="005F62F4" w:rsidRDefault="00961700" w:rsidP="0043244F">
            <w:pPr>
              <w:pStyle w:val="TableText"/>
              <w:cnfStyle w:val="000000010000" w:firstRow="0" w:lastRow="0" w:firstColumn="0" w:lastColumn="0" w:oddVBand="0" w:evenVBand="0" w:oddHBand="0" w:evenHBand="1" w:firstRowFirstColumn="0" w:firstRowLastColumn="0" w:lastRowFirstColumn="0" w:lastRowLastColumn="0"/>
              <w:rPr>
                <w:sz w:val="20"/>
              </w:rPr>
            </w:pPr>
            <w:proofErr w:type="spellStart"/>
            <w:r w:rsidRPr="005F62F4">
              <w:rPr>
                <w:sz w:val="20"/>
              </w:rPr>
              <w:t>Lyka</w:t>
            </w:r>
            <w:proofErr w:type="spellEnd"/>
            <w:r w:rsidR="007354F8" w:rsidRPr="005F62F4">
              <w:rPr>
                <w:sz w:val="20"/>
              </w:rPr>
              <w:t xml:space="preserve"> </w:t>
            </w:r>
            <w:r w:rsidRPr="005F62F4">
              <w:rPr>
                <w:sz w:val="20"/>
              </w:rPr>
              <w:t xml:space="preserve">Smith Anatomical </w:t>
            </w:r>
            <w:proofErr w:type="spellStart"/>
            <w:r w:rsidRPr="005F62F4">
              <w:rPr>
                <w:sz w:val="20"/>
              </w:rPr>
              <w:t>Biomodel</w:t>
            </w:r>
            <w:proofErr w:type="spellEnd"/>
            <w:r w:rsidRPr="005F62F4">
              <w:rPr>
                <w:sz w:val="20"/>
              </w:rPr>
              <w:t xml:space="preserve"> </w:t>
            </w:r>
          </w:p>
        </w:tc>
        <w:tc>
          <w:tcPr>
            <w:tcW w:w="1417" w:type="dxa"/>
          </w:tcPr>
          <w:p w14:paraId="52140D6F" w14:textId="5BB4AE2F" w:rsidR="00985DE2" w:rsidRPr="005F62F4" w:rsidRDefault="00AA391A" w:rsidP="0043244F">
            <w:pPr>
              <w:pStyle w:val="TableText"/>
              <w:cnfStyle w:val="000000010000" w:firstRow="0" w:lastRow="0" w:firstColumn="0" w:lastColumn="0" w:oddVBand="0" w:evenVBand="0" w:oddHBand="0" w:evenHBand="1" w:firstRowFirstColumn="0" w:firstRowLastColumn="0" w:lastRowFirstColumn="0" w:lastRowLastColumn="0"/>
              <w:rPr>
                <w:sz w:val="20"/>
              </w:rPr>
            </w:pPr>
            <w:r w:rsidRPr="005F62F4">
              <w:rPr>
                <w:sz w:val="20"/>
              </w:rPr>
              <w:t>293845</w:t>
            </w:r>
          </w:p>
        </w:tc>
        <w:tc>
          <w:tcPr>
            <w:tcW w:w="3432" w:type="dxa"/>
          </w:tcPr>
          <w:p w14:paraId="1D2E3789" w14:textId="588B2E03" w:rsidR="00961700" w:rsidRPr="005F62F4" w:rsidRDefault="003B5A9E" w:rsidP="00961700">
            <w:pPr>
              <w:cnfStyle w:val="000000010000" w:firstRow="0" w:lastRow="0" w:firstColumn="0" w:lastColumn="0" w:oddVBand="0" w:evenVBand="0" w:oddHBand="0" w:evenHBand="1" w:firstRowFirstColumn="0" w:firstRowLastColumn="0" w:lastRowFirstColumn="0" w:lastRowLastColumn="0"/>
              <w:rPr>
                <w:sz w:val="20"/>
              </w:rPr>
            </w:pPr>
            <w:r w:rsidRPr="005F62F4">
              <w:rPr>
                <w:rStyle w:val="TableTextChar"/>
                <w:sz w:val="20"/>
              </w:rPr>
              <w:t>Intended for reconstruction of painful and/or severely disabled temporomandibular joints. The system consists of fixation screws, fixation plate, custom</w:t>
            </w:r>
            <w:r w:rsidR="00440E0F">
              <w:rPr>
                <w:rStyle w:val="TableTextChar"/>
                <w:sz w:val="20"/>
              </w:rPr>
              <w:t>-</w:t>
            </w:r>
            <w:r w:rsidRPr="005F62F4">
              <w:rPr>
                <w:rStyle w:val="TableTextChar"/>
                <w:sz w:val="20"/>
              </w:rPr>
              <w:t>made fossa component, custom</w:t>
            </w:r>
            <w:r w:rsidR="00440E0F">
              <w:rPr>
                <w:rStyle w:val="TableTextChar"/>
                <w:sz w:val="20"/>
              </w:rPr>
              <w:t>-</w:t>
            </w:r>
            <w:r w:rsidRPr="005F62F4">
              <w:rPr>
                <w:rStyle w:val="TableTextChar"/>
                <w:sz w:val="20"/>
              </w:rPr>
              <w:t>made fossa bearing component, custom</w:t>
            </w:r>
            <w:r w:rsidR="00440E0F">
              <w:rPr>
                <w:rStyle w:val="TableTextChar"/>
                <w:sz w:val="20"/>
              </w:rPr>
              <w:t>-</w:t>
            </w:r>
            <w:r w:rsidRPr="005F62F4">
              <w:rPr>
                <w:rStyle w:val="TableTextChar"/>
                <w:sz w:val="20"/>
              </w:rPr>
              <w:t>made condylar ramus component, custom</w:t>
            </w:r>
            <w:r w:rsidR="00440E0F">
              <w:rPr>
                <w:rStyle w:val="TableTextChar"/>
                <w:sz w:val="20"/>
              </w:rPr>
              <w:t>-</w:t>
            </w:r>
            <w:r w:rsidRPr="005F62F4">
              <w:rPr>
                <w:rStyle w:val="TableTextChar"/>
                <w:sz w:val="20"/>
              </w:rPr>
              <w:t xml:space="preserve">made plate, </w:t>
            </w:r>
            <w:r w:rsidRPr="005F62F4">
              <w:rPr>
                <w:rStyle w:val="Strong"/>
                <w:sz w:val="20"/>
              </w:rPr>
              <w:t>custom</w:t>
            </w:r>
            <w:r w:rsidR="00440E0F">
              <w:rPr>
                <w:rStyle w:val="Strong"/>
                <w:sz w:val="20"/>
              </w:rPr>
              <w:t>-</w:t>
            </w:r>
            <w:r w:rsidRPr="005F62F4">
              <w:rPr>
                <w:rStyle w:val="Strong"/>
                <w:sz w:val="20"/>
              </w:rPr>
              <w:t>made surgical guides</w:t>
            </w:r>
            <w:r w:rsidRPr="005F62F4">
              <w:rPr>
                <w:rStyle w:val="TableTextChar"/>
                <w:sz w:val="20"/>
              </w:rPr>
              <w:t xml:space="preserve"> and </w:t>
            </w:r>
            <w:r w:rsidRPr="005F62F4">
              <w:rPr>
                <w:rStyle w:val="Strong"/>
                <w:sz w:val="20"/>
              </w:rPr>
              <w:t>custom</w:t>
            </w:r>
            <w:r w:rsidR="00440E0F">
              <w:rPr>
                <w:rStyle w:val="Strong"/>
                <w:sz w:val="20"/>
              </w:rPr>
              <w:t>-</w:t>
            </w:r>
            <w:r w:rsidRPr="005F62F4">
              <w:rPr>
                <w:rStyle w:val="Strong"/>
                <w:sz w:val="20"/>
              </w:rPr>
              <w:t xml:space="preserve">made </w:t>
            </w:r>
            <w:proofErr w:type="spellStart"/>
            <w:r w:rsidRPr="005F62F4">
              <w:rPr>
                <w:rStyle w:val="Strong"/>
                <w:sz w:val="20"/>
              </w:rPr>
              <w:t>biomodel</w:t>
            </w:r>
            <w:proofErr w:type="spellEnd"/>
            <w:r w:rsidRPr="005F62F4">
              <w:rPr>
                <w:rStyle w:val="TableTextChar"/>
                <w:sz w:val="20"/>
              </w:rPr>
              <w:t>.</w:t>
            </w:r>
          </w:p>
        </w:tc>
        <w:tc>
          <w:tcPr>
            <w:tcW w:w="1275" w:type="dxa"/>
          </w:tcPr>
          <w:p w14:paraId="656F2CCA" w14:textId="07E46051" w:rsidR="008E0271" w:rsidRPr="005F62F4" w:rsidRDefault="00C50F25" w:rsidP="008E0271">
            <w:pPr>
              <w:pStyle w:val="TableTextRight"/>
              <w:keepNext/>
              <w:jc w:val="center"/>
              <w:cnfStyle w:val="000000010000" w:firstRow="0" w:lastRow="0" w:firstColumn="0" w:lastColumn="0" w:oddVBand="0" w:evenVBand="0" w:oddHBand="0" w:evenHBand="1" w:firstRowFirstColumn="0" w:firstRowLastColumn="0" w:lastRowFirstColumn="0" w:lastRowLastColumn="0"/>
              <w:rPr>
                <w:sz w:val="20"/>
                <w:lang w:val="en-AU"/>
              </w:rPr>
            </w:pPr>
            <w:r w:rsidRPr="005F62F4">
              <w:rPr>
                <w:sz w:val="20"/>
                <w:lang w:val="en-AU"/>
              </w:rPr>
              <w:t>Yes</w:t>
            </w:r>
          </w:p>
        </w:tc>
        <w:tc>
          <w:tcPr>
            <w:tcW w:w="851" w:type="dxa"/>
          </w:tcPr>
          <w:p w14:paraId="4A87C815" w14:textId="36FA828D" w:rsidR="00873F4D" w:rsidRPr="005F62F4" w:rsidRDefault="00DC019E" w:rsidP="00615CE6">
            <w:pPr>
              <w:pStyle w:val="TableTextRight"/>
              <w:keepNext/>
              <w:cnfStyle w:val="000000010000" w:firstRow="0" w:lastRow="0" w:firstColumn="0" w:lastColumn="0" w:oddVBand="0" w:evenVBand="0" w:oddHBand="0" w:evenHBand="1" w:firstRowFirstColumn="0" w:firstRowLastColumn="0" w:lastRowFirstColumn="0" w:lastRowLastColumn="0"/>
              <w:rPr>
                <w:sz w:val="20"/>
                <w:lang w:val="en-AU"/>
              </w:rPr>
            </w:pPr>
            <w:r w:rsidRPr="005F62F4">
              <w:rPr>
                <w:sz w:val="20"/>
                <w:lang w:val="en-AU"/>
              </w:rPr>
              <w:t>$1,829</w:t>
            </w:r>
          </w:p>
        </w:tc>
      </w:tr>
    </w:tbl>
    <w:p w14:paraId="2760EDB8" w14:textId="77777777" w:rsidR="004C4554" w:rsidRPr="005F62F4" w:rsidRDefault="004C4554" w:rsidP="0075478F"/>
    <w:p w14:paraId="5A25D1BE" w14:textId="66B0CACC" w:rsidR="006F2E5E" w:rsidRPr="005F62F4" w:rsidRDefault="006F2E5E" w:rsidP="0075478F">
      <w:pPr>
        <w:sectPr w:rsidR="006F2E5E" w:rsidRPr="005F62F4" w:rsidSect="006653A9">
          <w:pgSz w:w="11906" w:h="16838" w:code="9"/>
          <w:pgMar w:top="1134" w:right="1134" w:bottom="1134" w:left="1440" w:header="709" w:footer="709" w:gutter="0"/>
          <w:cols w:space="708"/>
          <w:titlePg/>
          <w:docGrid w:linePitch="360"/>
        </w:sectPr>
      </w:pPr>
    </w:p>
    <w:p w14:paraId="329739B9" w14:textId="494A804A" w:rsidR="000A4FA9" w:rsidRPr="005F62F4" w:rsidRDefault="00F47DF5" w:rsidP="004F2931">
      <w:pPr>
        <w:pStyle w:val="HeadingA1"/>
      </w:pPr>
      <w:bookmarkStart w:id="265" w:name="_Ref119662524"/>
      <w:bookmarkStart w:id="266" w:name="_Toc120178345"/>
      <w:bookmarkStart w:id="267" w:name="_Toc129954621"/>
      <w:r w:rsidRPr="005F62F4">
        <w:lastRenderedPageBreak/>
        <w:t>Systematic review</w:t>
      </w:r>
      <w:bookmarkEnd w:id="265"/>
      <w:bookmarkEnd w:id="266"/>
      <w:bookmarkEnd w:id="267"/>
    </w:p>
    <w:p w14:paraId="1D58CA7B" w14:textId="4D8D71D8" w:rsidR="00F47DF5" w:rsidRPr="005F62F4" w:rsidRDefault="008C62D9" w:rsidP="00D116D8">
      <w:pPr>
        <w:pStyle w:val="HeadingA2"/>
        <w:spacing w:before="240"/>
      </w:pPr>
      <w:bookmarkStart w:id="268" w:name="_Toc120178346"/>
      <w:r w:rsidRPr="005F62F4">
        <w:t>Methods</w:t>
      </w:r>
      <w:bookmarkEnd w:id="268"/>
    </w:p>
    <w:p w14:paraId="587B2BA7" w14:textId="44D15421" w:rsidR="006E74DC" w:rsidRPr="005F62F4" w:rsidRDefault="006E74DC" w:rsidP="00AF6512">
      <w:pPr>
        <w:pStyle w:val="ParaKeep"/>
      </w:pPr>
      <w:r w:rsidRPr="005F62F4">
        <w:t xml:space="preserve">To capture the evidence for the </w:t>
      </w:r>
      <w:r w:rsidR="00286835" w:rsidRPr="005F62F4">
        <w:t xml:space="preserve">surgical guides and </w:t>
      </w:r>
      <w:proofErr w:type="spellStart"/>
      <w:r w:rsidR="00286835" w:rsidRPr="005F62F4">
        <w:t>biomodels</w:t>
      </w:r>
      <w:proofErr w:type="spellEnd"/>
      <w:r w:rsidR="00286835" w:rsidRPr="005F62F4">
        <w:t xml:space="preserve"> </w:t>
      </w:r>
      <w:r w:rsidRPr="005F62F4">
        <w:t>currently listed on the PL, we undert</w:t>
      </w:r>
      <w:r w:rsidR="007E4E36" w:rsidRPr="005F62F4">
        <w:t>ook</w:t>
      </w:r>
      <w:r w:rsidRPr="005F62F4">
        <w:t xml:space="preserve"> a rapid and targeted systematic review of </w:t>
      </w:r>
      <w:r w:rsidR="004F6FBD" w:rsidRPr="005F62F4">
        <w:t xml:space="preserve">relevant </w:t>
      </w:r>
      <w:r w:rsidRPr="005F62F4">
        <w:t>literature.</w:t>
      </w:r>
      <w:r w:rsidR="00AF6512" w:rsidRPr="005F62F4">
        <w:t xml:space="preserve"> </w:t>
      </w:r>
      <w:r w:rsidRPr="005F62F4">
        <w:t xml:space="preserve">The aim of this review </w:t>
      </w:r>
      <w:r w:rsidR="007E4E36" w:rsidRPr="005F62F4">
        <w:t>wa</w:t>
      </w:r>
      <w:r w:rsidRPr="005F62F4">
        <w:t>s to:</w:t>
      </w:r>
    </w:p>
    <w:p w14:paraId="0846959D" w14:textId="0B931698" w:rsidR="006E74DC" w:rsidRPr="005F62F4" w:rsidRDefault="006E74DC" w:rsidP="00D116D8">
      <w:pPr>
        <w:pStyle w:val="Bullet1"/>
        <w:spacing w:before="60"/>
      </w:pPr>
      <w:r w:rsidRPr="005F62F4">
        <w:t xml:space="preserve">identify evidence regarding the comparative clinical benefits and clinical effectiveness of the surgical guides and </w:t>
      </w:r>
      <w:proofErr w:type="spellStart"/>
      <w:r w:rsidRPr="005F62F4">
        <w:t>biomodels</w:t>
      </w:r>
      <w:proofErr w:type="spellEnd"/>
      <w:r w:rsidRPr="005F62F4">
        <w:t xml:space="preserve"> (the appropriate comparator may be standard care, or no guide</w:t>
      </w:r>
      <w:r w:rsidR="00232394" w:rsidRPr="005F62F4">
        <w:t xml:space="preserve"> or </w:t>
      </w:r>
      <w:proofErr w:type="spellStart"/>
      <w:r w:rsidR="00232394" w:rsidRPr="005F62F4">
        <w:t>biomodel</w:t>
      </w:r>
      <w:proofErr w:type="spellEnd"/>
      <w:r w:rsidRPr="005F62F4">
        <w:t>)</w:t>
      </w:r>
    </w:p>
    <w:p w14:paraId="16E669C0" w14:textId="0F33BB75" w:rsidR="006E74DC" w:rsidRPr="005F62F4" w:rsidRDefault="006E74DC" w:rsidP="00D116D8">
      <w:pPr>
        <w:pStyle w:val="Bullet1"/>
      </w:pPr>
      <w:r w:rsidRPr="005F62F4">
        <w:t xml:space="preserve">clearly identify and analyse the benefit/s of surgical guides and </w:t>
      </w:r>
      <w:proofErr w:type="spellStart"/>
      <w:r w:rsidRPr="005F62F4">
        <w:t>biomodels</w:t>
      </w:r>
      <w:proofErr w:type="spellEnd"/>
      <w:r w:rsidRPr="005F62F4">
        <w:t xml:space="preserve"> compared to the comparator, including clinical outcomes and surrogate outcomes (such as time in surgery)</w:t>
      </w:r>
    </w:p>
    <w:p w14:paraId="2073A9B1" w14:textId="3840FFE8" w:rsidR="006E74DC" w:rsidRPr="005F62F4" w:rsidRDefault="006E74DC" w:rsidP="00D116D8">
      <w:pPr>
        <w:pStyle w:val="Bullet1"/>
      </w:pPr>
      <w:r w:rsidRPr="005F62F4">
        <w:t xml:space="preserve">analyse the comparative clinical effectiveness of different types of surgical guides and </w:t>
      </w:r>
      <w:proofErr w:type="spellStart"/>
      <w:r w:rsidRPr="005F62F4">
        <w:t>biomodels</w:t>
      </w:r>
      <w:proofErr w:type="spellEnd"/>
    </w:p>
    <w:p w14:paraId="1041B4F5" w14:textId="4EAB268F" w:rsidR="006E74DC" w:rsidRPr="005F62F4" w:rsidRDefault="006E74DC" w:rsidP="00D116D8">
      <w:pPr>
        <w:pStyle w:val="Bullet1"/>
      </w:pPr>
      <w:r w:rsidRPr="005F62F4">
        <w:t xml:space="preserve">identify the circumstances in which surgical guides and </w:t>
      </w:r>
      <w:proofErr w:type="spellStart"/>
      <w:r w:rsidRPr="005F62F4">
        <w:t>biomodels</w:t>
      </w:r>
      <w:proofErr w:type="spellEnd"/>
      <w:r w:rsidRPr="005F62F4">
        <w:t xml:space="preserve"> provide clinical benefit, for comparison, to the extent possible, with the PL utilisation of surgical guides and </w:t>
      </w:r>
      <w:proofErr w:type="spellStart"/>
      <w:r w:rsidRPr="005F62F4">
        <w:t>biomodels</w:t>
      </w:r>
      <w:proofErr w:type="spellEnd"/>
      <w:r w:rsidRPr="005F62F4">
        <w:t xml:space="preserve"> in Australia and overseas.</w:t>
      </w:r>
    </w:p>
    <w:p w14:paraId="43C7E3AF" w14:textId="122BA0F3" w:rsidR="006E74DC" w:rsidRPr="005F62F4" w:rsidRDefault="006E74DC" w:rsidP="006E74DC">
      <w:pPr>
        <w:pStyle w:val="Para"/>
      </w:pPr>
      <w:r w:rsidRPr="005F62F4">
        <w:t xml:space="preserve">The review question </w:t>
      </w:r>
      <w:r w:rsidR="007E4E36" w:rsidRPr="005F62F4">
        <w:t>wa</w:t>
      </w:r>
      <w:r w:rsidRPr="005F62F4">
        <w:t xml:space="preserve">s: What is the comparative evidence on the clinical benefits and clinical effectiveness of the listed surgical guides and </w:t>
      </w:r>
      <w:proofErr w:type="spellStart"/>
      <w:r w:rsidRPr="005F62F4">
        <w:t>biomodels</w:t>
      </w:r>
      <w:proofErr w:type="spellEnd"/>
      <w:r w:rsidRPr="005F62F4">
        <w:t>?</w:t>
      </w:r>
    </w:p>
    <w:p w14:paraId="667691C1" w14:textId="6AD90460" w:rsidR="006E74DC" w:rsidRPr="005F62F4" w:rsidRDefault="006E74DC" w:rsidP="006E74DC">
      <w:pPr>
        <w:pStyle w:val="Para"/>
      </w:pPr>
      <w:r w:rsidRPr="005F62F4">
        <w:t>The recommendations of the Cochrane Rapid Reviews Methods Group and the World Health Organization’s guide to rapid reviews provide</w:t>
      </w:r>
      <w:r w:rsidR="00085A62" w:rsidRPr="005F62F4">
        <w:t>d</w:t>
      </w:r>
      <w:r w:rsidRPr="005F62F4">
        <w:t xml:space="preserve"> a broad framework for the methodology</w:t>
      </w:r>
      <w:r w:rsidR="00B845AA" w:rsidRPr="005F62F4">
        <w:t xml:space="preserve"> </w:t>
      </w:r>
      <w:r w:rsidR="00B845AA" w:rsidRPr="005F62F4">
        <w:fldChar w:fldCharType="begin" w:fldLock="1"/>
      </w:r>
      <w:r w:rsidR="00B845AA" w:rsidRPr="005F62F4">
        <w:instrText>ADDIN CSL_CITATION {"citationItems":[{"id":"ITEM-1","itemData":{"DOI":"10.1016/j.jclinepi.2020.10.007","ISSN":"18785921","PMID":"33068715","abstract":"Objectives: To develop methods guidance to support the conduct of rapid reviews (RRs) produced within Cochrane and beyond, in response to requests for timely evidence syntheses for decision-making purposes including urgent health issues of high priority. Study Design and Setting: Interim recommendations were informed by a scoping review of the underlying evidence, primary methods studies conducted, and a survey sent to 119 representatives from 20 Cochrane entities, who were asked to rate and rank RR methods across stages of review conduct. Discussions among those with expertise in RR methods further informed the list of recommendations with accompanying rationales provided. Results: Based on survey results from 63 respondents (53% response rate), 26 RR methods recommendations are presented for which there was a high or moderate level of agreement or scored highest in the absence of such agreement. Where possible, how recommendations align with Cochrane methods guidance for systematic reviews is highlighted. Conclusion: The Cochrane Rapid Reviews Methods Group offers new, interim guidance to support the conduct of RRs. Because best practice is limited by the lack of currently available evidence for some RR methods shortcuts taken, this guidance will need to be updated as additional abbreviated methods are evaluated.","author":[{"dropping-particle":"","family":"Garritty","given":"Chantelle","non-dropping-particle":"","parse-names":false,"suffix":""},{"dropping-particle":"","family":"Gartlehner","given":"Gerald","non-dropping-particle":"","parse-names":false,"suffix":""},{"dropping-particle":"","family":"Nussbaumer-Streit","given":"Barbara","non-dropping-particle":"","parse-names":false,"suffix":""},{"dropping-particle":"","family":"King","given":"Valerie J","non-dropping-particle":"","parse-names":false,"suffix":""},{"dropping-particle":"","family":"Hamel","given":"Candyce","non-dropping-particle":"","parse-names":false,"suffix":""},{"dropping-particle":"","family":"Kamel","given":"Chris","non-dropping-particle":"","parse-names":false,"suffix":""},{"dropping-particle":"","family":"Affengruber","given":"Lisa","non-dropping-particle":"","parse-names":false,"suffix":""},{"dropping-particle":"","family":"Stevens","given":"Adrienne","non-dropping-particle":"","parse-names":false,"suffix":""}],"container-title":"Journal of Clinical Epidemiology","id":"ITEM-1","issued":{"date-parts":[["2021"]]},"page":"13-22","publisher":"Elsevier Inc","title":"Cochrane Rapid Reviews Methods Group offers evidence-informed guidance to conduct rapid reviews","type":"article-journal","volume":"130"},"uris":["http://www.mendeley.com/documents/?uuid=4a0c8f09-f9f3-4620-951e-dc5dc3991c69"]},{"id":"ITEM-2","itemData":{"ISBN":"9789241512763","editor":[{"dropping-particle":"","family":"Tricco","given":"Andrea C","non-dropping-particle":"","parse-names":false,"suffix":""},{"dropping-particle":"V","family":"Langlois","given":"Etienne","non-dropping-particle":"","parse-names":false,"suffix":""},{"dropping-particle":"","family":"Straus","given":"Sharon E","non-dropping-particle":"","parse-names":false,"suffix":""}],"id":"ITEM-2","issued":{"date-parts":[["2017"]]},"publisher":"Licence: CC BY-NC-SA 3.0 IGO, World Health Organization","publisher-place":"Geneva","title":"Rapid reviews to strengthen health policy and systems: a practical guide","type":"book"},"uris":["http://www.mendeley.com/documents/?uuid=7c0cfc5f-a794-4e00-a1a6-bc3f601d0bbd"]}],"mendeley":{"formattedCitation":"(Garritty et al. 2021; Tricco et al. 2017)","plainTextFormattedCitation":"(Garritty et al. 2021; Tricco et al. 2017)","previouslyFormattedCitation":"(Garritty et al. 2021; Tricco et al. 2017)"},"properties":{"noteIndex":0},"schema":"https://github.com/citation-style-language/schema/raw/master/csl-citation.json"}</w:instrText>
      </w:r>
      <w:r w:rsidR="00B845AA" w:rsidRPr="005F62F4">
        <w:fldChar w:fldCharType="separate"/>
      </w:r>
      <w:r w:rsidR="00B845AA" w:rsidRPr="005F62F4">
        <w:rPr>
          <w:noProof/>
        </w:rPr>
        <w:t>(Garritty et al. 2021; Tricco et al. 2017)</w:t>
      </w:r>
      <w:r w:rsidR="00B845AA" w:rsidRPr="005F62F4">
        <w:fldChar w:fldCharType="end"/>
      </w:r>
      <w:r w:rsidRPr="005F62F4">
        <w:t>, with practical adjustments to ensure the timeliness of the review.</w:t>
      </w:r>
    </w:p>
    <w:p w14:paraId="6DC28981" w14:textId="72BB9B63" w:rsidR="006E74DC" w:rsidRPr="005F62F4" w:rsidRDefault="006E74DC" w:rsidP="006E74DC">
      <w:pPr>
        <w:pStyle w:val="Para"/>
      </w:pPr>
      <w:r w:rsidRPr="005F62F4">
        <w:t xml:space="preserve">The systematic review </w:t>
      </w:r>
      <w:r w:rsidR="007E4E36" w:rsidRPr="005F62F4">
        <w:t>was</w:t>
      </w:r>
      <w:r w:rsidRPr="005F62F4">
        <w:t xml:space="preserve"> based on a PICO (</w:t>
      </w:r>
      <w:r w:rsidR="005918D2" w:rsidRPr="005F62F4">
        <w:t>population</w:t>
      </w:r>
      <w:r w:rsidRPr="005F62F4">
        <w:t>, intervention, comparator, outcomes) framework as outlined below.</w:t>
      </w:r>
    </w:p>
    <w:p w14:paraId="5B220562" w14:textId="4F990C6C" w:rsidR="006E74DC" w:rsidRPr="005F62F4" w:rsidRDefault="005918D2" w:rsidP="00D20797">
      <w:pPr>
        <w:pStyle w:val="Para"/>
        <w:spacing w:before="120"/>
        <w:ind w:left="720"/>
      </w:pPr>
      <w:r w:rsidRPr="005F62F4">
        <w:rPr>
          <w:rStyle w:val="Strong"/>
        </w:rPr>
        <w:t>Population</w:t>
      </w:r>
      <w:r w:rsidR="006E74DC" w:rsidRPr="005F62F4">
        <w:rPr>
          <w:rStyle w:val="Strong"/>
        </w:rPr>
        <w:t>:</w:t>
      </w:r>
      <w:r w:rsidR="006E74DC" w:rsidRPr="005F62F4">
        <w:t xml:space="preserve"> Patients who have undergone implant</w:t>
      </w:r>
      <w:r w:rsidR="006639EF" w:rsidRPr="005F62F4">
        <w:t xml:space="preserve"> or </w:t>
      </w:r>
      <w:r w:rsidR="006E74DC" w:rsidRPr="005F62F4">
        <w:t>prosthesis placement.</w:t>
      </w:r>
    </w:p>
    <w:p w14:paraId="4335739E" w14:textId="61B78946" w:rsidR="006E74DC" w:rsidRPr="005F62F4" w:rsidRDefault="006E74DC" w:rsidP="00D20797">
      <w:pPr>
        <w:pStyle w:val="Para"/>
        <w:spacing w:before="120"/>
        <w:ind w:left="720"/>
      </w:pPr>
      <w:r w:rsidRPr="005F62F4">
        <w:rPr>
          <w:rStyle w:val="Strong"/>
        </w:rPr>
        <w:t>Intervention(s), exposure(s):</w:t>
      </w:r>
      <w:r w:rsidRPr="005F62F4">
        <w:t xml:space="preserve"> Implant placement utilising the surgical guides and/or </w:t>
      </w:r>
      <w:proofErr w:type="spellStart"/>
      <w:r w:rsidRPr="005F62F4">
        <w:t>biomodels</w:t>
      </w:r>
      <w:proofErr w:type="spellEnd"/>
      <w:r w:rsidRPr="005F62F4">
        <w:t xml:space="preserve"> listed in </w:t>
      </w:r>
      <w:r w:rsidR="005D5C75" w:rsidRPr="005F62F4">
        <w:fldChar w:fldCharType="begin"/>
      </w:r>
      <w:r w:rsidR="005D5C75" w:rsidRPr="005F62F4">
        <w:instrText xml:space="preserve"> REF _Ref119605250 \w \h </w:instrText>
      </w:r>
      <w:r w:rsidR="005F62F4">
        <w:instrText xml:space="preserve"> \* MERGEFORMAT </w:instrText>
      </w:r>
      <w:r w:rsidR="005D5C75" w:rsidRPr="005F62F4">
        <w:fldChar w:fldCharType="separate"/>
      </w:r>
      <w:r w:rsidR="005606BF">
        <w:t>Appendix B</w:t>
      </w:r>
      <w:r w:rsidR="005D5C75" w:rsidRPr="005F62F4">
        <w:fldChar w:fldCharType="end"/>
      </w:r>
      <w:r w:rsidR="00576040" w:rsidRPr="005F62F4">
        <w:t>.</w:t>
      </w:r>
    </w:p>
    <w:p w14:paraId="74A14744" w14:textId="522B83E6" w:rsidR="006E74DC" w:rsidRPr="005F62F4" w:rsidRDefault="006E74DC" w:rsidP="00D20797">
      <w:pPr>
        <w:pStyle w:val="ParaKeep"/>
        <w:spacing w:before="120"/>
        <w:ind w:left="720"/>
      </w:pPr>
      <w:r w:rsidRPr="005F62F4">
        <w:rPr>
          <w:rStyle w:val="Strong"/>
        </w:rPr>
        <w:t>Comparator(s)/control:</w:t>
      </w:r>
      <w:r w:rsidRPr="005F62F4">
        <w:t xml:space="preserve"> Implant</w:t>
      </w:r>
      <w:r w:rsidR="006639EF" w:rsidRPr="005F62F4">
        <w:t xml:space="preserve"> or </w:t>
      </w:r>
      <w:r w:rsidRPr="005F62F4">
        <w:t>prosthesis placement that:</w:t>
      </w:r>
    </w:p>
    <w:p w14:paraId="6A37F7DB" w14:textId="76797205" w:rsidR="006E74DC" w:rsidRPr="005F62F4" w:rsidRDefault="006E74DC" w:rsidP="00D20797">
      <w:pPr>
        <w:pStyle w:val="Bullet1"/>
        <w:spacing w:before="60" w:after="60"/>
        <w:ind w:left="1287"/>
      </w:pPr>
      <w:r w:rsidRPr="005F62F4">
        <w:t xml:space="preserve">does not use surgical guides or </w:t>
      </w:r>
      <w:proofErr w:type="spellStart"/>
      <w:r w:rsidRPr="005F62F4">
        <w:t>biomodels</w:t>
      </w:r>
      <w:proofErr w:type="spellEnd"/>
    </w:p>
    <w:p w14:paraId="002C8C04" w14:textId="162BBFD9" w:rsidR="006E74DC" w:rsidRPr="005F62F4" w:rsidRDefault="006E74DC" w:rsidP="00D20797">
      <w:pPr>
        <w:pStyle w:val="Bullet1"/>
        <w:spacing w:before="60" w:after="60"/>
        <w:ind w:left="1287"/>
      </w:pPr>
      <w:r w:rsidRPr="005F62F4">
        <w:t xml:space="preserve">uses alternative surgical guides or </w:t>
      </w:r>
      <w:proofErr w:type="spellStart"/>
      <w:r w:rsidRPr="005F62F4">
        <w:t>biomodels</w:t>
      </w:r>
      <w:proofErr w:type="spellEnd"/>
    </w:p>
    <w:p w14:paraId="480427CE" w14:textId="793CEDDD" w:rsidR="006E74DC" w:rsidRPr="005F62F4" w:rsidRDefault="006E74DC" w:rsidP="00D20797">
      <w:pPr>
        <w:pStyle w:val="Bullet1"/>
        <w:spacing w:before="60" w:after="60"/>
        <w:ind w:left="1287"/>
      </w:pPr>
      <w:r w:rsidRPr="005F62F4">
        <w:t xml:space="preserve">uses software models instead of surgical guides and </w:t>
      </w:r>
      <w:proofErr w:type="spellStart"/>
      <w:r w:rsidRPr="005F62F4">
        <w:t>biomodels</w:t>
      </w:r>
      <w:proofErr w:type="spellEnd"/>
      <w:r w:rsidRPr="005F62F4">
        <w:t>.</w:t>
      </w:r>
    </w:p>
    <w:p w14:paraId="6277E613" w14:textId="77777777" w:rsidR="006E74DC" w:rsidRPr="005F62F4" w:rsidRDefault="006E74DC" w:rsidP="00D20797">
      <w:pPr>
        <w:pStyle w:val="ParaKeep"/>
        <w:spacing w:before="120"/>
        <w:ind w:left="720"/>
        <w:rPr>
          <w:b/>
          <w:bCs/>
        </w:rPr>
      </w:pPr>
      <w:r w:rsidRPr="005F62F4">
        <w:rPr>
          <w:b/>
          <w:bCs/>
        </w:rPr>
        <w:t>Outcome(s):</w:t>
      </w:r>
    </w:p>
    <w:p w14:paraId="2CC23FC5" w14:textId="168BE647" w:rsidR="006E74DC" w:rsidRPr="005F62F4" w:rsidRDefault="0029550A" w:rsidP="00D20797">
      <w:pPr>
        <w:pStyle w:val="Bullet1"/>
        <w:spacing w:before="0" w:after="60"/>
        <w:ind w:left="1287"/>
      </w:pPr>
      <w:r w:rsidRPr="005F62F4">
        <w:t>c</w:t>
      </w:r>
      <w:r w:rsidR="006E74DC" w:rsidRPr="005F62F4">
        <w:t>omparative clinical benefits</w:t>
      </w:r>
    </w:p>
    <w:p w14:paraId="33152C61" w14:textId="100DF5AE" w:rsidR="006E74DC" w:rsidRPr="005F62F4" w:rsidRDefault="0029550A" w:rsidP="00D20797">
      <w:pPr>
        <w:pStyle w:val="Bullet1"/>
        <w:spacing w:after="60"/>
        <w:ind w:left="1287"/>
      </w:pPr>
      <w:r w:rsidRPr="005F62F4">
        <w:t>c</w:t>
      </w:r>
      <w:r w:rsidR="006E74DC" w:rsidRPr="005F62F4">
        <w:t>omparative clinical effectiveness</w:t>
      </w:r>
    </w:p>
    <w:p w14:paraId="4E544779" w14:textId="0296DD6C" w:rsidR="006E74DC" w:rsidRPr="005F62F4" w:rsidRDefault="0029550A" w:rsidP="00D20797">
      <w:pPr>
        <w:pStyle w:val="Bullet1"/>
        <w:spacing w:after="60"/>
        <w:ind w:left="1287"/>
      </w:pPr>
      <w:r w:rsidRPr="005F62F4">
        <w:t>o</w:t>
      </w:r>
      <w:r w:rsidR="006E74DC" w:rsidRPr="005F62F4">
        <w:t>ther relevant outcomes (</w:t>
      </w:r>
      <w:proofErr w:type="gramStart"/>
      <w:r w:rsidR="006E74DC" w:rsidRPr="005F62F4">
        <w:t>e.g.</w:t>
      </w:r>
      <w:proofErr w:type="gramEnd"/>
      <w:r w:rsidR="006E74DC" w:rsidRPr="005F62F4">
        <w:t xml:space="preserve"> surrogate outcomes, economic outcomes).</w:t>
      </w:r>
    </w:p>
    <w:p w14:paraId="1246DCAE" w14:textId="2157D148" w:rsidR="006E74DC" w:rsidRPr="005F62F4" w:rsidRDefault="006E74DC" w:rsidP="004F2931">
      <w:pPr>
        <w:pStyle w:val="HeadingA2"/>
      </w:pPr>
      <w:bookmarkStart w:id="269" w:name="_Ref119647324"/>
      <w:bookmarkStart w:id="270" w:name="_Toc120178347"/>
      <w:r w:rsidRPr="005F62F4">
        <w:lastRenderedPageBreak/>
        <w:t>Search strategy</w:t>
      </w:r>
      <w:bookmarkEnd w:id="269"/>
      <w:bookmarkEnd w:id="270"/>
    </w:p>
    <w:p w14:paraId="438CAC05" w14:textId="3F49FBF9" w:rsidR="006E74DC" w:rsidRPr="005F62F4" w:rsidRDefault="006E74DC" w:rsidP="0097676E">
      <w:pPr>
        <w:pStyle w:val="ParaKeep"/>
      </w:pPr>
      <w:r w:rsidRPr="005F62F4">
        <w:t>We perform</w:t>
      </w:r>
      <w:r w:rsidR="00781027" w:rsidRPr="005F62F4">
        <w:t>ed</w:t>
      </w:r>
      <w:r w:rsidRPr="005F62F4">
        <w:t xml:space="preserve"> 3 types of search</w:t>
      </w:r>
      <w:r w:rsidR="00514731" w:rsidRPr="005F62F4">
        <w:t>es</w:t>
      </w:r>
      <w:r w:rsidRPr="005F62F4">
        <w:t xml:space="preserve"> to identify relevant articles published in English between January 2013 and September 2022:</w:t>
      </w:r>
    </w:p>
    <w:p w14:paraId="06B00720" w14:textId="6814E1A4" w:rsidR="006E74DC" w:rsidRPr="005F62F4" w:rsidRDefault="006E74DC" w:rsidP="007C4445">
      <w:pPr>
        <w:pStyle w:val="Bullet1"/>
      </w:pPr>
      <w:r w:rsidRPr="005F62F4">
        <w:t>electronic database searching: MEDLINE (via PubMed)</w:t>
      </w:r>
    </w:p>
    <w:p w14:paraId="2A0DF8CB" w14:textId="2609A36E" w:rsidR="006E74DC" w:rsidRPr="005F62F4" w:rsidRDefault="006E74DC" w:rsidP="007C4445">
      <w:pPr>
        <w:pStyle w:val="Bullet1"/>
      </w:pPr>
      <w:r w:rsidRPr="005F62F4">
        <w:t xml:space="preserve">manual hand searching: the reference lists of included full text articles </w:t>
      </w:r>
      <w:r w:rsidR="000A4F3B" w:rsidRPr="005F62F4">
        <w:t>were</w:t>
      </w:r>
      <w:r w:rsidRPr="005F62F4">
        <w:t xml:space="preserve"> scanned to identify eligible articles that were missed in the database search</w:t>
      </w:r>
    </w:p>
    <w:p w14:paraId="750E56FD" w14:textId="2C3B3440" w:rsidR="006E74DC" w:rsidRPr="005F62F4" w:rsidRDefault="006E74DC" w:rsidP="007C4445">
      <w:pPr>
        <w:pStyle w:val="Bullet1"/>
      </w:pPr>
      <w:r w:rsidRPr="005F62F4">
        <w:t xml:space="preserve">search of information provided by sponsors and stakeholders relating to the surgical guides and </w:t>
      </w:r>
      <w:proofErr w:type="spellStart"/>
      <w:r w:rsidRPr="005F62F4">
        <w:t>biomodels</w:t>
      </w:r>
      <w:proofErr w:type="spellEnd"/>
      <w:r w:rsidRPr="005F62F4">
        <w:t xml:space="preserve"> of interest.</w:t>
      </w:r>
    </w:p>
    <w:p w14:paraId="422C208B" w14:textId="04214E89" w:rsidR="006E74DC" w:rsidRPr="005F62F4" w:rsidRDefault="006E74DC" w:rsidP="004F2931">
      <w:pPr>
        <w:pStyle w:val="HeadingA3"/>
      </w:pPr>
      <w:bookmarkStart w:id="271" w:name="_Toc120178348"/>
      <w:r w:rsidRPr="005F62F4">
        <w:t>Inclusion and exclusion criteria</w:t>
      </w:r>
      <w:bookmarkEnd w:id="271"/>
    </w:p>
    <w:p w14:paraId="3671A1A0" w14:textId="00116774" w:rsidR="009D214A" w:rsidRPr="005F62F4" w:rsidRDefault="00B406E2" w:rsidP="004E2182">
      <w:pPr>
        <w:pStyle w:val="ParaKeep"/>
      </w:pPr>
      <w:r w:rsidRPr="005F62F4">
        <w:fldChar w:fldCharType="begin"/>
      </w:r>
      <w:r w:rsidRPr="005F62F4">
        <w:instrText xml:space="preserve"> REF _Ref119580978 \h </w:instrText>
      </w:r>
      <w:r w:rsidR="005F62F4">
        <w:instrText xml:space="preserve"> \* MERGEFORMAT </w:instrText>
      </w:r>
      <w:r w:rsidRPr="005F62F4">
        <w:fldChar w:fldCharType="separate"/>
      </w:r>
      <w:r w:rsidR="005606BF" w:rsidRPr="005F62F4">
        <w:t>Table </w:t>
      </w:r>
      <w:r w:rsidR="005606BF">
        <w:t>23</w:t>
      </w:r>
      <w:r w:rsidRPr="005F62F4">
        <w:fldChar w:fldCharType="end"/>
      </w:r>
      <w:r w:rsidRPr="005F62F4">
        <w:t xml:space="preserve"> </w:t>
      </w:r>
      <w:r w:rsidR="006E74DC" w:rsidRPr="005F62F4">
        <w:t xml:space="preserve">outlines the inclusion and exclusion criteria used to determine which articles </w:t>
      </w:r>
      <w:r w:rsidR="009314B5" w:rsidRPr="005F62F4">
        <w:t>we</w:t>
      </w:r>
      <w:r w:rsidR="006E74DC" w:rsidRPr="005F62F4">
        <w:t>re included in the review.</w:t>
      </w:r>
    </w:p>
    <w:p w14:paraId="21DE296A" w14:textId="61A98EEB" w:rsidR="0082602A" w:rsidRPr="005F62F4" w:rsidRDefault="00E56C05" w:rsidP="0082602A">
      <w:pPr>
        <w:pStyle w:val="Caption"/>
      </w:pPr>
      <w:bookmarkStart w:id="272" w:name="_Ref119580978"/>
      <w:bookmarkStart w:id="273" w:name="_Toc129954660"/>
      <w:r w:rsidRPr="005F62F4">
        <w:t>Table </w:t>
      </w:r>
      <w:r w:rsidRPr="005F62F4">
        <w:fldChar w:fldCharType="begin"/>
      </w:r>
      <w:r w:rsidRPr="005F62F4">
        <w:instrText>SEQ Table \* ARABIC</w:instrText>
      </w:r>
      <w:r w:rsidRPr="005F62F4">
        <w:fldChar w:fldCharType="separate"/>
      </w:r>
      <w:r w:rsidR="005606BF">
        <w:rPr>
          <w:noProof/>
        </w:rPr>
        <w:t>23</w:t>
      </w:r>
      <w:r w:rsidRPr="005F62F4">
        <w:fldChar w:fldCharType="end"/>
      </w:r>
      <w:bookmarkEnd w:id="272"/>
      <w:r w:rsidRPr="005F62F4">
        <w:t xml:space="preserve">: </w:t>
      </w:r>
      <w:r w:rsidR="0082602A" w:rsidRPr="005F62F4">
        <w:t>Criteria for inclusion/exclusion of studies</w:t>
      </w:r>
      <w:bookmarkEnd w:id="273"/>
    </w:p>
    <w:tbl>
      <w:tblPr>
        <w:tblStyle w:val="SGB"/>
        <w:tblW w:w="0" w:type="auto"/>
        <w:tblLook w:val="04A0" w:firstRow="1" w:lastRow="0" w:firstColumn="1" w:lastColumn="0" w:noHBand="0" w:noVBand="1"/>
      </w:tblPr>
      <w:tblGrid>
        <w:gridCol w:w="1560"/>
        <w:gridCol w:w="4110"/>
        <w:gridCol w:w="3356"/>
      </w:tblGrid>
      <w:tr w:rsidR="00052509" w:rsidRPr="005F62F4" w14:paraId="6D7B0001" w14:textId="77777777" w:rsidTr="000D2B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0" w:type="dxa"/>
          </w:tcPr>
          <w:p w14:paraId="52401A1B" w14:textId="5ACF7906" w:rsidR="00F47DF5" w:rsidRPr="005F62F4" w:rsidRDefault="006A2F38" w:rsidP="0093004A">
            <w:pPr>
              <w:pStyle w:val="TableText"/>
              <w:rPr>
                <w:sz w:val="22"/>
                <w:szCs w:val="22"/>
              </w:rPr>
            </w:pPr>
            <w:bookmarkStart w:id="274" w:name="Title_25" w:colFirst="0" w:colLast="0"/>
            <w:r w:rsidRPr="005F62F4">
              <w:rPr>
                <w:sz w:val="22"/>
                <w:szCs w:val="22"/>
              </w:rPr>
              <w:t>Category</w:t>
            </w:r>
          </w:p>
        </w:tc>
        <w:tc>
          <w:tcPr>
            <w:tcW w:w="4110" w:type="dxa"/>
          </w:tcPr>
          <w:p w14:paraId="003653AE" w14:textId="0D00D796" w:rsidR="00F47DF5" w:rsidRPr="005F62F4" w:rsidRDefault="0093004A" w:rsidP="0093004A">
            <w:pPr>
              <w:pStyle w:val="TableText"/>
              <w:cnfStyle w:val="100000000000" w:firstRow="1" w:lastRow="0" w:firstColumn="0" w:lastColumn="0" w:oddVBand="0" w:evenVBand="0" w:oddHBand="0" w:evenHBand="0" w:firstRowFirstColumn="0" w:firstRowLastColumn="0" w:lastRowFirstColumn="0" w:lastRowLastColumn="0"/>
              <w:rPr>
                <w:sz w:val="22"/>
                <w:szCs w:val="22"/>
              </w:rPr>
            </w:pPr>
            <w:r w:rsidRPr="005F62F4">
              <w:rPr>
                <w:sz w:val="22"/>
                <w:szCs w:val="22"/>
              </w:rPr>
              <w:t>Inclusion criteria</w:t>
            </w:r>
          </w:p>
        </w:tc>
        <w:tc>
          <w:tcPr>
            <w:tcW w:w="3356" w:type="dxa"/>
          </w:tcPr>
          <w:p w14:paraId="3F34F3D5" w14:textId="26EA1130" w:rsidR="00F47DF5" w:rsidRPr="005F62F4" w:rsidRDefault="0093004A" w:rsidP="0093004A">
            <w:pPr>
              <w:pStyle w:val="TableText"/>
              <w:cnfStyle w:val="100000000000" w:firstRow="1" w:lastRow="0" w:firstColumn="0" w:lastColumn="0" w:oddVBand="0" w:evenVBand="0" w:oddHBand="0" w:evenHBand="0" w:firstRowFirstColumn="0" w:firstRowLastColumn="0" w:lastRowFirstColumn="0" w:lastRowLastColumn="0"/>
              <w:rPr>
                <w:sz w:val="22"/>
                <w:szCs w:val="22"/>
              </w:rPr>
            </w:pPr>
            <w:r w:rsidRPr="005F62F4">
              <w:rPr>
                <w:sz w:val="22"/>
                <w:szCs w:val="22"/>
              </w:rPr>
              <w:t xml:space="preserve">Exclusion criteria </w:t>
            </w:r>
          </w:p>
        </w:tc>
      </w:tr>
      <w:bookmarkEnd w:id="274"/>
      <w:tr w:rsidR="00F47DF5" w:rsidRPr="005F62F4" w14:paraId="15CD4018" w14:textId="77777777" w:rsidTr="000D2B05">
        <w:tc>
          <w:tcPr>
            <w:cnfStyle w:val="001000000000" w:firstRow="0" w:lastRow="0" w:firstColumn="1" w:lastColumn="0" w:oddVBand="0" w:evenVBand="0" w:oddHBand="0" w:evenHBand="0" w:firstRowFirstColumn="0" w:firstRowLastColumn="0" w:lastRowFirstColumn="0" w:lastRowLastColumn="0"/>
            <w:tcW w:w="1560" w:type="dxa"/>
          </w:tcPr>
          <w:p w14:paraId="22BC157C" w14:textId="19B6DFFC" w:rsidR="00F47DF5" w:rsidRPr="005F62F4" w:rsidRDefault="00470414" w:rsidP="00567E2E">
            <w:pPr>
              <w:pStyle w:val="TableText"/>
              <w:rPr>
                <w:sz w:val="22"/>
                <w:szCs w:val="22"/>
              </w:rPr>
            </w:pPr>
            <w:r w:rsidRPr="005F62F4">
              <w:rPr>
                <w:sz w:val="22"/>
                <w:szCs w:val="22"/>
              </w:rPr>
              <w:t>Study type</w:t>
            </w:r>
          </w:p>
        </w:tc>
        <w:tc>
          <w:tcPr>
            <w:tcW w:w="4110" w:type="dxa"/>
          </w:tcPr>
          <w:p w14:paraId="2490F7E9" w14:textId="4CAEB87C" w:rsidR="00F47DF5" w:rsidRPr="005F62F4" w:rsidRDefault="001E3724" w:rsidP="00D05D9A">
            <w:pPr>
              <w:pStyle w:val="TableBullet1"/>
              <w:cnfStyle w:val="000000000000" w:firstRow="0" w:lastRow="0" w:firstColumn="0" w:lastColumn="0" w:oddVBand="0" w:evenVBand="0" w:oddHBand="0" w:evenHBand="0" w:firstRowFirstColumn="0" w:firstRowLastColumn="0" w:lastRowFirstColumn="0" w:lastRowLastColumn="0"/>
              <w:rPr>
                <w:sz w:val="22"/>
                <w:szCs w:val="22"/>
              </w:rPr>
            </w:pPr>
            <w:r w:rsidRPr="005F62F4">
              <w:rPr>
                <w:sz w:val="22"/>
                <w:szCs w:val="22"/>
              </w:rPr>
              <w:t>Randomised clinical trials or, where experimental evidence is not available, observational studies (</w:t>
            </w:r>
            <w:proofErr w:type="gramStart"/>
            <w:r w:rsidRPr="005F62F4">
              <w:rPr>
                <w:sz w:val="22"/>
                <w:szCs w:val="22"/>
              </w:rPr>
              <w:t>e.g.</w:t>
            </w:r>
            <w:proofErr w:type="gramEnd"/>
            <w:r w:rsidRPr="005F62F4">
              <w:rPr>
                <w:sz w:val="22"/>
                <w:szCs w:val="22"/>
              </w:rPr>
              <w:t xml:space="preserve"> cohort or case</w:t>
            </w:r>
            <w:r w:rsidR="0026130A" w:rsidRPr="005F62F4">
              <w:rPr>
                <w:sz w:val="22"/>
                <w:szCs w:val="22"/>
              </w:rPr>
              <w:t>-</w:t>
            </w:r>
            <w:r w:rsidRPr="005F62F4">
              <w:rPr>
                <w:sz w:val="22"/>
                <w:szCs w:val="22"/>
              </w:rPr>
              <w:t>control studies) may be considered</w:t>
            </w:r>
          </w:p>
        </w:tc>
        <w:tc>
          <w:tcPr>
            <w:tcW w:w="3356" w:type="dxa"/>
          </w:tcPr>
          <w:p w14:paraId="68837285" w14:textId="293F821B" w:rsidR="00F47DF5" w:rsidRPr="005F62F4" w:rsidRDefault="0063668E" w:rsidP="00D05D9A">
            <w:pPr>
              <w:pStyle w:val="TableBullet1"/>
              <w:cnfStyle w:val="000000000000" w:firstRow="0" w:lastRow="0" w:firstColumn="0" w:lastColumn="0" w:oddVBand="0" w:evenVBand="0" w:oddHBand="0" w:evenHBand="0" w:firstRowFirstColumn="0" w:firstRowLastColumn="0" w:lastRowFirstColumn="0" w:lastRowLastColumn="0"/>
              <w:rPr>
                <w:sz w:val="22"/>
                <w:szCs w:val="22"/>
              </w:rPr>
            </w:pPr>
            <w:r w:rsidRPr="005F62F4">
              <w:rPr>
                <w:sz w:val="22"/>
                <w:szCs w:val="22"/>
              </w:rPr>
              <w:t>Qualitative studies</w:t>
            </w:r>
          </w:p>
        </w:tc>
      </w:tr>
      <w:tr w:rsidR="00F47DF5" w:rsidRPr="005F62F4" w14:paraId="65E7B3DB" w14:textId="77777777" w:rsidTr="000D2B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0" w:type="dxa"/>
          </w:tcPr>
          <w:p w14:paraId="7E20A225" w14:textId="6C5815C1" w:rsidR="00F47DF5" w:rsidRPr="005F62F4" w:rsidRDefault="00470414" w:rsidP="00567E2E">
            <w:pPr>
              <w:pStyle w:val="TableText"/>
              <w:rPr>
                <w:sz w:val="22"/>
                <w:szCs w:val="22"/>
              </w:rPr>
            </w:pPr>
            <w:r w:rsidRPr="005F62F4">
              <w:rPr>
                <w:sz w:val="22"/>
                <w:szCs w:val="22"/>
              </w:rPr>
              <w:t>Publication type</w:t>
            </w:r>
          </w:p>
        </w:tc>
        <w:tc>
          <w:tcPr>
            <w:tcW w:w="4110" w:type="dxa"/>
          </w:tcPr>
          <w:p w14:paraId="529D6990" w14:textId="77777777" w:rsidR="00474813" w:rsidRPr="005F62F4" w:rsidRDefault="00474813"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Written in English</w:t>
            </w:r>
          </w:p>
          <w:p w14:paraId="44F965F2" w14:textId="7BE7ACEC" w:rsidR="00F47DF5" w:rsidRPr="005F62F4" w:rsidRDefault="00474813"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Published (or conducted, in the case of sponsor-provided data) between January 2013 and September 2022</w:t>
            </w:r>
          </w:p>
        </w:tc>
        <w:tc>
          <w:tcPr>
            <w:tcW w:w="3356" w:type="dxa"/>
          </w:tcPr>
          <w:p w14:paraId="17258F06" w14:textId="0CCE9E36" w:rsidR="00AE330C" w:rsidRPr="005F62F4" w:rsidRDefault="00AE330C"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Not written in English</w:t>
            </w:r>
          </w:p>
          <w:p w14:paraId="16EC8F48" w14:textId="77777777" w:rsidR="00AE330C" w:rsidRPr="005F62F4" w:rsidRDefault="00AE330C"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Published (or conducted) before January 2013</w:t>
            </w:r>
          </w:p>
          <w:p w14:paraId="0C41762E" w14:textId="6D98392F" w:rsidR="00AE330C" w:rsidRPr="005F62F4" w:rsidRDefault="00AE330C"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Opinion articles</w:t>
            </w:r>
          </w:p>
          <w:p w14:paraId="465F7EF4" w14:textId="77777777" w:rsidR="00AE330C" w:rsidRPr="005F62F4" w:rsidRDefault="00AE330C"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Conference and poster presentations</w:t>
            </w:r>
          </w:p>
          <w:p w14:paraId="589631FA" w14:textId="77777777" w:rsidR="00AE330C" w:rsidRPr="005F62F4" w:rsidRDefault="00AE330C"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Books and book chapters</w:t>
            </w:r>
          </w:p>
          <w:p w14:paraId="15082DC6" w14:textId="77777777" w:rsidR="00AE330C" w:rsidRPr="005F62F4" w:rsidRDefault="00AE330C"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Dissertations</w:t>
            </w:r>
          </w:p>
          <w:p w14:paraId="2EC8BC2C" w14:textId="75D0B242" w:rsidR="00F47DF5" w:rsidRPr="005F62F4" w:rsidRDefault="00AE330C"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Full text not available</w:t>
            </w:r>
          </w:p>
        </w:tc>
      </w:tr>
      <w:tr w:rsidR="00F47DF5" w:rsidRPr="005F62F4" w14:paraId="0A3648E3" w14:textId="77777777" w:rsidTr="000D2B05">
        <w:tc>
          <w:tcPr>
            <w:cnfStyle w:val="001000000000" w:firstRow="0" w:lastRow="0" w:firstColumn="1" w:lastColumn="0" w:oddVBand="0" w:evenVBand="0" w:oddHBand="0" w:evenHBand="0" w:firstRowFirstColumn="0" w:firstRowLastColumn="0" w:lastRowFirstColumn="0" w:lastRowLastColumn="0"/>
            <w:tcW w:w="1560" w:type="dxa"/>
          </w:tcPr>
          <w:p w14:paraId="04EBCA87" w14:textId="56E595E0" w:rsidR="00F47DF5" w:rsidRPr="005F62F4" w:rsidRDefault="00470414" w:rsidP="00567E2E">
            <w:pPr>
              <w:pStyle w:val="TableText"/>
              <w:rPr>
                <w:sz w:val="22"/>
                <w:szCs w:val="22"/>
              </w:rPr>
            </w:pPr>
            <w:r w:rsidRPr="005F62F4">
              <w:rPr>
                <w:sz w:val="22"/>
                <w:szCs w:val="22"/>
              </w:rPr>
              <w:t xml:space="preserve">Population </w:t>
            </w:r>
          </w:p>
        </w:tc>
        <w:tc>
          <w:tcPr>
            <w:tcW w:w="4110" w:type="dxa"/>
          </w:tcPr>
          <w:p w14:paraId="5EF4BFC3" w14:textId="77777777" w:rsidR="000434FC" w:rsidRPr="005F62F4" w:rsidRDefault="000434FC" w:rsidP="00D05D9A">
            <w:pPr>
              <w:pStyle w:val="TableBullet1"/>
              <w:cnfStyle w:val="000000000000" w:firstRow="0" w:lastRow="0" w:firstColumn="0" w:lastColumn="0" w:oddVBand="0" w:evenVBand="0" w:oddHBand="0" w:evenHBand="0" w:firstRowFirstColumn="0" w:firstRowLastColumn="0" w:lastRowFirstColumn="0" w:lastRowLastColumn="0"/>
              <w:rPr>
                <w:sz w:val="22"/>
                <w:szCs w:val="22"/>
              </w:rPr>
            </w:pPr>
            <w:r w:rsidRPr="005F62F4">
              <w:rPr>
                <w:sz w:val="22"/>
                <w:szCs w:val="22"/>
              </w:rPr>
              <w:t>Patients who have undergone implant/prosthesis placement where the surgeon used a surgical guide</w:t>
            </w:r>
          </w:p>
          <w:p w14:paraId="64C55B15" w14:textId="6E6D7467" w:rsidR="00F47DF5" w:rsidRPr="005F62F4" w:rsidRDefault="000434FC" w:rsidP="00D05D9A">
            <w:pPr>
              <w:pStyle w:val="TableBullet1"/>
              <w:cnfStyle w:val="000000000000" w:firstRow="0" w:lastRow="0" w:firstColumn="0" w:lastColumn="0" w:oddVBand="0" w:evenVBand="0" w:oddHBand="0" w:evenHBand="0" w:firstRowFirstColumn="0" w:firstRowLastColumn="0" w:lastRowFirstColumn="0" w:lastRowLastColumn="0"/>
              <w:rPr>
                <w:sz w:val="22"/>
                <w:szCs w:val="22"/>
              </w:rPr>
            </w:pPr>
            <w:r w:rsidRPr="005F62F4">
              <w:rPr>
                <w:sz w:val="22"/>
                <w:szCs w:val="22"/>
              </w:rPr>
              <w:t xml:space="preserve">Patients who have undergone implant/prosthesis placement where the surgeon used a </w:t>
            </w:r>
            <w:proofErr w:type="spellStart"/>
            <w:r w:rsidRPr="005F62F4">
              <w:rPr>
                <w:sz w:val="22"/>
                <w:szCs w:val="22"/>
              </w:rPr>
              <w:t>biomodel</w:t>
            </w:r>
            <w:proofErr w:type="spellEnd"/>
          </w:p>
        </w:tc>
        <w:tc>
          <w:tcPr>
            <w:tcW w:w="3356" w:type="dxa"/>
          </w:tcPr>
          <w:p w14:paraId="4926907F" w14:textId="77777777" w:rsidR="008C68FC" w:rsidRPr="005F62F4" w:rsidRDefault="008C68FC" w:rsidP="00D05D9A">
            <w:pPr>
              <w:pStyle w:val="TableBullet1"/>
              <w:cnfStyle w:val="000000000000" w:firstRow="0" w:lastRow="0" w:firstColumn="0" w:lastColumn="0" w:oddVBand="0" w:evenVBand="0" w:oddHBand="0" w:evenHBand="0" w:firstRowFirstColumn="0" w:firstRowLastColumn="0" w:lastRowFirstColumn="0" w:lastRowLastColumn="0"/>
              <w:rPr>
                <w:sz w:val="22"/>
                <w:szCs w:val="22"/>
              </w:rPr>
            </w:pPr>
            <w:r w:rsidRPr="005F62F4">
              <w:rPr>
                <w:sz w:val="22"/>
                <w:szCs w:val="22"/>
              </w:rPr>
              <w:t>Animal studies</w:t>
            </w:r>
          </w:p>
          <w:p w14:paraId="67823EB6" w14:textId="03D6A96D" w:rsidR="008C68FC" w:rsidRPr="005F62F4" w:rsidRDefault="008C68FC" w:rsidP="00D05D9A">
            <w:pPr>
              <w:pStyle w:val="TableBullet1"/>
              <w:cnfStyle w:val="000000000000" w:firstRow="0" w:lastRow="0" w:firstColumn="0" w:lastColumn="0" w:oddVBand="0" w:evenVBand="0" w:oddHBand="0" w:evenHBand="0" w:firstRowFirstColumn="0" w:firstRowLastColumn="0" w:lastRowFirstColumn="0" w:lastRowLastColumn="0"/>
              <w:rPr>
                <w:sz w:val="22"/>
                <w:szCs w:val="22"/>
              </w:rPr>
            </w:pPr>
            <w:r w:rsidRPr="005F62F4">
              <w:rPr>
                <w:sz w:val="22"/>
                <w:szCs w:val="22"/>
              </w:rPr>
              <w:t>Cadaver studies</w:t>
            </w:r>
          </w:p>
          <w:p w14:paraId="750D748D" w14:textId="77777777" w:rsidR="009769C1" w:rsidRPr="005F62F4" w:rsidRDefault="009769C1" w:rsidP="00D05D9A">
            <w:pPr>
              <w:pStyle w:val="TableBullet1"/>
              <w:cnfStyle w:val="000000000000" w:firstRow="0" w:lastRow="0" w:firstColumn="0" w:lastColumn="0" w:oddVBand="0" w:evenVBand="0" w:oddHBand="0" w:evenHBand="0" w:firstRowFirstColumn="0" w:firstRowLastColumn="0" w:lastRowFirstColumn="0" w:lastRowLastColumn="0"/>
              <w:rPr>
                <w:sz w:val="22"/>
                <w:szCs w:val="22"/>
              </w:rPr>
            </w:pPr>
            <w:r w:rsidRPr="005F62F4">
              <w:rPr>
                <w:sz w:val="22"/>
                <w:szCs w:val="22"/>
              </w:rPr>
              <w:t>In vitro studies</w:t>
            </w:r>
          </w:p>
          <w:p w14:paraId="02441DC2" w14:textId="70BF46D6" w:rsidR="00F47DF5" w:rsidRPr="005F62F4" w:rsidRDefault="008C68FC" w:rsidP="00D05D9A">
            <w:pPr>
              <w:pStyle w:val="TableBullet1"/>
              <w:cnfStyle w:val="000000000000" w:firstRow="0" w:lastRow="0" w:firstColumn="0" w:lastColumn="0" w:oddVBand="0" w:evenVBand="0" w:oddHBand="0" w:evenHBand="0" w:firstRowFirstColumn="0" w:firstRowLastColumn="0" w:lastRowFirstColumn="0" w:lastRowLastColumn="0"/>
              <w:rPr>
                <w:sz w:val="22"/>
                <w:szCs w:val="22"/>
              </w:rPr>
            </w:pPr>
            <w:r w:rsidRPr="005F62F4">
              <w:rPr>
                <w:sz w:val="22"/>
                <w:szCs w:val="22"/>
              </w:rPr>
              <w:t>Studies that describe software development/manufacturing processes</w:t>
            </w:r>
          </w:p>
        </w:tc>
      </w:tr>
      <w:tr w:rsidR="00F47DF5" w:rsidRPr="005F62F4" w14:paraId="20B1E643" w14:textId="77777777" w:rsidTr="000D2B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0" w:type="dxa"/>
          </w:tcPr>
          <w:p w14:paraId="5F96E2CA" w14:textId="355723E9" w:rsidR="00F47DF5" w:rsidRPr="005F62F4" w:rsidRDefault="00470414" w:rsidP="00567E2E">
            <w:pPr>
              <w:pStyle w:val="TableText"/>
              <w:rPr>
                <w:sz w:val="22"/>
                <w:szCs w:val="22"/>
              </w:rPr>
            </w:pPr>
            <w:r w:rsidRPr="005F62F4">
              <w:rPr>
                <w:sz w:val="22"/>
                <w:szCs w:val="22"/>
              </w:rPr>
              <w:t>Intervention</w:t>
            </w:r>
          </w:p>
        </w:tc>
        <w:tc>
          <w:tcPr>
            <w:tcW w:w="4110" w:type="dxa"/>
          </w:tcPr>
          <w:p w14:paraId="372B8063" w14:textId="5E998EB0" w:rsidR="001969D2" w:rsidRPr="005F62F4" w:rsidRDefault="001969D2"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Surgical guides listed on the PL under subgroups 07.02.02.04 and 07.02.05.07</w:t>
            </w:r>
          </w:p>
          <w:p w14:paraId="3A87444D" w14:textId="1AE928FD" w:rsidR="00F47DF5" w:rsidRPr="005F62F4" w:rsidRDefault="001969D2"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proofErr w:type="spellStart"/>
            <w:r w:rsidRPr="005F62F4">
              <w:rPr>
                <w:sz w:val="22"/>
                <w:szCs w:val="22"/>
              </w:rPr>
              <w:t>Biomodels</w:t>
            </w:r>
            <w:proofErr w:type="spellEnd"/>
            <w:r w:rsidRPr="005F62F4">
              <w:rPr>
                <w:sz w:val="22"/>
                <w:szCs w:val="22"/>
              </w:rPr>
              <w:t xml:space="preserve"> listed on the PL under group 07.02.09</w:t>
            </w:r>
          </w:p>
        </w:tc>
        <w:tc>
          <w:tcPr>
            <w:tcW w:w="3356" w:type="dxa"/>
          </w:tcPr>
          <w:p w14:paraId="21EBED47" w14:textId="77777777" w:rsidR="00F8287E" w:rsidRPr="005F62F4" w:rsidRDefault="00F8287E"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 xml:space="preserve">Surgical guides and </w:t>
            </w:r>
            <w:proofErr w:type="spellStart"/>
            <w:r w:rsidRPr="005F62F4">
              <w:rPr>
                <w:sz w:val="22"/>
                <w:szCs w:val="22"/>
              </w:rPr>
              <w:t>biomodels</w:t>
            </w:r>
            <w:proofErr w:type="spellEnd"/>
            <w:r w:rsidRPr="005F62F4">
              <w:rPr>
                <w:sz w:val="22"/>
                <w:szCs w:val="22"/>
              </w:rPr>
              <w:t xml:space="preserve"> not listed in these PL subgroups/group</w:t>
            </w:r>
          </w:p>
          <w:p w14:paraId="72542239" w14:textId="0458FC81" w:rsidR="00F47DF5" w:rsidRPr="005F62F4" w:rsidRDefault="00F8287E"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Implantable devices</w:t>
            </w:r>
            <w:r w:rsidR="002540D8" w:rsidRPr="005F62F4">
              <w:rPr>
                <w:sz w:val="22"/>
                <w:szCs w:val="22"/>
              </w:rPr>
              <w:t xml:space="preserve"> (in the absence of surgical guides and </w:t>
            </w:r>
            <w:proofErr w:type="spellStart"/>
            <w:r w:rsidR="002540D8" w:rsidRPr="005F62F4">
              <w:rPr>
                <w:sz w:val="22"/>
                <w:szCs w:val="22"/>
              </w:rPr>
              <w:t>biomodels</w:t>
            </w:r>
            <w:proofErr w:type="spellEnd"/>
            <w:r w:rsidR="002540D8" w:rsidRPr="005F62F4">
              <w:rPr>
                <w:sz w:val="22"/>
                <w:szCs w:val="22"/>
              </w:rPr>
              <w:t>)</w:t>
            </w:r>
          </w:p>
        </w:tc>
      </w:tr>
      <w:tr w:rsidR="00F47DF5" w:rsidRPr="005F62F4" w14:paraId="48E564D7" w14:textId="77777777" w:rsidTr="000D2B05">
        <w:tc>
          <w:tcPr>
            <w:cnfStyle w:val="001000000000" w:firstRow="0" w:lastRow="0" w:firstColumn="1" w:lastColumn="0" w:oddVBand="0" w:evenVBand="0" w:oddHBand="0" w:evenHBand="0" w:firstRowFirstColumn="0" w:firstRowLastColumn="0" w:lastRowFirstColumn="0" w:lastRowLastColumn="0"/>
            <w:tcW w:w="1560" w:type="dxa"/>
          </w:tcPr>
          <w:p w14:paraId="63DB4E10" w14:textId="53599B43" w:rsidR="00F47DF5" w:rsidRPr="005F62F4" w:rsidRDefault="00470414" w:rsidP="00567E2E">
            <w:pPr>
              <w:pStyle w:val="TableText"/>
              <w:rPr>
                <w:sz w:val="22"/>
                <w:szCs w:val="22"/>
              </w:rPr>
            </w:pPr>
            <w:r w:rsidRPr="005F62F4">
              <w:rPr>
                <w:sz w:val="22"/>
                <w:szCs w:val="22"/>
              </w:rPr>
              <w:lastRenderedPageBreak/>
              <w:t>Comparators</w:t>
            </w:r>
          </w:p>
        </w:tc>
        <w:tc>
          <w:tcPr>
            <w:tcW w:w="4110" w:type="dxa"/>
          </w:tcPr>
          <w:p w14:paraId="21942A8D" w14:textId="5D2E7D0F" w:rsidR="00ED2832" w:rsidRPr="005F62F4" w:rsidRDefault="00ED2832" w:rsidP="00DF1D9F">
            <w:pPr>
              <w:pStyle w:val="TableText"/>
              <w:cnfStyle w:val="000000000000" w:firstRow="0" w:lastRow="0" w:firstColumn="0" w:lastColumn="0" w:oddVBand="0" w:evenVBand="0" w:oddHBand="0" w:evenHBand="0" w:firstRowFirstColumn="0" w:firstRowLastColumn="0" w:lastRowFirstColumn="0" w:lastRowLastColumn="0"/>
              <w:rPr>
                <w:sz w:val="22"/>
                <w:szCs w:val="22"/>
              </w:rPr>
            </w:pPr>
            <w:r w:rsidRPr="005F62F4">
              <w:rPr>
                <w:sz w:val="22"/>
                <w:szCs w:val="22"/>
              </w:rPr>
              <w:t>The study must include at least one of the following groups:</w:t>
            </w:r>
          </w:p>
          <w:p w14:paraId="4C312682" w14:textId="75E3618A" w:rsidR="00ED2832" w:rsidRPr="005F62F4" w:rsidRDefault="00ED2832" w:rsidP="00D05D9A">
            <w:pPr>
              <w:pStyle w:val="TableBullet1"/>
              <w:cnfStyle w:val="000000000000" w:firstRow="0" w:lastRow="0" w:firstColumn="0" w:lastColumn="0" w:oddVBand="0" w:evenVBand="0" w:oddHBand="0" w:evenHBand="0" w:firstRowFirstColumn="0" w:firstRowLastColumn="0" w:lastRowFirstColumn="0" w:lastRowLastColumn="0"/>
              <w:rPr>
                <w:sz w:val="22"/>
                <w:szCs w:val="22"/>
              </w:rPr>
            </w:pPr>
            <w:r w:rsidRPr="005F62F4">
              <w:rPr>
                <w:sz w:val="22"/>
                <w:szCs w:val="22"/>
              </w:rPr>
              <w:t>Patients who have undergone implant/prosthesis placement where the surgeon did not use a surgical guide</w:t>
            </w:r>
          </w:p>
          <w:p w14:paraId="149F276A" w14:textId="54E4FDB2" w:rsidR="00ED2832" w:rsidRPr="005F62F4" w:rsidRDefault="00ED2832" w:rsidP="00D05D9A">
            <w:pPr>
              <w:pStyle w:val="TableBullet1"/>
              <w:cnfStyle w:val="000000000000" w:firstRow="0" w:lastRow="0" w:firstColumn="0" w:lastColumn="0" w:oddVBand="0" w:evenVBand="0" w:oddHBand="0" w:evenHBand="0" w:firstRowFirstColumn="0" w:firstRowLastColumn="0" w:lastRowFirstColumn="0" w:lastRowLastColumn="0"/>
              <w:rPr>
                <w:sz w:val="22"/>
                <w:szCs w:val="22"/>
              </w:rPr>
            </w:pPr>
            <w:r w:rsidRPr="005F62F4">
              <w:rPr>
                <w:sz w:val="22"/>
                <w:szCs w:val="22"/>
              </w:rPr>
              <w:t xml:space="preserve">Patients who have undergone implant/prosthesis placement where the surgeon did not use a </w:t>
            </w:r>
            <w:proofErr w:type="spellStart"/>
            <w:r w:rsidRPr="005F62F4">
              <w:rPr>
                <w:sz w:val="22"/>
                <w:szCs w:val="22"/>
              </w:rPr>
              <w:t>biomodel</w:t>
            </w:r>
            <w:proofErr w:type="spellEnd"/>
          </w:p>
          <w:p w14:paraId="6F4E9EB7" w14:textId="53325E51" w:rsidR="00F47DF5" w:rsidRPr="005F62F4" w:rsidRDefault="00ED2832" w:rsidP="00D05D9A">
            <w:pPr>
              <w:pStyle w:val="TableBullet1"/>
              <w:cnfStyle w:val="000000000000" w:firstRow="0" w:lastRow="0" w:firstColumn="0" w:lastColumn="0" w:oddVBand="0" w:evenVBand="0" w:oddHBand="0" w:evenHBand="0" w:firstRowFirstColumn="0" w:firstRowLastColumn="0" w:lastRowFirstColumn="0" w:lastRowLastColumn="0"/>
              <w:rPr>
                <w:sz w:val="22"/>
                <w:szCs w:val="22"/>
              </w:rPr>
            </w:pPr>
            <w:r w:rsidRPr="005F62F4">
              <w:rPr>
                <w:sz w:val="22"/>
                <w:szCs w:val="22"/>
              </w:rPr>
              <w:t xml:space="preserve">Patients who have undergone implant/prosthesis placement where the surgeon used an alternative surgical guide or </w:t>
            </w:r>
            <w:proofErr w:type="spellStart"/>
            <w:r w:rsidRPr="005F62F4">
              <w:rPr>
                <w:sz w:val="22"/>
                <w:szCs w:val="22"/>
              </w:rPr>
              <w:t>biomodel</w:t>
            </w:r>
            <w:proofErr w:type="spellEnd"/>
          </w:p>
        </w:tc>
        <w:tc>
          <w:tcPr>
            <w:tcW w:w="3356" w:type="dxa"/>
          </w:tcPr>
          <w:p w14:paraId="362BC9B1" w14:textId="2682A0FE" w:rsidR="00F47DF5" w:rsidRPr="005F62F4" w:rsidRDefault="001B4DC9" w:rsidP="00D05D9A">
            <w:pPr>
              <w:pStyle w:val="TableBullet1"/>
              <w:cnfStyle w:val="000000000000" w:firstRow="0" w:lastRow="0" w:firstColumn="0" w:lastColumn="0" w:oddVBand="0" w:evenVBand="0" w:oddHBand="0" w:evenHBand="0" w:firstRowFirstColumn="0" w:firstRowLastColumn="0" w:lastRowFirstColumn="0" w:lastRowLastColumn="0"/>
              <w:rPr>
                <w:sz w:val="22"/>
                <w:szCs w:val="22"/>
              </w:rPr>
            </w:pPr>
            <w:r w:rsidRPr="005F62F4">
              <w:rPr>
                <w:sz w:val="22"/>
                <w:szCs w:val="22"/>
              </w:rPr>
              <w:t>Studies without a relevant comparator</w:t>
            </w:r>
          </w:p>
        </w:tc>
      </w:tr>
      <w:tr w:rsidR="00F47DF5" w:rsidRPr="005F62F4" w14:paraId="6B49FF9C" w14:textId="77777777" w:rsidTr="000D2B0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0" w:type="dxa"/>
          </w:tcPr>
          <w:p w14:paraId="235A6845" w14:textId="3072CD9C" w:rsidR="00F47DF5" w:rsidRPr="005F62F4" w:rsidRDefault="00470414" w:rsidP="00567E2E">
            <w:pPr>
              <w:pStyle w:val="TableText"/>
              <w:rPr>
                <w:sz w:val="22"/>
                <w:szCs w:val="22"/>
              </w:rPr>
            </w:pPr>
            <w:r w:rsidRPr="005F62F4">
              <w:rPr>
                <w:sz w:val="22"/>
                <w:szCs w:val="22"/>
              </w:rPr>
              <w:t>Outcomes</w:t>
            </w:r>
          </w:p>
        </w:tc>
        <w:tc>
          <w:tcPr>
            <w:tcW w:w="4110" w:type="dxa"/>
          </w:tcPr>
          <w:p w14:paraId="3BFBB9F7" w14:textId="5B8086B5" w:rsidR="009205E5" w:rsidRPr="005F62F4" w:rsidRDefault="009205E5" w:rsidP="000D2B05">
            <w:pPr>
              <w:pStyle w:val="TableText"/>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To be included, articles must:</w:t>
            </w:r>
          </w:p>
          <w:p w14:paraId="485F2477" w14:textId="261047BF" w:rsidR="00B02D89" w:rsidRPr="005F62F4" w:rsidRDefault="00B02D89" w:rsidP="00B02D89">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 xml:space="preserve">discuss the use of surgical guides or </w:t>
            </w:r>
            <w:proofErr w:type="spellStart"/>
            <w:r w:rsidRPr="005F62F4">
              <w:rPr>
                <w:sz w:val="22"/>
                <w:szCs w:val="22"/>
              </w:rPr>
              <w:t>biomodels</w:t>
            </w:r>
            <w:proofErr w:type="spellEnd"/>
            <w:r w:rsidRPr="005F62F4">
              <w:rPr>
                <w:sz w:val="22"/>
                <w:szCs w:val="22"/>
              </w:rPr>
              <w:t xml:space="preserve"> as a tool for surgical planning</w:t>
            </w:r>
          </w:p>
          <w:p w14:paraId="5BB72C28" w14:textId="6CBCBAEC" w:rsidR="009205E5" w:rsidRPr="005F62F4" w:rsidRDefault="009205E5" w:rsidP="006930B7">
            <w:pPr>
              <w:pStyle w:val="TableText"/>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AND contain sufficient information on at least one of the following:</w:t>
            </w:r>
          </w:p>
          <w:p w14:paraId="1D25DD84" w14:textId="1F5BE287" w:rsidR="009205E5" w:rsidRPr="005F62F4" w:rsidRDefault="009205E5"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benefits</w:t>
            </w:r>
          </w:p>
          <w:p w14:paraId="5E5EE293" w14:textId="4FFDC53A" w:rsidR="00F47DF5" w:rsidRPr="005F62F4" w:rsidRDefault="009205E5"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comparative effectiveness</w:t>
            </w:r>
          </w:p>
        </w:tc>
        <w:tc>
          <w:tcPr>
            <w:tcW w:w="3356" w:type="dxa"/>
          </w:tcPr>
          <w:p w14:paraId="0DFD20A8" w14:textId="77777777" w:rsidR="000D2B05" w:rsidRPr="005F62F4" w:rsidRDefault="000D2B05" w:rsidP="000D2B05">
            <w:pPr>
              <w:pStyle w:val="TableText"/>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Articles will be excluded if they do not:</w:t>
            </w:r>
          </w:p>
          <w:p w14:paraId="42DA939D" w14:textId="333D7D09" w:rsidR="000D2B05" w:rsidRPr="005F62F4" w:rsidRDefault="000D2B05"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 xml:space="preserve">discuss the use of surgical guides or </w:t>
            </w:r>
            <w:proofErr w:type="spellStart"/>
            <w:r w:rsidRPr="005F62F4">
              <w:rPr>
                <w:sz w:val="22"/>
                <w:szCs w:val="22"/>
              </w:rPr>
              <w:t>biomodels</w:t>
            </w:r>
            <w:proofErr w:type="spellEnd"/>
            <w:r w:rsidRPr="005F62F4">
              <w:rPr>
                <w:sz w:val="22"/>
                <w:szCs w:val="22"/>
              </w:rPr>
              <w:t xml:space="preserve"> as a tool for surgical planning</w:t>
            </w:r>
          </w:p>
          <w:p w14:paraId="565DCBEB" w14:textId="12683F1B" w:rsidR="000D2B05" w:rsidRPr="005F62F4" w:rsidRDefault="000D2B05" w:rsidP="006930B7">
            <w:pPr>
              <w:pStyle w:val="TableText"/>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OR do</w:t>
            </w:r>
            <w:r w:rsidR="0005360F" w:rsidRPr="005F62F4">
              <w:rPr>
                <w:sz w:val="22"/>
                <w:szCs w:val="22"/>
              </w:rPr>
              <w:t xml:space="preserve"> not</w:t>
            </w:r>
            <w:r w:rsidRPr="005F62F4">
              <w:rPr>
                <w:sz w:val="22"/>
                <w:szCs w:val="22"/>
              </w:rPr>
              <w:t xml:space="preserve"> include sufficient information on any of the following:</w:t>
            </w:r>
          </w:p>
          <w:p w14:paraId="6764E710" w14:textId="61143AEF" w:rsidR="000D2B05" w:rsidRPr="005F62F4" w:rsidRDefault="000D2B05" w:rsidP="00D05D9A">
            <w:pPr>
              <w:pStyle w:val="TableBullet1"/>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benefits</w:t>
            </w:r>
          </w:p>
          <w:p w14:paraId="7927147D" w14:textId="20C73F41" w:rsidR="00F47DF5" w:rsidRPr="005F62F4" w:rsidRDefault="000D2B05" w:rsidP="000A7D6C">
            <w:pPr>
              <w:pStyle w:val="TableBullet1"/>
              <w:keepNext/>
              <w:cnfStyle w:val="000000010000" w:firstRow="0" w:lastRow="0" w:firstColumn="0" w:lastColumn="0" w:oddVBand="0" w:evenVBand="0" w:oddHBand="0" w:evenHBand="1" w:firstRowFirstColumn="0" w:firstRowLastColumn="0" w:lastRowFirstColumn="0" w:lastRowLastColumn="0"/>
              <w:rPr>
                <w:sz w:val="22"/>
                <w:szCs w:val="22"/>
              </w:rPr>
            </w:pPr>
            <w:r w:rsidRPr="005F62F4">
              <w:rPr>
                <w:sz w:val="22"/>
                <w:szCs w:val="22"/>
              </w:rPr>
              <w:t>comparative effectiveness</w:t>
            </w:r>
          </w:p>
        </w:tc>
      </w:tr>
    </w:tbl>
    <w:p w14:paraId="535701FB" w14:textId="77777777" w:rsidR="00AE52BF" w:rsidRPr="005F62F4" w:rsidRDefault="00AE52BF" w:rsidP="004F2931">
      <w:pPr>
        <w:pStyle w:val="HeadingA3"/>
        <w:rPr>
          <w:lang w:eastAsia="en-US"/>
        </w:rPr>
      </w:pPr>
      <w:bookmarkStart w:id="275" w:name="_Toc120178349"/>
      <w:r w:rsidRPr="005F62F4">
        <w:rPr>
          <w:lang w:eastAsia="en-US"/>
        </w:rPr>
        <w:t>Search syntax</w:t>
      </w:r>
      <w:bookmarkEnd w:id="275"/>
    </w:p>
    <w:p w14:paraId="4BF3E9C0" w14:textId="58985F10" w:rsidR="00AE52BF" w:rsidRPr="005F62F4" w:rsidRDefault="00AE52BF" w:rsidP="00D20797">
      <w:pPr>
        <w:pStyle w:val="Para"/>
        <w:spacing w:before="120"/>
      </w:pPr>
      <w:r w:rsidRPr="005F62F4">
        <w:t>Because this review aim</w:t>
      </w:r>
      <w:r w:rsidR="00E36492" w:rsidRPr="005F62F4">
        <w:t>ed</w:t>
      </w:r>
      <w:r w:rsidRPr="005F62F4">
        <w:t xml:space="preserve"> to examine evidence specific to in-scope products on the PL, the terms used to search the database </w:t>
      </w:r>
      <w:r w:rsidR="00E66F12" w:rsidRPr="005F62F4">
        <w:t>were</w:t>
      </w:r>
      <w:r w:rsidRPr="005F62F4">
        <w:t xml:space="preserve"> specific to those products. </w:t>
      </w:r>
      <w:r w:rsidR="003263D5" w:rsidRPr="005F62F4">
        <w:fldChar w:fldCharType="begin"/>
      </w:r>
      <w:r w:rsidR="003263D5" w:rsidRPr="005F62F4">
        <w:instrText xml:space="preserve"> REF _Ref119870904 \h </w:instrText>
      </w:r>
      <w:r w:rsidR="005F62F4">
        <w:instrText xml:space="preserve"> \* MERGEFORMAT </w:instrText>
      </w:r>
      <w:r w:rsidR="003263D5" w:rsidRPr="005F62F4">
        <w:fldChar w:fldCharType="separate"/>
      </w:r>
      <w:r w:rsidR="005606BF" w:rsidRPr="005F62F4">
        <w:t>Table </w:t>
      </w:r>
      <w:r w:rsidR="005606BF">
        <w:t>25</w:t>
      </w:r>
      <w:r w:rsidR="003263D5" w:rsidRPr="005F62F4">
        <w:fldChar w:fldCharType="end"/>
      </w:r>
      <w:r w:rsidR="00637528" w:rsidRPr="005F62F4">
        <w:t xml:space="preserve"> </w:t>
      </w:r>
      <w:r w:rsidRPr="005F62F4">
        <w:rPr>
          <w:rStyle w:val="ParaChar"/>
        </w:rPr>
        <w:t xml:space="preserve">lists the search terms used </w:t>
      </w:r>
      <w:r w:rsidR="00702D5F" w:rsidRPr="005F62F4">
        <w:rPr>
          <w:rStyle w:val="ParaChar"/>
        </w:rPr>
        <w:t>in</w:t>
      </w:r>
      <w:r w:rsidRPr="005F62F4">
        <w:rPr>
          <w:rStyle w:val="ParaChar"/>
        </w:rPr>
        <w:t xml:space="preserve"> MEDLINE (via PubMed).</w:t>
      </w:r>
    </w:p>
    <w:p w14:paraId="360C67E1" w14:textId="7AE056FD" w:rsidR="00AE52BF" w:rsidRPr="005F62F4" w:rsidRDefault="00AE52BF" w:rsidP="004F2931">
      <w:pPr>
        <w:pStyle w:val="HeadingA3"/>
        <w:rPr>
          <w:lang w:eastAsia="en-US"/>
        </w:rPr>
      </w:pPr>
      <w:bookmarkStart w:id="276" w:name="_Toc120178350"/>
      <w:r w:rsidRPr="005F62F4">
        <w:rPr>
          <w:lang w:eastAsia="en-US"/>
        </w:rPr>
        <w:t>Article selection</w:t>
      </w:r>
      <w:bookmarkEnd w:id="276"/>
    </w:p>
    <w:p w14:paraId="14F9EA86" w14:textId="41381108" w:rsidR="00AE52BF" w:rsidRPr="005F62F4" w:rsidRDefault="00AE52BF" w:rsidP="00D20797">
      <w:pPr>
        <w:pStyle w:val="Para"/>
        <w:spacing w:before="120"/>
      </w:pPr>
      <w:r w:rsidRPr="005F62F4">
        <w:t xml:space="preserve">The data selection and extraction process for this rapid review </w:t>
      </w:r>
      <w:r w:rsidR="001F756B" w:rsidRPr="005F62F4">
        <w:t>wa</w:t>
      </w:r>
      <w:r w:rsidRPr="005F62F4">
        <w:t xml:space="preserve">s based on </w:t>
      </w:r>
      <w:r w:rsidRPr="005F62F4" w:rsidDel="001A63F5">
        <w:t xml:space="preserve">the </w:t>
      </w:r>
      <w:r w:rsidRPr="005F62F4">
        <w:t>Cochrane Rapid Review Group’s guidance</w:t>
      </w:r>
      <w:r w:rsidRPr="005F62F4" w:rsidDel="001A63F5">
        <w:t xml:space="preserve"> </w:t>
      </w:r>
      <w:r w:rsidR="008A0E51" w:rsidRPr="005F62F4">
        <w:fldChar w:fldCharType="begin" w:fldLock="1"/>
      </w:r>
      <w:r w:rsidR="008A0E51" w:rsidRPr="005F62F4">
        <w:instrText>ADDIN CSL_CITATION {"citationItems":[{"id":"ITEM-1","itemData":{"DOI":"10.1016/j.jclinepi.2020.10.007","ISSN":"18785921","PMID":"33068715","abstract":"Objectives: To develop methods guidance to support the conduct of rapid reviews (RRs) produced within Cochrane and beyond, in response to requests for timely evidence syntheses for decision-making purposes including urgent health issues of high priority. Study Design and Setting: Interim recommendations were informed by a scoping review of the underlying evidence, primary methods studies conducted, and a survey sent to 119 representatives from 20 Cochrane entities, who were asked to rate and rank RR methods across stages of review conduct. Discussions among those with expertise in RR methods further informed the list of recommendations with accompanying rationales provided. Results: Based on survey results from 63 respondents (53% response rate), 26 RR methods recommendations are presented for which there was a high or moderate level of agreement or scored highest in the absence of such agreement. Where possible, how recommendations align with Cochrane methods guidance for systematic reviews is highlighted. Conclusion: The Cochrane Rapid Reviews Methods Group offers new, interim guidance to support the conduct of RRs. Because best practice is limited by the lack of currently available evidence for some RR methods shortcuts taken, this guidance will need to be updated as additional abbreviated methods are evaluated.","author":[{"dropping-particle":"","family":"Garritty","given":"Chantelle","non-dropping-particle":"","parse-names":false,"suffix":""},{"dropping-particle":"","family":"Gartlehner","given":"Gerald","non-dropping-particle":"","parse-names":false,"suffix":""},{"dropping-particle":"","family":"Nussbaumer-Streit","given":"Barbara","non-dropping-particle":"","parse-names":false,"suffix":""},{"dropping-particle":"","family":"King","given":"Valerie J","non-dropping-particle":"","parse-names":false,"suffix":""},{"dropping-particle":"","family":"Hamel","given":"Candyce","non-dropping-particle":"","parse-names":false,"suffix":""},{"dropping-particle":"","family":"Kamel","given":"Chris","non-dropping-particle":"","parse-names":false,"suffix":""},{"dropping-particle":"","family":"Affengruber","given":"Lisa","non-dropping-particle":"","parse-names":false,"suffix":""},{"dropping-particle":"","family":"Stevens","given":"Adrienne","non-dropping-particle":"","parse-names":false,"suffix":""}],"container-title":"Journal of Clinical Epidemiology","id":"ITEM-1","issued":{"date-parts":[["2021"]]},"page":"13-22","publisher":"Elsevier Inc","title":"Cochrane Rapid Reviews Methods Group offers evidence-informed guidance to conduct rapid reviews","type":"article-journal","volume":"130"},"uris":["http://www.mendeley.com/documents/?uuid=4a0c8f09-f9f3-4620-951e-dc5dc3991c69"]}],"mendeley":{"formattedCitation":"(Garritty et al. 2021)","plainTextFormattedCitation":"(Garritty et al. 2021)","previouslyFormattedCitation":"(Garritty et al. 2021)"},"properties":{"noteIndex":0},"schema":"https://github.com/citation-style-language/schema/raw/master/csl-citation.json"}</w:instrText>
      </w:r>
      <w:r w:rsidR="008A0E51" w:rsidRPr="005F62F4">
        <w:fldChar w:fldCharType="separate"/>
      </w:r>
      <w:r w:rsidR="008A0E51" w:rsidRPr="005F62F4">
        <w:rPr>
          <w:noProof/>
        </w:rPr>
        <w:t>(Garritty et al. 2021)</w:t>
      </w:r>
      <w:r w:rsidR="008A0E51" w:rsidRPr="005F62F4">
        <w:fldChar w:fldCharType="end"/>
      </w:r>
      <w:r w:rsidR="008A0E51" w:rsidRPr="005F62F4">
        <w:t>.</w:t>
      </w:r>
    </w:p>
    <w:p w14:paraId="63B7716D" w14:textId="020B16AD" w:rsidR="00AE52BF" w:rsidRPr="005F62F4" w:rsidRDefault="00AE52BF" w:rsidP="00AE52BF">
      <w:pPr>
        <w:pStyle w:val="Para"/>
      </w:pPr>
      <w:r w:rsidRPr="005F62F4">
        <w:t>One researcher conduct</w:t>
      </w:r>
      <w:r w:rsidR="005A0BF3" w:rsidRPr="005F62F4">
        <w:t>ed</w:t>
      </w:r>
      <w:r w:rsidRPr="005F62F4">
        <w:t xml:space="preserve"> the database search. Citations identified in the search </w:t>
      </w:r>
      <w:r w:rsidR="005A0BF3" w:rsidRPr="005F62F4">
        <w:t>were</w:t>
      </w:r>
      <w:r w:rsidRPr="005F62F4">
        <w:t xml:space="preserve"> saved locally and </w:t>
      </w:r>
      <w:r w:rsidR="005A0BF3" w:rsidRPr="005F62F4">
        <w:t>2</w:t>
      </w:r>
      <w:r w:rsidRPr="005F62F4">
        <w:t xml:space="preserve"> reviewers screen</w:t>
      </w:r>
      <w:r w:rsidR="005A0BF3" w:rsidRPr="005F62F4">
        <w:t>ed</w:t>
      </w:r>
      <w:r w:rsidRPr="005F62F4">
        <w:t xml:space="preserve"> the titles and abstracts of 20% of the retrieved citations for eligibility using the inclusion/exclusion criteria. Disagreements </w:t>
      </w:r>
      <w:r w:rsidR="005A0BF3" w:rsidRPr="005F62F4">
        <w:t>were</w:t>
      </w:r>
      <w:r w:rsidRPr="005F62F4">
        <w:t xml:space="preserve"> resolved through discussion. A single reviewer </w:t>
      </w:r>
      <w:r w:rsidR="005A0BF3" w:rsidRPr="005F62F4">
        <w:t>then</w:t>
      </w:r>
      <w:r w:rsidRPr="005F62F4">
        <w:t xml:space="preserve"> screen</w:t>
      </w:r>
      <w:r w:rsidR="005A0BF3" w:rsidRPr="005F62F4">
        <w:t>ed</w:t>
      </w:r>
      <w:r w:rsidRPr="005F62F4">
        <w:t xml:space="preserve"> the remaining </w:t>
      </w:r>
      <w:r w:rsidR="005A0BF3" w:rsidRPr="005F62F4">
        <w:t>titles/</w:t>
      </w:r>
      <w:proofErr w:type="gramStart"/>
      <w:r w:rsidRPr="005F62F4">
        <w:t>abstracts</w:t>
      </w:r>
      <w:proofErr w:type="gramEnd"/>
      <w:r w:rsidRPr="005F62F4">
        <w:t xml:space="preserve"> and the second reviewer screen</w:t>
      </w:r>
      <w:r w:rsidR="005A0BF3" w:rsidRPr="005F62F4">
        <w:t>ed</w:t>
      </w:r>
      <w:r w:rsidRPr="005F62F4">
        <w:t xml:space="preserve"> all </w:t>
      </w:r>
      <w:r w:rsidR="005A0BF3" w:rsidRPr="005F62F4">
        <w:t>titles/</w:t>
      </w:r>
      <w:r w:rsidRPr="005F62F4">
        <w:t>abstracts excluded by the first reviewer to identify any articles that were excluded by mistake.</w:t>
      </w:r>
      <w:r w:rsidR="00D20797" w:rsidRPr="005F62F4">
        <w:t xml:space="preserve"> </w:t>
      </w:r>
      <w:r w:rsidRPr="005F62F4">
        <w:t>A single reviewer scan</w:t>
      </w:r>
      <w:r w:rsidR="005A0BF3" w:rsidRPr="005F62F4">
        <w:t>ned</w:t>
      </w:r>
      <w:r w:rsidRPr="005F62F4">
        <w:t xml:space="preserve"> the reference lists of included articles to identify additional relevant articles.</w:t>
      </w:r>
    </w:p>
    <w:p w14:paraId="54204F99" w14:textId="77777777" w:rsidR="00AE52BF" w:rsidRPr="005F62F4" w:rsidRDefault="00AE52BF" w:rsidP="004F2931">
      <w:pPr>
        <w:pStyle w:val="HeadingA2"/>
        <w:rPr>
          <w:lang w:eastAsia="en-US"/>
        </w:rPr>
      </w:pPr>
      <w:bookmarkStart w:id="277" w:name="_Toc120178351"/>
      <w:r w:rsidRPr="005F62F4">
        <w:rPr>
          <w:lang w:eastAsia="en-US"/>
        </w:rPr>
        <w:lastRenderedPageBreak/>
        <w:t>Data extraction</w:t>
      </w:r>
      <w:bookmarkEnd w:id="277"/>
    </w:p>
    <w:p w14:paraId="769A7D91" w14:textId="353764CC" w:rsidR="00AE52BF" w:rsidRPr="005F62F4" w:rsidRDefault="00AE52BF" w:rsidP="00AE52BF">
      <w:pPr>
        <w:pStyle w:val="ParaKeep"/>
      </w:pPr>
      <w:r w:rsidRPr="005F62F4">
        <w:t>A single reviewer extract</w:t>
      </w:r>
      <w:r w:rsidR="004B132E" w:rsidRPr="005F62F4">
        <w:t>ed</w:t>
      </w:r>
      <w:r w:rsidRPr="005F62F4">
        <w:t xml:space="preserve"> relevant data from included articles using a standardised Microsoft Excel form. Data extraction w</w:t>
      </w:r>
      <w:r w:rsidR="004B132E" w:rsidRPr="005F62F4">
        <w:t>as</w:t>
      </w:r>
      <w:r w:rsidRPr="005F62F4">
        <w:t xml:space="preserve"> limited to the set of data items required to answer the research questions</w:t>
      </w:r>
      <w:r w:rsidR="004B132E" w:rsidRPr="005F62F4">
        <w:t>, with i</w:t>
      </w:r>
      <w:r w:rsidRPr="005F62F4">
        <w:t>nformation retrieved from the articles includ</w:t>
      </w:r>
      <w:r w:rsidR="004B132E" w:rsidRPr="005F62F4">
        <w:t>ing</w:t>
      </w:r>
      <w:r w:rsidRPr="005F62F4">
        <w:t>:</w:t>
      </w:r>
    </w:p>
    <w:p w14:paraId="1FD00D7A" w14:textId="51B2F723" w:rsidR="00AE52BF" w:rsidRPr="005F62F4" w:rsidRDefault="00B87904" w:rsidP="00B87904">
      <w:pPr>
        <w:pStyle w:val="Bullet1"/>
      </w:pPr>
      <w:r w:rsidRPr="005F62F4">
        <w:t>reference</w:t>
      </w:r>
      <w:r w:rsidR="00AE52BF" w:rsidRPr="005F62F4">
        <w:t xml:space="preserve"> information (</w:t>
      </w:r>
      <w:proofErr w:type="gramStart"/>
      <w:r w:rsidR="00AE52BF" w:rsidRPr="005F62F4">
        <w:t>i.e.</w:t>
      </w:r>
      <w:proofErr w:type="gramEnd"/>
      <w:r w:rsidR="00AE52BF" w:rsidRPr="005F62F4">
        <w:t xml:space="preserve"> citation details)</w:t>
      </w:r>
    </w:p>
    <w:p w14:paraId="0BA1C715" w14:textId="11CE3D58" w:rsidR="00AE52BF" w:rsidRPr="005F62F4" w:rsidRDefault="00B87904" w:rsidP="00B87904">
      <w:pPr>
        <w:pStyle w:val="Bullet1"/>
      </w:pPr>
      <w:r w:rsidRPr="005F62F4">
        <w:t>product</w:t>
      </w:r>
      <w:r w:rsidR="00AE52BF" w:rsidRPr="005F62F4">
        <w:t xml:space="preserve"> information (</w:t>
      </w:r>
      <w:proofErr w:type="gramStart"/>
      <w:r w:rsidR="00AE52BF" w:rsidRPr="005F62F4">
        <w:t>i.e.</w:t>
      </w:r>
      <w:proofErr w:type="gramEnd"/>
      <w:r w:rsidR="00AE52BF" w:rsidRPr="005F62F4">
        <w:t xml:space="preserve"> name of surgical guide or </w:t>
      </w:r>
      <w:proofErr w:type="spellStart"/>
      <w:r w:rsidR="00AE52BF" w:rsidRPr="005F62F4">
        <w:t>biomodel</w:t>
      </w:r>
      <w:proofErr w:type="spellEnd"/>
      <w:r w:rsidR="00AE52BF" w:rsidRPr="005F62F4">
        <w:t>, where provided)</w:t>
      </w:r>
    </w:p>
    <w:p w14:paraId="585F2839" w14:textId="5F71DDAF" w:rsidR="00AE52BF" w:rsidRPr="005F62F4" w:rsidRDefault="00B87904" w:rsidP="00B87904">
      <w:pPr>
        <w:pStyle w:val="Bullet1"/>
      </w:pPr>
      <w:r w:rsidRPr="005F62F4">
        <w:t>article</w:t>
      </w:r>
      <w:r w:rsidR="00AE52BF" w:rsidRPr="005F62F4">
        <w:t xml:space="preserve"> type (</w:t>
      </w:r>
      <w:proofErr w:type="gramStart"/>
      <w:r w:rsidR="00AE52BF" w:rsidRPr="005F62F4">
        <w:t>e.g.</w:t>
      </w:r>
      <w:proofErr w:type="gramEnd"/>
      <w:r w:rsidR="00AE52BF" w:rsidRPr="005F62F4">
        <w:t xml:space="preserve"> systematic review, randomised controlled trial, sponsor-provided data)</w:t>
      </w:r>
    </w:p>
    <w:p w14:paraId="55970A5E" w14:textId="4A77A298" w:rsidR="00AE52BF" w:rsidRPr="005F62F4" w:rsidRDefault="00B87904" w:rsidP="00B87904">
      <w:pPr>
        <w:pStyle w:val="Bullet1"/>
      </w:pPr>
      <w:r w:rsidRPr="005F62F4">
        <w:t xml:space="preserve">study </w:t>
      </w:r>
      <w:r w:rsidR="00AE52BF" w:rsidRPr="005F62F4">
        <w:t>information (</w:t>
      </w:r>
      <w:proofErr w:type="gramStart"/>
      <w:r w:rsidR="00AE52BF" w:rsidRPr="005F62F4">
        <w:t>i.e.</w:t>
      </w:r>
      <w:proofErr w:type="gramEnd"/>
      <w:r w:rsidR="00AE52BF" w:rsidRPr="005F62F4">
        <w:t xml:space="preserve"> patient characteristics, study design, study methods)</w:t>
      </w:r>
    </w:p>
    <w:p w14:paraId="1E759510" w14:textId="4B4B301D" w:rsidR="00AE52BF" w:rsidRPr="005F62F4" w:rsidRDefault="00B87904" w:rsidP="00B87904">
      <w:pPr>
        <w:pStyle w:val="Bullet1"/>
      </w:pPr>
      <w:r w:rsidRPr="005F62F4">
        <w:t>country</w:t>
      </w:r>
      <w:r w:rsidR="00AE52BF" w:rsidRPr="005F62F4">
        <w:t xml:space="preserve"> or countries where the study took place</w:t>
      </w:r>
    </w:p>
    <w:p w14:paraId="1FE44348" w14:textId="620B3CEE" w:rsidR="00AE52BF" w:rsidRPr="005F62F4" w:rsidRDefault="00B87904" w:rsidP="00B87904">
      <w:pPr>
        <w:pStyle w:val="Bullet1"/>
      </w:pPr>
      <w:r w:rsidRPr="005F62F4">
        <w:t>data</w:t>
      </w:r>
      <w:r w:rsidR="00AE52BF" w:rsidRPr="005F62F4">
        <w:t xml:space="preserve"> on comparative clinical benefits</w:t>
      </w:r>
    </w:p>
    <w:p w14:paraId="12F5EB0A" w14:textId="68AEC2B1" w:rsidR="00AE52BF" w:rsidRPr="005F62F4" w:rsidRDefault="00B87904" w:rsidP="00B87904">
      <w:pPr>
        <w:pStyle w:val="Bullet1"/>
      </w:pPr>
      <w:r w:rsidRPr="005F62F4">
        <w:t>data</w:t>
      </w:r>
      <w:r w:rsidR="00AE52BF" w:rsidRPr="005F62F4">
        <w:t xml:space="preserve"> on comparative clinical effectiveness</w:t>
      </w:r>
    </w:p>
    <w:p w14:paraId="7F4695DA" w14:textId="45F09EAA" w:rsidR="00AE52BF" w:rsidRPr="005F62F4" w:rsidRDefault="00B87904" w:rsidP="00B87904">
      <w:pPr>
        <w:pStyle w:val="Bullet1"/>
      </w:pPr>
      <w:r w:rsidRPr="005F62F4">
        <w:t>other</w:t>
      </w:r>
      <w:r w:rsidR="00AE52BF" w:rsidRPr="005F62F4">
        <w:t xml:space="preserve"> outcomes data reported (</w:t>
      </w:r>
      <w:proofErr w:type="gramStart"/>
      <w:r w:rsidR="00AE52BF" w:rsidRPr="005F62F4">
        <w:t>e.g.</w:t>
      </w:r>
      <w:proofErr w:type="gramEnd"/>
      <w:r w:rsidR="00AE52BF" w:rsidRPr="005F62F4">
        <w:t xml:space="preserve"> surrogate and/or economic outcomes)</w:t>
      </w:r>
    </w:p>
    <w:p w14:paraId="51EFC760" w14:textId="77BBBB08" w:rsidR="00AE52BF" w:rsidRPr="005F62F4" w:rsidRDefault="00B87904" w:rsidP="00B87904">
      <w:pPr>
        <w:pStyle w:val="Bullet1"/>
      </w:pPr>
      <w:r w:rsidRPr="005F62F4">
        <w:t>limitations</w:t>
      </w:r>
      <w:r w:rsidR="00AE52BF" w:rsidRPr="005F62F4">
        <w:t xml:space="preserve"> of studies (as articulated by authors)</w:t>
      </w:r>
    </w:p>
    <w:p w14:paraId="76C09F63" w14:textId="6F0ECF18" w:rsidR="00AE52BF" w:rsidRPr="005F62F4" w:rsidRDefault="00B87904" w:rsidP="00B87904">
      <w:pPr>
        <w:pStyle w:val="Bullet1"/>
      </w:pPr>
      <w:r w:rsidRPr="005F62F4">
        <w:t>conflicts</w:t>
      </w:r>
      <w:r w:rsidR="00AE52BF" w:rsidRPr="005F62F4">
        <w:t xml:space="preserve"> of interest, declared or inherent (</w:t>
      </w:r>
      <w:proofErr w:type="gramStart"/>
      <w:r w:rsidR="00AE52BF" w:rsidRPr="005F62F4">
        <w:t>e.g.</w:t>
      </w:r>
      <w:proofErr w:type="gramEnd"/>
      <w:r w:rsidR="00AE52BF" w:rsidRPr="005F62F4">
        <w:t xml:space="preserve"> sponsor-provided information that has not been peer-reviewed).</w:t>
      </w:r>
    </w:p>
    <w:p w14:paraId="56AFA049" w14:textId="37BDB06D" w:rsidR="00AE52BF" w:rsidRPr="005F62F4" w:rsidRDefault="00AE52BF" w:rsidP="004F2931">
      <w:pPr>
        <w:pStyle w:val="HeadingA2"/>
      </w:pPr>
      <w:bookmarkStart w:id="278" w:name="_Ref119649441"/>
      <w:bookmarkStart w:id="279" w:name="_Toc120178352"/>
      <w:r w:rsidRPr="005F62F4">
        <w:t>Quality assessment</w:t>
      </w:r>
      <w:bookmarkEnd w:id="278"/>
      <w:bookmarkEnd w:id="279"/>
    </w:p>
    <w:p w14:paraId="2AA4EC29" w14:textId="2B059BD7" w:rsidR="00AE52BF" w:rsidRPr="005F62F4" w:rsidRDefault="00AE52BF" w:rsidP="00AE52BF">
      <w:pPr>
        <w:pStyle w:val="Para"/>
      </w:pPr>
      <w:r w:rsidRPr="005F62F4">
        <w:t xml:space="preserve">Articles included in the review </w:t>
      </w:r>
      <w:r w:rsidR="004B132E" w:rsidRPr="005F62F4">
        <w:t>were</w:t>
      </w:r>
      <w:r w:rsidRPr="005F62F4">
        <w:t xml:space="preserve"> assessed for quality using the NHMRC levels of evidence </w:t>
      </w:r>
      <w:r w:rsidR="000330F7" w:rsidRPr="005F62F4">
        <w:fldChar w:fldCharType="begin" w:fldLock="1"/>
      </w:r>
      <w:r w:rsidR="000330F7" w:rsidRPr="005F62F4">
        <w:instrText>ADDIN CSL_CITATION {"citationItems":[{"id":"ITEM-1","itemData":{"author":[{"dropping-particle":"","family":"NHMRC (National Health and Medical Research Council)","given":"","non-dropping-particle":"","parse-names":false,"suffix":""}],"id":"ITEM-1","issued":{"date-parts":[["2009"]]},"publisher":"NHMRC","publisher-place":"Canberra","title":"NHMRC levels of evidence and grades for recommendations for developers of guidelines","type":"book"},"uris":["http://www.mendeley.com/documents/?uuid=4cb9daee-bc84-4b4e-8ffb-c15c1d6de642"]}],"mendeley":{"formattedCitation":"(NHMRC (National Health and Medical Research Council) 2009)","manualFormatting":"(NHMRC 2009)","plainTextFormattedCitation":"(NHMRC (National Health and Medical Research Council) 2009)","previouslyFormattedCitation":"(NHMRC (National Health and Medical Research Council) 2009)"},"properties":{"noteIndex":0},"schema":"https://github.com/citation-style-language/schema/raw/master/csl-citation.json"}</w:instrText>
      </w:r>
      <w:r w:rsidR="000330F7" w:rsidRPr="005F62F4">
        <w:fldChar w:fldCharType="separate"/>
      </w:r>
      <w:r w:rsidR="000330F7" w:rsidRPr="005F62F4">
        <w:rPr>
          <w:noProof/>
        </w:rPr>
        <w:t>(NHMRC 2009)</w:t>
      </w:r>
      <w:r w:rsidR="000330F7" w:rsidRPr="005F62F4">
        <w:fldChar w:fldCharType="end"/>
      </w:r>
      <w:r w:rsidRPr="005F62F4" w:rsidDel="00A75A3E">
        <w:t xml:space="preserve"> </w:t>
      </w:r>
      <w:r w:rsidRPr="005F62F4">
        <w:t xml:space="preserve">outlined in </w:t>
      </w:r>
      <w:r w:rsidR="005D6AAA" w:rsidRPr="005F62F4">
        <w:fldChar w:fldCharType="begin"/>
      </w:r>
      <w:r w:rsidR="005D6AAA" w:rsidRPr="005F62F4">
        <w:instrText xml:space="preserve"> REF _Ref119870861 \h </w:instrText>
      </w:r>
      <w:r w:rsidR="005F62F4">
        <w:instrText xml:space="preserve"> \* MERGEFORMAT </w:instrText>
      </w:r>
      <w:r w:rsidR="005D6AAA" w:rsidRPr="005F62F4">
        <w:fldChar w:fldCharType="separate"/>
      </w:r>
      <w:r w:rsidR="005606BF" w:rsidRPr="005F62F4">
        <w:t>Table </w:t>
      </w:r>
      <w:r w:rsidR="005606BF">
        <w:t>24</w:t>
      </w:r>
      <w:r w:rsidR="005D6AAA" w:rsidRPr="005F62F4">
        <w:fldChar w:fldCharType="end"/>
      </w:r>
      <w:r w:rsidRPr="005F62F4">
        <w:t>.</w:t>
      </w:r>
    </w:p>
    <w:p w14:paraId="363DDE92" w14:textId="22BDF8D4" w:rsidR="008F4DC6" w:rsidRPr="005F62F4" w:rsidRDefault="00E56C05" w:rsidP="00181065">
      <w:pPr>
        <w:pStyle w:val="Para"/>
      </w:pPr>
      <w:bookmarkStart w:id="280" w:name="_Ref119870861"/>
      <w:bookmarkStart w:id="281" w:name="_Toc129954661"/>
      <w:r w:rsidRPr="005F62F4">
        <w:t>Table </w:t>
      </w:r>
      <w:r w:rsidRPr="005F62F4">
        <w:fldChar w:fldCharType="begin"/>
      </w:r>
      <w:r w:rsidRPr="005F62F4">
        <w:instrText>SEQ Table \* ARABIC</w:instrText>
      </w:r>
      <w:r w:rsidRPr="005F62F4">
        <w:fldChar w:fldCharType="separate"/>
      </w:r>
      <w:r w:rsidR="005606BF">
        <w:rPr>
          <w:noProof/>
        </w:rPr>
        <w:t>24</w:t>
      </w:r>
      <w:r w:rsidRPr="005F62F4">
        <w:fldChar w:fldCharType="end"/>
      </w:r>
      <w:bookmarkEnd w:id="280"/>
      <w:r w:rsidR="008F4DC6" w:rsidRPr="005F62F4">
        <w:t>: NHMRC levels of evidence</w:t>
      </w:r>
      <w:bookmarkEnd w:id="281"/>
    </w:p>
    <w:tbl>
      <w:tblPr>
        <w:tblStyle w:val="SGB"/>
        <w:tblW w:w="5013" w:type="pct"/>
        <w:tblLayout w:type="fixed"/>
        <w:tblLook w:val="0420" w:firstRow="1" w:lastRow="0" w:firstColumn="0" w:lastColumn="0" w:noHBand="0" w:noVBand="1"/>
      </w:tblPr>
      <w:tblGrid>
        <w:gridCol w:w="1570"/>
        <w:gridCol w:w="7786"/>
      </w:tblGrid>
      <w:tr w:rsidR="00AE52BF" w:rsidRPr="005F62F4" w14:paraId="03D6D8AB" w14:textId="77777777" w:rsidTr="00637528">
        <w:trPr>
          <w:cnfStyle w:val="100000000000" w:firstRow="1" w:lastRow="0" w:firstColumn="0" w:lastColumn="0" w:oddVBand="0" w:evenVBand="0" w:oddHBand="0" w:evenHBand="0" w:firstRowFirstColumn="0" w:firstRowLastColumn="0" w:lastRowFirstColumn="0" w:lastRowLastColumn="0"/>
        </w:trPr>
        <w:tc>
          <w:tcPr>
            <w:tcW w:w="1570" w:type="dxa"/>
          </w:tcPr>
          <w:p w14:paraId="0F94687D" w14:textId="77777777" w:rsidR="00AE52BF" w:rsidRPr="005F62F4" w:rsidRDefault="00AE52BF" w:rsidP="00637528">
            <w:pPr>
              <w:pStyle w:val="TableText"/>
              <w:rPr>
                <w:sz w:val="22"/>
                <w:szCs w:val="22"/>
              </w:rPr>
            </w:pPr>
            <w:bookmarkStart w:id="282" w:name="ColumnTitle_26"/>
            <w:r w:rsidRPr="005F62F4">
              <w:rPr>
                <w:sz w:val="22"/>
                <w:szCs w:val="22"/>
              </w:rPr>
              <w:t>Level of evidence</w:t>
            </w:r>
          </w:p>
        </w:tc>
        <w:tc>
          <w:tcPr>
            <w:tcW w:w="7786" w:type="dxa"/>
          </w:tcPr>
          <w:p w14:paraId="4B793443" w14:textId="77777777" w:rsidR="00AE52BF" w:rsidRPr="005F62F4" w:rsidRDefault="00AE52BF" w:rsidP="00637528">
            <w:pPr>
              <w:pStyle w:val="TableText"/>
              <w:rPr>
                <w:sz w:val="22"/>
                <w:szCs w:val="22"/>
              </w:rPr>
            </w:pPr>
            <w:r w:rsidRPr="005F62F4">
              <w:rPr>
                <w:sz w:val="22"/>
                <w:szCs w:val="22"/>
              </w:rPr>
              <w:t>Study design</w:t>
            </w:r>
          </w:p>
        </w:tc>
      </w:tr>
      <w:bookmarkEnd w:id="282"/>
      <w:tr w:rsidR="00AE52BF" w:rsidRPr="005F62F4" w14:paraId="3142011C" w14:textId="77777777" w:rsidTr="00637528">
        <w:tc>
          <w:tcPr>
            <w:tcW w:w="1570" w:type="dxa"/>
          </w:tcPr>
          <w:p w14:paraId="6442C1EE" w14:textId="77777777" w:rsidR="00AE52BF" w:rsidRPr="005F62F4" w:rsidRDefault="00AE52BF" w:rsidP="00637528">
            <w:pPr>
              <w:pStyle w:val="TableText"/>
              <w:rPr>
                <w:rFonts w:eastAsia="Helvetica Neue Light" w:cstheme="minorHAnsi"/>
                <w:sz w:val="22"/>
                <w:szCs w:val="22"/>
                <w:lang w:eastAsia="ja-JP"/>
              </w:rPr>
            </w:pPr>
            <w:r w:rsidRPr="005F62F4">
              <w:rPr>
                <w:sz w:val="22"/>
                <w:szCs w:val="22"/>
              </w:rPr>
              <w:t>I</w:t>
            </w:r>
          </w:p>
        </w:tc>
        <w:tc>
          <w:tcPr>
            <w:tcW w:w="7786" w:type="dxa"/>
          </w:tcPr>
          <w:p w14:paraId="7016AEEF" w14:textId="77777777" w:rsidR="00AE52BF" w:rsidRPr="005F62F4" w:rsidRDefault="00AE52BF" w:rsidP="00637528">
            <w:pPr>
              <w:pStyle w:val="TableText"/>
              <w:rPr>
                <w:sz w:val="22"/>
                <w:szCs w:val="22"/>
              </w:rPr>
            </w:pPr>
            <w:r w:rsidRPr="005F62F4">
              <w:rPr>
                <w:sz w:val="22"/>
                <w:szCs w:val="22"/>
              </w:rPr>
              <w:t>A systematic review of level II studies</w:t>
            </w:r>
          </w:p>
        </w:tc>
      </w:tr>
      <w:tr w:rsidR="00AE52BF" w:rsidRPr="005F62F4" w14:paraId="7C2D16B7" w14:textId="77777777" w:rsidTr="00637528">
        <w:trPr>
          <w:cnfStyle w:val="000000010000" w:firstRow="0" w:lastRow="0" w:firstColumn="0" w:lastColumn="0" w:oddVBand="0" w:evenVBand="0" w:oddHBand="0" w:evenHBand="1" w:firstRowFirstColumn="0" w:firstRowLastColumn="0" w:lastRowFirstColumn="0" w:lastRowLastColumn="0"/>
        </w:trPr>
        <w:tc>
          <w:tcPr>
            <w:tcW w:w="1570" w:type="dxa"/>
          </w:tcPr>
          <w:p w14:paraId="4C31536E" w14:textId="77777777" w:rsidR="00AE52BF" w:rsidRPr="005F62F4" w:rsidRDefault="00AE52BF" w:rsidP="00637528">
            <w:pPr>
              <w:pStyle w:val="TableText"/>
              <w:rPr>
                <w:rFonts w:eastAsia="Helvetica Neue Light" w:cstheme="minorHAnsi"/>
                <w:sz w:val="22"/>
                <w:szCs w:val="22"/>
                <w:lang w:eastAsia="ja-JP"/>
              </w:rPr>
            </w:pPr>
            <w:r w:rsidRPr="005F62F4">
              <w:rPr>
                <w:sz w:val="22"/>
                <w:szCs w:val="22"/>
              </w:rPr>
              <w:t>II</w:t>
            </w:r>
          </w:p>
        </w:tc>
        <w:tc>
          <w:tcPr>
            <w:tcW w:w="7786" w:type="dxa"/>
          </w:tcPr>
          <w:p w14:paraId="1B5A8F03" w14:textId="77777777" w:rsidR="00AE52BF" w:rsidRPr="005F62F4" w:rsidRDefault="00AE52BF" w:rsidP="00637528">
            <w:pPr>
              <w:pStyle w:val="TableText"/>
              <w:rPr>
                <w:sz w:val="22"/>
                <w:szCs w:val="22"/>
              </w:rPr>
            </w:pPr>
            <w:r w:rsidRPr="005F62F4">
              <w:rPr>
                <w:sz w:val="22"/>
                <w:szCs w:val="22"/>
              </w:rPr>
              <w:t>A randomised controlled trial</w:t>
            </w:r>
          </w:p>
        </w:tc>
      </w:tr>
      <w:tr w:rsidR="00AE52BF" w:rsidRPr="005F62F4" w14:paraId="60371BBA" w14:textId="77777777" w:rsidTr="00637528">
        <w:tc>
          <w:tcPr>
            <w:tcW w:w="1570" w:type="dxa"/>
          </w:tcPr>
          <w:p w14:paraId="68CD6643" w14:textId="77777777" w:rsidR="00AE52BF" w:rsidRPr="005F62F4" w:rsidRDefault="00AE52BF" w:rsidP="00637528">
            <w:pPr>
              <w:pStyle w:val="TableText"/>
              <w:rPr>
                <w:rFonts w:eastAsia="Helvetica Neue Light" w:cstheme="minorHAnsi"/>
                <w:sz w:val="22"/>
                <w:szCs w:val="22"/>
                <w:lang w:eastAsia="ja-JP"/>
              </w:rPr>
            </w:pPr>
            <w:r w:rsidRPr="005F62F4">
              <w:rPr>
                <w:sz w:val="22"/>
                <w:szCs w:val="22"/>
              </w:rPr>
              <w:t>III-1</w:t>
            </w:r>
          </w:p>
        </w:tc>
        <w:tc>
          <w:tcPr>
            <w:tcW w:w="7786" w:type="dxa"/>
          </w:tcPr>
          <w:p w14:paraId="2AD8F4E1" w14:textId="77777777" w:rsidR="00AE52BF" w:rsidRPr="005F62F4" w:rsidRDefault="00AE52BF" w:rsidP="00637528">
            <w:pPr>
              <w:pStyle w:val="TableText"/>
              <w:rPr>
                <w:sz w:val="22"/>
                <w:szCs w:val="22"/>
              </w:rPr>
            </w:pPr>
            <w:r w:rsidRPr="005F62F4">
              <w:rPr>
                <w:sz w:val="22"/>
                <w:szCs w:val="22"/>
              </w:rPr>
              <w:t>A pseudo-randomised controlled trial (</w:t>
            </w:r>
            <w:proofErr w:type="gramStart"/>
            <w:r w:rsidRPr="005F62F4">
              <w:rPr>
                <w:sz w:val="22"/>
                <w:szCs w:val="22"/>
              </w:rPr>
              <w:t>i.e.</w:t>
            </w:r>
            <w:proofErr w:type="gramEnd"/>
            <w:r w:rsidRPr="005F62F4">
              <w:rPr>
                <w:sz w:val="22"/>
                <w:szCs w:val="22"/>
              </w:rPr>
              <w:t xml:space="preserve"> alternate allocation or some other method)</w:t>
            </w:r>
          </w:p>
        </w:tc>
      </w:tr>
      <w:tr w:rsidR="00AE52BF" w:rsidRPr="005F62F4" w14:paraId="0040D18A" w14:textId="77777777" w:rsidTr="00637528">
        <w:trPr>
          <w:cnfStyle w:val="000000010000" w:firstRow="0" w:lastRow="0" w:firstColumn="0" w:lastColumn="0" w:oddVBand="0" w:evenVBand="0" w:oddHBand="0" w:evenHBand="1" w:firstRowFirstColumn="0" w:firstRowLastColumn="0" w:lastRowFirstColumn="0" w:lastRowLastColumn="0"/>
        </w:trPr>
        <w:tc>
          <w:tcPr>
            <w:tcW w:w="1570" w:type="dxa"/>
          </w:tcPr>
          <w:p w14:paraId="3D2F8D0E" w14:textId="77777777" w:rsidR="00AE52BF" w:rsidRPr="005F62F4" w:rsidRDefault="00AE52BF" w:rsidP="00637528">
            <w:pPr>
              <w:pStyle w:val="TableText"/>
              <w:rPr>
                <w:rFonts w:eastAsia="Helvetica Neue Light" w:cstheme="minorHAnsi"/>
                <w:sz w:val="22"/>
                <w:szCs w:val="22"/>
                <w:lang w:eastAsia="ja-JP"/>
              </w:rPr>
            </w:pPr>
            <w:r w:rsidRPr="005F62F4">
              <w:rPr>
                <w:sz w:val="22"/>
                <w:szCs w:val="22"/>
              </w:rPr>
              <w:t>III-2</w:t>
            </w:r>
          </w:p>
        </w:tc>
        <w:tc>
          <w:tcPr>
            <w:tcW w:w="7786" w:type="dxa"/>
          </w:tcPr>
          <w:p w14:paraId="64432DCC" w14:textId="77777777" w:rsidR="00AE52BF" w:rsidRPr="005F62F4" w:rsidRDefault="00AE52BF" w:rsidP="00637528">
            <w:pPr>
              <w:pStyle w:val="TableText"/>
              <w:rPr>
                <w:sz w:val="22"/>
                <w:szCs w:val="22"/>
              </w:rPr>
            </w:pPr>
            <w:r w:rsidRPr="005F62F4">
              <w:rPr>
                <w:sz w:val="22"/>
                <w:szCs w:val="22"/>
              </w:rPr>
              <w:t>A comparative study with concurrent controls (</w:t>
            </w:r>
            <w:proofErr w:type="gramStart"/>
            <w:r w:rsidRPr="005F62F4">
              <w:rPr>
                <w:sz w:val="22"/>
                <w:szCs w:val="22"/>
              </w:rPr>
              <w:t>i.e.</w:t>
            </w:r>
            <w:proofErr w:type="gramEnd"/>
            <w:r w:rsidRPr="005F62F4">
              <w:rPr>
                <w:sz w:val="22"/>
                <w:szCs w:val="22"/>
              </w:rPr>
              <w:t xml:space="preserve"> non-randomised experimental trials, cohort studies, case-control studies, interrupted time series studies with a control group)</w:t>
            </w:r>
          </w:p>
        </w:tc>
      </w:tr>
      <w:tr w:rsidR="00AE52BF" w:rsidRPr="005F62F4" w14:paraId="53AC9CCC" w14:textId="77777777" w:rsidTr="00637528">
        <w:tc>
          <w:tcPr>
            <w:tcW w:w="1570" w:type="dxa"/>
          </w:tcPr>
          <w:p w14:paraId="51B35A39" w14:textId="77777777" w:rsidR="00AE52BF" w:rsidRPr="005F62F4" w:rsidRDefault="00AE52BF" w:rsidP="00637528">
            <w:pPr>
              <w:pStyle w:val="TableText"/>
              <w:rPr>
                <w:rFonts w:eastAsia="Helvetica Neue Light" w:cstheme="minorHAnsi"/>
                <w:sz w:val="22"/>
                <w:szCs w:val="22"/>
                <w:lang w:eastAsia="ja-JP"/>
              </w:rPr>
            </w:pPr>
            <w:r w:rsidRPr="005F62F4">
              <w:rPr>
                <w:sz w:val="22"/>
                <w:szCs w:val="22"/>
              </w:rPr>
              <w:t>III-3</w:t>
            </w:r>
          </w:p>
        </w:tc>
        <w:tc>
          <w:tcPr>
            <w:tcW w:w="7786" w:type="dxa"/>
          </w:tcPr>
          <w:p w14:paraId="6899144C" w14:textId="77777777" w:rsidR="00AE52BF" w:rsidRPr="005F62F4" w:rsidRDefault="00AE52BF" w:rsidP="00637528">
            <w:pPr>
              <w:pStyle w:val="TableText"/>
              <w:rPr>
                <w:sz w:val="22"/>
                <w:szCs w:val="22"/>
              </w:rPr>
            </w:pPr>
            <w:r w:rsidRPr="005F62F4">
              <w:rPr>
                <w:sz w:val="22"/>
                <w:szCs w:val="22"/>
              </w:rPr>
              <w:t>A comparative study without concurrent controls (</w:t>
            </w:r>
            <w:proofErr w:type="gramStart"/>
            <w:r w:rsidRPr="005F62F4">
              <w:rPr>
                <w:sz w:val="22"/>
                <w:szCs w:val="22"/>
              </w:rPr>
              <w:t>i.e.</w:t>
            </w:r>
            <w:proofErr w:type="gramEnd"/>
            <w:r w:rsidRPr="005F62F4">
              <w:rPr>
                <w:sz w:val="22"/>
                <w:szCs w:val="22"/>
              </w:rPr>
              <w:t> historical control study, two or more single arm studies, interrupted time series studies without a parallel control group)</w:t>
            </w:r>
          </w:p>
        </w:tc>
      </w:tr>
      <w:tr w:rsidR="00AE52BF" w:rsidRPr="005F62F4" w14:paraId="0744F4DC" w14:textId="77777777" w:rsidTr="00637528">
        <w:trPr>
          <w:cnfStyle w:val="000000010000" w:firstRow="0" w:lastRow="0" w:firstColumn="0" w:lastColumn="0" w:oddVBand="0" w:evenVBand="0" w:oddHBand="0" w:evenHBand="1" w:firstRowFirstColumn="0" w:firstRowLastColumn="0" w:lastRowFirstColumn="0" w:lastRowLastColumn="0"/>
        </w:trPr>
        <w:tc>
          <w:tcPr>
            <w:tcW w:w="1570" w:type="dxa"/>
          </w:tcPr>
          <w:p w14:paraId="20081B3F" w14:textId="77777777" w:rsidR="00AE52BF" w:rsidRPr="005F62F4" w:rsidRDefault="00AE52BF" w:rsidP="00637528">
            <w:pPr>
              <w:pStyle w:val="TableText"/>
              <w:rPr>
                <w:sz w:val="22"/>
                <w:szCs w:val="22"/>
              </w:rPr>
            </w:pPr>
            <w:r w:rsidRPr="005F62F4">
              <w:rPr>
                <w:sz w:val="22"/>
                <w:szCs w:val="22"/>
              </w:rPr>
              <w:t>IV</w:t>
            </w:r>
          </w:p>
        </w:tc>
        <w:tc>
          <w:tcPr>
            <w:tcW w:w="7786" w:type="dxa"/>
          </w:tcPr>
          <w:p w14:paraId="720A1142" w14:textId="77777777" w:rsidR="00AE52BF" w:rsidRPr="005F62F4" w:rsidRDefault="00AE52BF" w:rsidP="000A7D6C">
            <w:pPr>
              <w:pStyle w:val="TableText"/>
              <w:keepNext/>
              <w:rPr>
                <w:sz w:val="22"/>
                <w:szCs w:val="22"/>
              </w:rPr>
            </w:pPr>
            <w:r w:rsidRPr="005F62F4">
              <w:rPr>
                <w:sz w:val="22"/>
                <w:szCs w:val="22"/>
              </w:rPr>
              <w:t>Case series with either post-test or pre-test/post-test outcomes</w:t>
            </w:r>
          </w:p>
        </w:tc>
      </w:tr>
    </w:tbl>
    <w:p w14:paraId="148CEFE0" w14:textId="1F95EE66" w:rsidR="00E5446D" w:rsidRPr="005F62F4" w:rsidRDefault="00E5446D" w:rsidP="00E5446D">
      <w:pPr>
        <w:pStyle w:val="Para"/>
      </w:pPr>
      <w:r w:rsidRPr="005F62F4">
        <w:t>The quality of evidence within these level III-2 studies was assessed using the Newcastle-Ott</w:t>
      </w:r>
      <w:r w:rsidR="00637528" w:rsidRPr="005F62F4">
        <w:t>a</w:t>
      </w:r>
      <w:r w:rsidRPr="005F62F4">
        <w:t xml:space="preserve">wa Quality Assessment Scale (NOS) </w:t>
      </w:r>
      <w:r w:rsidR="001E025F" w:rsidRPr="005F62F4">
        <w:fldChar w:fldCharType="begin" w:fldLock="1"/>
      </w:r>
      <w:r w:rsidR="001E025F" w:rsidRPr="005F62F4">
        <w:instrText>ADDIN CSL_CITATION {"citationItems":[{"id":"ITEM-1","itemData":{"URL":"https://www.ohri.ca/programs/clinical_epidemiology/oxford.asp","accessed":{"date-parts":[["2022","11","12"]]},"author":[{"dropping-particle":"","family":"Wells","given":"GA","non-dropping-particle":"","parse-names":false,"suffix":""},{"dropping-particle":"","family":"Shea","given":"B","non-dropping-particle":"","parse-names":false,"suffix":""},{"dropping-particle":"","family":"O'Connell","given":"D","non-dropping-particle":"","parse-names":false,"suffix":""},{"dropping-particle":"","family":"Peterson","given":"J","non-dropping-particle":"","parse-names":false,"suffix":""},{"dropping-particle":"","family":"Welch","given":"V","non-dropping-particle":"","parse-names":false,"suffix":""},{"dropping-particle":"","family":"Losos","given":"M","non-dropping-particle":"","parse-names":false,"suffix":""},{"dropping-particle":"","family":"Tugwell","given":"P","non-dropping-particle":"","parse-names":false,"suffix":""}],"container-title":"The Ottowa Hospital Research Institute website","id":"ITEM-1","issued":{"date-parts":[["2021"]]},"title":"The Newcastle-Ottawa Scale (NOS) for assessing the quality of nonrandomised studies in meta-analyses","type":"webpage"},"uris":["http://www.mendeley.com/documents/?uuid=e40d0ebf-89be-43cf-b39b-fe138a810ae1","http://www.mendeley.com/documents/?uuid=8643b740-e149-4d2c-9cfc-d6706ef957ff"]}],"mendeley":{"formattedCitation":"(Wells et al. 2021)","plainTextFormattedCitation":"(Wells et al. 2021)","previouslyFormattedCitation":"(Wells et al. 2021)"},"properties":{"noteIndex":0},"schema":"https://github.com/citation-style-language/schema/raw/master/csl-citation.json"}</w:instrText>
      </w:r>
      <w:r w:rsidR="001E025F" w:rsidRPr="005F62F4">
        <w:fldChar w:fldCharType="separate"/>
      </w:r>
      <w:r w:rsidR="001E025F" w:rsidRPr="005F62F4">
        <w:rPr>
          <w:noProof/>
        </w:rPr>
        <w:t>(Wells et al. 2021)</w:t>
      </w:r>
      <w:r w:rsidR="001E025F" w:rsidRPr="005F62F4">
        <w:fldChar w:fldCharType="end"/>
      </w:r>
      <w:r w:rsidRPr="005F62F4">
        <w:t xml:space="preserve">. The NOS assesses the risk of bias in a study </w:t>
      </w:r>
      <w:r w:rsidRPr="005F62F4">
        <w:lastRenderedPageBreak/>
        <w:t xml:space="preserve">by considering how well it was conducted across three domains: 1) selection of the sample, 2) comparability of groups, and 3) exposure or outcome variables. A maximum of four points can be awarded in the selection domain, a maximum of two points can be awarded in the comparability domain and a maximum of three points can be awarded in the exposure/outcome domain. The maximum total score for a study is nine. Higher scores indicated a lower risk of bias, while lower scores indicate a higher risk of bias. To date, threshold scores have not been established to distinguish between good and </w:t>
      </w:r>
      <w:proofErr w:type="gramStart"/>
      <w:r w:rsidRPr="005F62F4">
        <w:t>poor quality</w:t>
      </w:r>
      <w:proofErr w:type="gramEnd"/>
      <w:r w:rsidRPr="005F62F4">
        <w:t xml:space="preserve"> studies.</w:t>
      </w:r>
    </w:p>
    <w:p w14:paraId="6C1A8530" w14:textId="7AE6DEF9" w:rsidR="00AE52BF" w:rsidRPr="005F62F4" w:rsidRDefault="00AE52BF" w:rsidP="004F2931">
      <w:pPr>
        <w:pStyle w:val="HeadingA2"/>
      </w:pPr>
      <w:bookmarkStart w:id="283" w:name="_Toc120178353"/>
      <w:r w:rsidRPr="005F62F4">
        <w:t>Data synthesis</w:t>
      </w:r>
      <w:bookmarkEnd w:id="283"/>
    </w:p>
    <w:p w14:paraId="50747EBE" w14:textId="04201E0B" w:rsidR="00AE52BF" w:rsidRPr="005F62F4" w:rsidRDefault="00AE52BF" w:rsidP="00D20797">
      <w:pPr>
        <w:pStyle w:val="Para"/>
      </w:pPr>
      <w:r w:rsidRPr="005F62F4">
        <w:t>One researcher use</w:t>
      </w:r>
      <w:r w:rsidR="00571DC1" w:rsidRPr="005F62F4">
        <w:t>d</w:t>
      </w:r>
      <w:r w:rsidRPr="005F62F4">
        <w:t xml:space="preserve"> the extracted data to answer the research question</w:t>
      </w:r>
      <w:r w:rsidR="00E62945" w:rsidRPr="005F62F4">
        <w:t>s</w:t>
      </w:r>
      <w:r w:rsidRPr="005F62F4">
        <w:t xml:space="preserve"> using a narrative synthesis.</w:t>
      </w:r>
    </w:p>
    <w:p w14:paraId="2418452A" w14:textId="2B1947B5" w:rsidR="008B134C" w:rsidRPr="005F62F4" w:rsidRDefault="00536A67" w:rsidP="004F2931">
      <w:pPr>
        <w:pStyle w:val="HeadingA2"/>
      </w:pPr>
      <w:bookmarkStart w:id="284" w:name="_Toc120178354"/>
      <w:r w:rsidRPr="005F62F4">
        <w:t>Findings</w:t>
      </w:r>
      <w:bookmarkEnd w:id="284"/>
    </w:p>
    <w:p w14:paraId="2A92BBAB" w14:textId="4B944441" w:rsidR="00D815D4" w:rsidRPr="005F62F4" w:rsidRDefault="00D815D4" w:rsidP="004F2931">
      <w:pPr>
        <w:pStyle w:val="HeadingA3"/>
      </w:pPr>
      <w:bookmarkStart w:id="285" w:name="_Toc120178355"/>
      <w:r w:rsidRPr="005F62F4">
        <w:t>M</w:t>
      </w:r>
      <w:r w:rsidR="00126FFE" w:rsidRPr="005F62F4">
        <w:t>EDLINE</w:t>
      </w:r>
      <w:r w:rsidRPr="005F62F4">
        <w:t xml:space="preserve"> search</w:t>
      </w:r>
      <w:bookmarkEnd w:id="285"/>
    </w:p>
    <w:p w14:paraId="0E782861" w14:textId="55FE10BC" w:rsidR="00D815D4" w:rsidRPr="005F62F4" w:rsidRDefault="00D815D4" w:rsidP="00E90068">
      <w:pPr>
        <w:pStyle w:val="Para"/>
      </w:pPr>
      <w:r w:rsidRPr="005F62F4">
        <w:t>The M</w:t>
      </w:r>
      <w:r w:rsidR="00126FFE" w:rsidRPr="005F62F4">
        <w:t>EDLINE</w:t>
      </w:r>
      <w:r w:rsidRPr="005F62F4">
        <w:t xml:space="preserve"> searches for product-specific information returned a total of 15</w:t>
      </w:r>
      <w:r w:rsidR="00044131" w:rsidRPr="005F62F4">
        <w:t>3</w:t>
      </w:r>
      <w:r w:rsidRPr="005F62F4">
        <w:t xml:space="preserve"> results. </w:t>
      </w:r>
      <w:r w:rsidR="00DC17C8" w:rsidRPr="005F62F4">
        <w:fldChar w:fldCharType="begin"/>
      </w:r>
      <w:r w:rsidR="00DC17C8" w:rsidRPr="005F62F4">
        <w:instrText xml:space="preserve"> REF _Ref119870904 \h </w:instrText>
      </w:r>
      <w:r w:rsidR="005F62F4">
        <w:instrText xml:space="preserve"> \* MERGEFORMAT </w:instrText>
      </w:r>
      <w:r w:rsidR="00DC17C8" w:rsidRPr="005F62F4">
        <w:fldChar w:fldCharType="separate"/>
      </w:r>
      <w:r w:rsidR="005606BF" w:rsidRPr="005F62F4">
        <w:t>Table </w:t>
      </w:r>
      <w:r w:rsidR="005606BF">
        <w:t>25</w:t>
      </w:r>
      <w:r w:rsidR="00DC17C8" w:rsidRPr="005F62F4">
        <w:fldChar w:fldCharType="end"/>
      </w:r>
      <w:r w:rsidR="00DC17C8" w:rsidRPr="005F62F4">
        <w:t xml:space="preserve"> </w:t>
      </w:r>
      <w:r w:rsidRPr="005F62F4">
        <w:t>shows the number of results for each search term used, the number of included and excluded studies, and the main reason for exclusion.</w:t>
      </w:r>
    </w:p>
    <w:p w14:paraId="75D0C0BD" w14:textId="473C4B00" w:rsidR="008F4DC6" w:rsidRPr="005F62F4" w:rsidRDefault="00E56C05" w:rsidP="008F4DC6">
      <w:pPr>
        <w:pStyle w:val="Caption"/>
      </w:pPr>
      <w:bookmarkStart w:id="286" w:name="_Ref119870904"/>
      <w:bookmarkStart w:id="287" w:name="_Ref120262640"/>
      <w:bookmarkStart w:id="288" w:name="_Toc129954662"/>
      <w:r w:rsidRPr="005F62F4">
        <w:t>Table </w:t>
      </w:r>
      <w:r w:rsidRPr="005F62F4">
        <w:fldChar w:fldCharType="begin"/>
      </w:r>
      <w:r w:rsidRPr="005F62F4">
        <w:instrText>SEQ Table \* ARABIC</w:instrText>
      </w:r>
      <w:r w:rsidRPr="005F62F4">
        <w:fldChar w:fldCharType="separate"/>
      </w:r>
      <w:r w:rsidR="005606BF">
        <w:rPr>
          <w:noProof/>
        </w:rPr>
        <w:t>25</w:t>
      </w:r>
      <w:r w:rsidRPr="005F62F4">
        <w:fldChar w:fldCharType="end"/>
      </w:r>
      <w:bookmarkEnd w:id="286"/>
      <w:r w:rsidR="008F4DC6" w:rsidRPr="005F62F4">
        <w:t>: Product-specific search terms and results</w:t>
      </w:r>
      <w:bookmarkEnd w:id="287"/>
      <w:bookmarkEnd w:id="288"/>
    </w:p>
    <w:tbl>
      <w:tblPr>
        <w:tblStyle w:val="SGB"/>
        <w:tblW w:w="8931" w:type="dxa"/>
        <w:tblLook w:val="04E0" w:firstRow="1" w:lastRow="1" w:firstColumn="1" w:lastColumn="0" w:noHBand="0" w:noVBand="1"/>
      </w:tblPr>
      <w:tblGrid>
        <w:gridCol w:w="2176"/>
        <w:gridCol w:w="1059"/>
        <w:gridCol w:w="1301"/>
        <w:gridCol w:w="1134"/>
        <w:gridCol w:w="3261"/>
      </w:tblGrid>
      <w:tr w:rsidR="007D3D6A" w:rsidRPr="005F62F4" w14:paraId="25A5CACC" w14:textId="77777777" w:rsidTr="007D3D6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42F0F58E" w14:textId="77777777" w:rsidR="00A82DB3" w:rsidRPr="005F62F4" w:rsidRDefault="00A82DB3" w:rsidP="00845C70">
            <w:pPr>
              <w:pStyle w:val="TableText"/>
            </w:pPr>
            <w:bookmarkStart w:id="289" w:name="Title_27" w:colFirst="0" w:colLast="0"/>
            <w:r w:rsidRPr="005F62F4">
              <w:t>Search term/s</w:t>
            </w:r>
          </w:p>
        </w:tc>
        <w:tc>
          <w:tcPr>
            <w:tcW w:w="1059" w:type="dxa"/>
          </w:tcPr>
          <w:p w14:paraId="310922A7" w14:textId="77777777" w:rsidR="00A82DB3" w:rsidRPr="005F62F4" w:rsidRDefault="00A82DB3" w:rsidP="00845C70">
            <w:pPr>
              <w:pStyle w:val="TableTextRight"/>
              <w:cnfStyle w:val="100000000000" w:firstRow="1" w:lastRow="0" w:firstColumn="0" w:lastColumn="0" w:oddVBand="0" w:evenVBand="0" w:oddHBand="0" w:evenHBand="0" w:firstRowFirstColumn="0" w:firstRowLastColumn="0" w:lastRowFirstColumn="0" w:lastRowLastColumn="0"/>
              <w:rPr>
                <w:lang w:val="en-AU"/>
              </w:rPr>
            </w:pPr>
            <w:r w:rsidRPr="005F62F4">
              <w:rPr>
                <w:lang w:val="en-AU"/>
              </w:rPr>
              <w:t xml:space="preserve">Number of results </w:t>
            </w:r>
          </w:p>
        </w:tc>
        <w:tc>
          <w:tcPr>
            <w:tcW w:w="1301" w:type="dxa"/>
          </w:tcPr>
          <w:p w14:paraId="468320E2" w14:textId="77777777" w:rsidR="00A82DB3" w:rsidRPr="005F62F4" w:rsidRDefault="00A82DB3" w:rsidP="00845C70">
            <w:pPr>
              <w:pStyle w:val="TableTextRight"/>
              <w:cnfStyle w:val="100000000000" w:firstRow="1" w:lastRow="0" w:firstColumn="0" w:lastColumn="0" w:oddVBand="0" w:evenVBand="0" w:oddHBand="0" w:evenHBand="0" w:firstRowFirstColumn="0" w:firstRowLastColumn="0" w:lastRowFirstColumn="0" w:lastRowLastColumn="0"/>
              <w:rPr>
                <w:lang w:val="en-AU"/>
              </w:rPr>
            </w:pPr>
            <w:r w:rsidRPr="005F62F4">
              <w:rPr>
                <w:lang w:val="en-AU"/>
              </w:rPr>
              <w:t>Number of included studies</w:t>
            </w:r>
          </w:p>
        </w:tc>
        <w:tc>
          <w:tcPr>
            <w:tcW w:w="1134" w:type="dxa"/>
          </w:tcPr>
          <w:p w14:paraId="2F914B21" w14:textId="77777777" w:rsidR="00A82DB3" w:rsidRPr="005F62F4" w:rsidRDefault="00A82DB3" w:rsidP="00845C70">
            <w:pPr>
              <w:pStyle w:val="TableTextRight"/>
              <w:cnfStyle w:val="100000000000" w:firstRow="1" w:lastRow="0" w:firstColumn="0" w:lastColumn="0" w:oddVBand="0" w:evenVBand="0" w:oddHBand="0" w:evenHBand="0" w:firstRowFirstColumn="0" w:firstRowLastColumn="0" w:lastRowFirstColumn="0" w:lastRowLastColumn="0"/>
              <w:rPr>
                <w:lang w:val="en-AU"/>
              </w:rPr>
            </w:pPr>
            <w:r w:rsidRPr="005F62F4">
              <w:rPr>
                <w:lang w:val="en-AU"/>
              </w:rPr>
              <w:t>Number of excluded studies</w:t>
            </w:r>
          </w:p>
        </w:tc>
        <w:tc>
          <w:tcPr>
            <w:tcW w:w="3261" w:type="dxa"/>
          </w:tcPr>
          <w:p w14:paraId="73FC0056" w14:textId="77777777" w:rsidR="00A82DB3" w:rsidRPr="005F62F4" w:rsidRDefault="00A82DB3" w:rsidP="00CA2FC0">
            <w:pPr>
              <w:pStyle w:val="TableTextRight"/>
              <w:jc w:val="left"/>
              <w:cnfStyle w:val="100000000000" w:firstRow="1" w:lastRow="0" w:firstColumn="0" w:lastColumn="0" w:oddVBand="0" w:evenVBand="0" w:oddHBand="0" w:evenHBand="0" w:firstRowFirstColumn="0" w:firstRowLastColumn="0" w:lastRowFirstColumn="0" w:lastRowLastColumn="0"/>
              <w:rPr>
                <w:lang w:val="en-AU"/>
              </w:rPr>
            </w:pPr>
            <w:r w:rsidRPr="005F62F4">
              <w:rPr>
                <w:lang w:val="en-AU"/>
              </w:rPr>
              <w:t xml:space="preserve">Reasons for exclusion </w:t>
            </w:r>
          </w:p>
        </w:tc>
      </w:tr>
      <w:bookmarkEnd w:id="289"/>
      <w:tr w:rsidR="00A82DB3" w:rsidRPr="005F62F4" w14:paraId="1BC3283D" w14:textId="77777777" w:rsidTr="007D3D6A">
        <w:tc>
          <w:tcPr>
            <w:cnfStyle w:val="001000000000" w:firstRow="0" w:lastRow="0" w:firstColumn="1" w:lastColumn="0" w:oddVBand="0" w:evenVBand="0" w:oddHBand="0" w:evenHBand="0" w:firstRowFirstColumn="0" w:firstRowLastColumn="0" w:lastRowFirstColumn="0" w:lastRowLastColumn="0"/>
            <w:tcW w:w="2176" w:type="dxa"/>
          </w:tcPr>
          <w:p w14:paraId="6461A8C8" w14:textId="77777777" w:rsidR="00A82DB3" w:rsidRPr="005F62F4" w:rsidRDefault="00A82DB3" w:rsidP="00845C70">
            <w:pPr>
              <w:pStyle w:val="TableText"/>
            </w:pPr>
            <w:proofErr w:type="spellStart"/>
            <w:r w:rsidRPr="005F62F4">
              <w:t>Anatomics</w:t>
            </w:r>
            <w:proofErr w:type="spellEnd"/>
            <w:r w:rsidRPr="005F62F4">
              <w:t xml:space="preserve"> </w:t>
            </w:r>
          </w:p>
        </w:tc>
        <w:tc>
          <w:tcPr>
            <w:tcW w:w="1059" w:type="dxa"/>
          </w:tcPr>
          <w:p w14:paraId="1194F519"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12</w:t>
            </w:r>
          </w:p>
        </w:tc>
        <w:tc>
          <w:tcPr>
            <w:tcW w:w="1301" w:type="dxa"/>
          </w:tcPr>
          <w:p w14:paraId="1A8B7DE7"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134" w:type="dxa"/>
          </w:tcPr>
          <w:p w14:paraId="7469B4C5"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12</w:t>
            </w:r>
          </w:p>
        </w:tc>
        <w:tc>
          <w:tcPr>
            <w:tcW w:w="3261" w:type="dxa"/>
          </w:tcPr>
          <w:p w14:paraId="1648F011" w14:textId="215EE77A"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Not relevant to SGBs (n</w:t>
            </w:r>
            <w:r w:rsidR="00A76440" w:rsidRPr="005F62F4">
              <w:rPr>
                <w:lang w:val="en-AU"/>
              </w:rPr>
              <w:t> = </w:t>
            </w:r>
            <w:r w:rsidRPr="005F62F4">
              <w:rPr>
                <w:lang w:val="en-AU"/>
              </w:rPr>
              <w:t>7)</w:t>
            </w:r>
          </w:p>
          <w:p w14:paraId="072E7174" w14:textId="4DC75980"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No relevant comparator (n</w:t>
            </w:r>
            <w:r w:rsidR="00A76440" w:rsidRPr="005F62F4">
              <w:rPr>
                <w:lang w:val="en-AU"/>
              </w:rPr>
              <w:t> = </w:t>
            </w:r>
            <w:r w:rsidRPr="005F62F4">
              <w:rPr>
                <w:lang w:val="en-AU"/>
              </w:rPr>
              <w:t>5)</w:t>
            </w:r>
          </w:p>
        </w:tc>
      </w:tr>
      <w:tr w:rsidR="00B1433F" w:rsidRPr="005F62F4" w14:paraId="707B2B20" w14:textId="77777777" w:rsidTr="007D3D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28EB6F5F" w14:textId="574E3669" w:rsidR="00A82DB3" w:rsidRPr="005F62F4" w:rsidRDefault="00A82DB3" w:rsidP="00845C70">
            <w:pPr>
              <w:pStyle w:val="TableText"/>
            </w:pPr>
            <w:proofErr w:type="spellStart"/>
            <w:r w:rsidRPr="005F62F4">
              <w:t>ProPlan</w:t>
            </w:r>
            <w:proofErr w:type="spellEnd"/>
          </w:p>
        </w:tc>
        <w:tc>
          <w:tcPr>
            <w:tcW w:w="1059" w:type="dxa"/>
          </w:tcPr>
          <w:p w14:paraId="6B1C66BA"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60</w:t>
            </w:r>
          </w:p>
        </w:tc>
        <w:tc>
          <w:tcPr>
            <w:tcW w:w="1301" w:type="dxa"/>
          </w:tcPr>
          <w:p w14:paraId="3B9DD7E5"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4</w:t>
            </w:r>
          </w:p>
        </w:tc>
        <w:tc>
          <w:tcPr>
            <w:tcW w:w="1134" w:type="dxa"/>
          </w:tcPr>
          <w:p w14:paraId="31703C71"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56</w:t>
            </w:r>
          </w:p>
        </w:tc>
        <w:tc>
          <w:tcPr>
            <w:tcW w:w="3261" w:type="dxa"/>
          </w:tcPr>
          <w:p w14:paraId="39CB8322" w14:textId="3B5B4006"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Not relevant to SGBs (n</w:t>
            </w:r>
            <w:r w:rsidR="00A76440" w:rsidRPr="005F62F4">
              <w:rPr>
                <w:lang w:val="en-AU"/>
              </w:rPr>
              <w:t> = </w:t>
            </w:r>
            <w:r w:rsidRPr="005F62F4">
              <w:rPr>
                <w:lang w:val="en-AU"/>
              </w:rPr>
              <w:t>21</w:t>
            </w:r>
            <w:r w:rsidR="009D14A8" w:rsidRPr="005F62F4">
              <w:rPr>
                <w:lang w:val="en-AU"/>
              </w:rPr>
              <w:t>)</w:t>
            </w:r>
          </w:p>
          <w:p w14:paraId="4F727F26" w14:textId="3804FA36"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No relevant comparator (n</w:t>
            </w:r>
            <w:r w:rsidR="00A76440" w:rsidRPr="005F62F4">
              <w:rPr>
                <w:lang w:val="en-AU"/>
              </w:rPr>
              <w:t> = </w:t>
            </w:r>
            <w:r w:rsidRPr="005F62F4">
              <w:rPr>
                <w:lang w:val="en-AU"/>
              </w:rPr>
              <w:t>12)</w:t>
            </w:r>
          </w:p>
          <w:p w14:paraId="7684BFCD" w14:textId="25AA461D"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Study type (n</w:t>
            </w:r>
            <w:r w:rsidR="00A76440" w:rsidRPr="005F62F4">
              <w:rPr>
                <w:lang w:val="en-AU"/>
              </w:rPr>
              <w:t> = </w:t>
            </w:r>
            <w:r w:rsidRPr="005F62F4">
              <w:rPr>
                <w:lang w:val="en-AU"/>
              </w:rPr>
              <w:t>7)</w:t>
            </w:r>
          </w:p>
          <w:p w14:paraId="5DBF03FF" w14:textId="2E33A9A1"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No relevant comparator (</w:t>
            </w:r>
            <w:r w:rsidR="00A76440" w:rsidRPr="005F62F4">
              <w:rPr>
                <w:lang w:val="en-AU"/>
              </w:rPr>
              <w:t>n = </w:t>
            </w:r>
            <w:r w:rsidRPr="005F62F4">
              <w:rPr>
                <w:lang w:val="en-AU"/>
              </w:rPr>
              <w:t>2)</w:t>
            </w:r>
          </w:p>
          <w:p w14:paraId="04093677" w14:textId="232177B7"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No clinical outcomes (n</w:t>
            </w:r>
            <w:r w:rsidR="00A76440" w:rsidRPr="005F62F4">
              <w:rPr>
                <w:lang w:val="en-AU"/>
              </w:rPr>
              <w:t> = </w:t>
            </w:r>
            <w:r w:rsidRPr="005F62F4">
              <w:rPr>
                <w:lang w:val="en-AU"/>
              </w:rPr>
              <w:t xml:space="preserve">4) </w:t>
            </w:r>
          </w:p>
        </w:tc>
      </w:tr>
      <w:tr w:rsidR="00A82DB3" w:rsidRPr="005F62F4" w14:paraId="73BF0067" w14:textId="77777777" w:rsidTr="007D3D6A">
        <w:tc>
          <w:tcPr>
            <w:cnfStyle w:val="001000000000" w:firstRow="0" w:lastRow="0" w:firstColumn="1" w:lastColumn="0" w:oddVBand="0" w:evenVBand="0" w:oddHBand="0" w:evenHBand="0" w:firstRowFirstColumn="0" w:firstRowLastColumn="0" w:lastRowFirstColumn="0" w:lastRowLastColumn="0"/>
            <w:tcW w:w="2176" w:type="dxa"/>
          </w:tcPr>
          <w:p w14:paraId="403257CC" w14:textId="7EB00ED4" w:rsidR="00A82DB3" w:rsidRPr="005F62F4" w:rsidRDefault="007C5690" w:rsidP="00845C70">
            <w:pPr>
              <w:pStyle w:val="TableText"/>
            </w:pPr>
            <w:proofErr w:type="spellStart"/>
            <w:r w:rsidRPr="005F62F4">
              <w:t>TruMatch</w:t>
            </w:r>
            <w:proofErr w:type="spellEnd"/>
          </w:p>
        </w:tc>
        <w:tc>
          <w:tcPr>
            <w:tcW w:w="1059" w:type="dxa"/>
          </w:tcPr>
          <w:p w14:paraId="665EF99C"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2</w:t>
            </w:r>
          </w:p>
        </w:tc>
        <w:tc>
          <w:tcPr>
            <w:tcW w:w="1301" w:type="dxa"/>
          </w:tcPr>
          <w:p w14:paraId="649AC0F8"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134" w:type="dxa"/>
          </w:tcPr>
          <w:p w14:paraId="1FE9C822"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2</w:t>
            </w:r>
          </w:p>
        </w:tc>
        <w:tc>
          <w:tcPr>
            <w:tcW w:w="3261" w:type="dxa"/>
          </w:tcPr>
          <w:p w14:paraId="66AF7240" w14:textId="133475F1"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Study type (n</w:t>
            </w:r>
            <w:r w:rsidR="005F6896" w:rsidRPr="005F62F4">
              <w:rPr>
                <w:lang w:val="en-AU"/>
              </w:rPr>
              <w:t> = </w:t>
            </w:r>
            <w:r w:rsidRPr="005F62F4">
              <w:rPr>
                <w:lang w:val="en-AU"/>
              </w:rPr>
              <w:t>2)</w:t>
            </w:r>
          </w:p>
        </w:tc>
      </w:tr>
      <w:tr w:rsidR="00B1433F" w:rsidRPr="005F62F4" w14:paraId="4003D890" w14:textId="77777777" w:rsidTr="007D3D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017F52A1" w14:textId="0EFD1FA9" w:rsidR="00A82DB3" w:rsidRPr="005F62F4" w:rsidRDefault="002644FC" w:rsidP="00845C70">
            <w:pPr>
              <w:pStyle w:val="TableText"/>
            </w:pPr>
            <w:r w:rsidRPr="005F62F4">
              <w:t>“</w:t>
            </w:r>
            <w:r w:rsidR="00A82DB3" w:rsidRPr="005F62F4">
              <w:t>Surgical Guide OBL</w:t>
            </w:r>
            <w:r w:rsidRPr="005F62F4">
              <w:t>”</w:t>
            </w:r>
          </w:p>
        </w:tc>
        <w:tc>
          <w:tcPr>
            <w:tcW w:w="1059" w:type="dxa"/>
          </w:tcPr>
          <w:p w14:paraId="0C918A7C"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1</w:t>
            </w:r>
          </w:p>
        </w:tc>
        <w:tc>
          <w:tcPr>
            <w:tcW w:w="1301" w:type="dxa"/>
          </w:tcPr>
          <w:p w14:paraId="467A8007"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134" w:type="dxa"/>
          </w:tcPr>
          <w:p w14:paraId="648E6EBC" w14:textId="19DC0D34" w:rsidR="00A82DB3" w:rsidRPr="005F62F4" w:rsidRDefault="00697C0A"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1</w:t>
            </w:r>
          </w:p>
        </w:tc>
        <w:tc>
          <w:tcPr>
            <w:tcW w:w="3261" w:type="dxa"/>
          </w:tcPr>
          <w:p w14:paraId="473B10E4" w14:textId="189B0C62"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No relevant comparator (n</w:t>
            </w:r>
            <w:r w:rsidR="005F6896" w:rsidRPr="005F62F4">
              <w:rPr>
                <w:lang w:val="en-AU"/>
              </w:rPr>
              <w:t> = </w:t>
            </w:r>
            <w:r w:rsidRPr="005F62F4">
              <w:rPr>
                <w:lang w:val="en-AU"/>
              </w:rPr>
              <w:t>1)</w:t>
            </w:r>
          </w:p>
        </w:tc>
      </w:tr>
      <w:tr w:rsidR="00A82DB3" w:rsidRPr="005F62F4" w14:paraId="4D58152E" w14:textId="77777777" w:rsidTr="007D3D6A">
        <w:tc>
          <w:tcPr>
            <w:cnfStyle w:val="001000000000" w:firstRow="0" w:lastRow="0" w:firstColumn="1" w:lastColumn="0" w:oddVBand="0" w:evenVBand="0" w:oddHBand="0" w:evenHBand="0" w:firstRowFirstColumn="0" w:firstRowLastColumn="0" w:lastRowFirstColumn="0" w:lastRowLastColumn="0"/>
            <w:tcW w:w="2176" w:type="dxa"/>
          </w:tcPr>
          <w:p w14:paraId="6E97EF11" w14:textId="4A404D3B" w:rsidR="00A82DB3" w:rsidRPr="005F62F4" w:rsidRDefault="00A82DB3" w:rsidP="00845C70">
            <w:pPr>
              <w:pStyle w:val="TableText"/>
            </w:pPr>
            <w:r w:rsidRPr="005F62F4">
              <w:t>“DDN Guide</w:t>
            </w:r>
            <w:r w:rsidR="002644FC" w:rsidRPr="005F62F4">
              <w:t>”, “</w:t>
            </w:r>
            <w:r w:rsidRPr="005F62F4">
              <w:t>DDN surgical guide</w:t>
            </w:r>
            <w:r w:rsidR="002644FC" w:rsidRPr="005F62F4">
              <w:t>”</w:t>
            </w:r>
          </w:p>
        </w:tc>
        <w:tc>
          <w:tcPr>
            <w:tcW w:w="1059" w:type="dxa"/>
          </w:tcPr>
          <w:p w14:paraId="55BB4873"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10</w:t>
            </w:r>
          </w:p>
        </w:tc>
        <w:tc>
          <w:tcPr>
            <w:tcW w:w="1301" w:type="dxa"/>
          </w:tcPr>
          <w:p w14:paraId="0CD74590"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134" w:type="dxa"/>
          </w:tcPr>
          <w:p w14:paraId="39945A5D"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10</w:t>
            </w:r>
          </w:p>
        </w:tc>
        <w:tc>
          <w:tcPr>
            <w:tcW w:w="3261" w:type="dxa"/>
          </w:tcPr>
          <w:p w14:paraId="0B5B6C58" w14:textId="04DD7A18"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Not relevant to SGBs (n</w:t>
            </w:r>
            <w:r w:rsidR="005F6896" w:rsidRPr="005F62F4">
              <w:rPr>
                <w:lang w:val="en-AU"/>
              </w:rPr>
              <w:t> = </w:t>
            </w:r>
            <w:r w:rsidRPr="005F62F4">
              <w:rPr>
                <w:lang w:val="en-AU"/>
              </w:rPr>
              <w:t>10)</w:t>
            </w:r>
          </w:p>
        </w:tc>
      </w:tr>
      <w:tr w:rsidR="00B1433F" w:rsidRPr="005F62F4" w14:paraId="337B654B" w14:textId="77777777" w:rsidTr="007D3D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47315BCE" w14:textId="77777777" w:rsidR="00A82DB3" w:rsidRPr="005F62F4" w:rsidRDefault="00A82DB3" w:rsidP="00845C70">
            <w:pPr>
              <w:pStyle w:val="TableText"/>
            </w:pPr>
            <w:r w:rsidRPr="005F62F4">
              <w:t>“Digital Dental Network” Guide</w:t>
            </w:r>
          </w:p>
        </w:tc>
        <w:tc>
          <w:tcPr>
            <w:tcW w:w="1059" w:type="dxa"/>
          </w:tcPr>
          <w:p w14:paraId="4B9BBC5C"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12</w:t>
            </w:r>
          </w:p>
        </w:tc>
        <w:tc>
          <w:tcPr>
            <w:tcW w:w="1301" w:type="dxa"/>
          </w:tcPr>
          <w:p w14:paraId="3095FD0D"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134" w:type="dxa"/>
          </w:tcPr>
          <w:p w14:paraId="05199738"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12</w:t>
            </w:r>
          </w:p>
        </w:tc>
        <w:tc>
          <w:tcPr>
            <w:tcW w:w="3261" w:type="dxa"/>
          </w:tcPr>
          <w:p w14:paraId="41CAFB5D" w14:textId="0F13B273"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Not relevant to SGBs (n</w:t>
            </w:r>
            <w:r w:rsidR="005F6896" w:rsidRPr="005F62F4">
              <w:rPr>
                <w:lang w:val="en-AU"/>
              </w:rPr>
              <w:t> = </w:t>
            </w:r>
            <w:r w:rsidRPr="005F62F4">
              <w:rPr>
                <w:lang w:val="en-AU"/>
              </w:rPr>
              <w:t>11)</w:t>
            </w:r>
          </w:p>
          <w:p w14:paraId="2319E538" w14:textId="7BDA4FDF"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No relevant comparator (n</w:t>
            </w:r>
            <w:r w:rsidR="00692F0B" w:rsidRPr="005F62F4">
              <w:rPr>
                <w:lang w:val="en-AU"/>
              </w:rPr>
              <w:t> </w:t>
            </w:r>
            <w:r w:rsidRPr="005F62F4">
              <w:rPr>
                <w:lang w:val="en-AU"/>
              </w:rPr>
              <w:t>=</w:t>
            </w:r>
            <w:r w:rsidR="00692F0B" w:rsidRPr="005F62F4">
              <w:rPr>
                <w:lang w:val="en-AU"/>
              </w:rPr>
              <w:t> </w:t>
            </w:r>
            <w:r w:rsidRPr="005F62F4">
              <w:rPr>
                <w:lang w:val="en-AU"/>
              </w:rPr>
              <w:t>1)</w:t>
            </w:r>
          </w:p>
        </w:tc>
      </w:tr>
      <w:tr w:rsidR="00A82DB3" w:rsidRPr="005F62F4" w14:paraId="3DF1DF51" w14:textId="77777777" w:rsidTr="007D3D6A">
        <w:tc>
          <w:tcPr>
            <w:cnfStyle w:val="001000000000" w:firstRow="0" w:lastRow="0" w:firstColumn="1" w:lastColumn="0" w:oddVBand="0" w:evenVBand="0" w:oddHBand="0" w:evenHBand="0" w:firstRowFirstColumn="0" w:firstRowLastColumn="0" w:lastRowFirstColumn="0" w:lastRowLastColumn="0"/>
            <w:tcW w:w="2176" w:type="dxa"/>
          </w:tcPr>
          <w:p w14:paraId="1FE9C0D2" w14:textId="77777777" w:rsidR="00A82DB3" w:rsidRPr="005F62F4" w:rsidRDefault="00A82DB3" w:rsidP="00845C70">
            <w:pPr>
              <w:pStyle w:val="TableText"/>
            </w:pPr>
            <w:r w:rsidRPr="005F62F4">
              <w:t>Stryker VSP</w:t>
            </w:r>
          </w:p>
        </w:tc>
        <w:tc>
          <w:tcPr>
            <w:tcW w:w="1059" w:type="dxa"/>
          </w:tcPr>
          <w:p w14:paraId="6596F235"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w:t>
            </w:r>
          </w:p>
        </w:tc>
        <w:tc>
          <w:tcPr>
            <w:tcW w:w="1301" w:type="dxa"/>
          </w:tcPr>
          <w:p w14:paraId="6AD6C4C0"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134" w:type="dxa"/>
          </w:tcPr>
          <w:p w14:paraId="4C46F05C"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w:t>
            </w:r>
          </w:p>
        </w:tc>
        <w:tc>
          <w:tcPr>
            <w:tcW w:w="3261" w:type="dxa"/>
          </w:tcPr>
          <w:p w14:paraId="587FE7F1" w14:textId="0A0A0129"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Study type (n</w:t>
            </w:r>
            <w:r w:rsidR="005F6896" w:rsidRPr="005F62F4">
              <w:rPr>
                <w:lang w:val="en-AU"/>
              </w:rPr>
              <w:t> = </w:t>
            </w:r>
            <w:r w:rsidRPr="005F62F4">
              <w:rPr>
                <w:lang w:val="en-AU"/>
              </w:rPr>
              <w:t>1)</w:t>
            </w:r>
          </w:p>
        </w:tc>
      </w:tr>
      <w:tr w:rsidR="00B1433F" w:rsidRPr="005F62F4" w14:paraId="695FBC4A" w14:textId="77777777" w:rsidTr="007D3D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03110D4E" w14:textId="20749B7E" w:rsidR="00A82DB3" w:rsidRPr="005F62F4" w:rsidRDefault="00A82DB3" w:rsidP="00845C70">
            <w:pPr>
              <w:pStyle w:val="TableText"/>
            </w:pPr>
            <w:r w:rsidRPr="005F62F4">
              <w:t>KLS Martin surgical guide</w:t>
            </w:r>
          </w:p>
        </w:tc>
        <w:tc>
          <w:tcPr>
            <w:tcW w:w="1059" w:type="dxa"/>
          </w:tcPr>
          <w:p w14:paraId="40382BDF"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7</w:t>
            </w:r>
          </w:p>
        </w:tc>
        <w:tc>
          <w:tcPr>
            <w:tcW w:w="1301" w:type="dxa"/>
          </w:tcPr>
          <w:p w14:paraId="45F7EF3E"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134" w:type="dxa"/>
          </w:tcPr>
          <w:p w14:paraId="53A1F736"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7</w:t>
            </w:r>
          </w:p>
        </w:tc>
        <w:tc>
          <w:tcPr>
            <w:tcW w:w="3261" w:type="dxa"/>
          </w:tcPr>
          <w:p w14:paraId="0795BCB8" w14:textId="7149AC4E"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Not relevant to SGBs (n</w:t>
            </w:r>
            <w:r w:rsidR="005F6896" w:rsidRPr="005F62F4">
              <w:rPr>
                <w:lang w:val="en-AU"/>
              </w:rPr>
              <w:t> = </w:t>
            </w:r>
            <w:r w:rsidRPr="005F62F4">
              <w:rPr>
                <w:lang w:val="en-AU"/>
              </w:rPr>
              <w:t>5)</w:t>
            </w:r>
          </w:p>
          <w:p w14:paraId="16759A1D" w14:textId="6979E538"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Study type (n</w:t>
            </w:r>
            <w:r w:rsidR="005F6896" w:rsidRPr="005F62F4">
              <w:rPr>
                <w:lang w:val="en-AU"/>
              </w:rPr>
              <w:t> = </w:t>
            </w:r>
            <w:r w:rsidRPr="005F62F4">
              <w:rPr>
                <w:lang w:val="en-AU"/>
              </w:rPr>
              <w:t>1)</w:t>
            </w:r>
          </w:p>
          <w:p w14:paraId="56F3FDE2" w14:textId="2878C9BC"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Not product specific (</w:t>
            </w:r>
            <w:r w:rsidR="00BE6577" w:rsidRPr="005F62F4">
              <w:rPr>
                <w:lang w:val="en-AU"/>
              </w:rPr>
              <w:t>n</w:t>
            </w:r>
            <w:r w:rsidR="005F6896" w:rsidRPr="005F62F4">
              <w:rPr>
                <w:lang w:val="en-AU"/>
              </w:rPr>
              <w:t> = </w:t>
            </w:r>
            <w:r w:rsidRPr="005F62F4">
              <w:rPr>
                <w:lang w:val="en-AU"/>
              </w:rPr>
              <w:t xml:space="preserve">1) </w:t>
            </w:r>
          </w:p>
        </w:tc>
      </w:tr>
      <w:tr w:rsidR="00A82DB3" w:rsidRPr="005F62F4" w14:paraId="4EB88828" w14:textId="77777777" w:rsidTr="007D3D6A">
        <w:tc>
          <w:tcPr>
            <w:cnfStyle w:val="001000000000" w:firstRow="0" w:lastRow="0" w:firstColumn="1" w:lastColumn="0" w:oddVBand="0" w:evenVBand="0" w:oddHBand="0" w:evenHBand="0" w:firstRowFirstColumn="0" w:firstRowLastColumn="0" w:lastRowFirstColumn="0" w:lastRowLastColumn="0"/>
            <w:tcW w:w="2176" w:type="dxa"/>
          </w:tcPr>
          <w:p w14:paraId="18C74005" w14:textId="77777777" w:rsidR="00A82DB3" w:rsidRPr="005F62F4" w:rsidRDefault="00A82DB3" w:rsidP="00845C70">
            <w:pPr>
              <w:pStyle w:val="TableText"/>
            </w:pPr>
            <w:proofErr w:type="spellStart"/>
            <w:r w:rsidRPr="005F62F4">
              <w:lastRenderedPageBreak/>
              <w:t>Mguide</w:t>
            </w:r>
            <w:proofErr w:type="spellEnd"/>
          </w:p>
        </w:tc>
        <w:tc>
          <w:tcPr>
            <w:tcW w:w="1059" w:type="dxa"/>
          </w:tcPr>
          <w:p w14:paraId="2EEFD131"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2</w:t>
            </w:r>
          </w:p>
        </w:tc>
        <w:tc>
          <w:tcPr>
            <w:tcW w:w="1301" w:type="dxa"/>
          </w:tcPr>
          <w:p w14:paraId="41390251"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134" w:type="dxa"/>
          </w:tcPr>
          <w:p w14:paraId="431ABC23"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2</w:t>
            </w:r>
          </w:p>
        </w:tc>
        <w:tc>
          <w:tcPr>
            <w:tcW w:w="3261" w:type="dxa"/>
          </w:tcPr>
          <w:p w14:paraId="73B054F7" w14:textId="5CCFE394"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No relevant comparator (n</w:t>
            </w:r>
            <w:r w:rsidR="005F6896" w:rsidRPr="005F62F4">
              <w:rPr>
                <w:lang w:val="en-AU"/>
              </w:rPr>
              <w:t> = </w:t>
            </w:r>
            <w:r w:rsidRPr="005F62F4">
              <w:rPr>
                <w:lang w:val="en-AU"/>
              </w:rPr>
              <w:t>2)</w:t>
            </w:r>
          </w:p>
        </w:tc>
      </w:tr>
      <w:tr w:rsidR="00B1433F" w:rsidRPr="005F62F4" w14:paraId="5F8044DC" w14:textId="77777777" w:rsidTr="007D3D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184C4D43" w14:textId="77777777" w:rsidR="00A82DB3" w:rsidRPr="005F62F4" w:rsidRDefault="00A82DB3" w:rsidP="00845C70">
            <w:pPr>
              <w:pStyle w:val="TableText"/>
            </w:pPr>
            <w:proofErr w:type="spellStart"/>
            <w:r w:rsidRPr="005F62F4">
              <w:t>Maxoniq</w:t>
            </w:r>
            <w:proofErr w:type="spellEnd"/>
          </w:p>
        </w:tc>
        <w:tc>
          <w:tcPr>
            <w:tcW w:w="1059" w:type="dxa"/>
          </w:tcPr>
          <w:p w14:paraId="423CB7F1"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301" w:type="dxa"/>
          </w:tcPr>
          <w:p w14:paraId="2E695FA9"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134" w:type="dxa"/>
          </w:tcPr>
          <w:p w14:paraId="1B879855"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3261" w:type="dxa"/>
          </w:tcPr>
          <w:p w14:paraId="3BEBC8B9" w14:textId="77777777"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N/A</w:t>
            </w:r>
          </w:p>
        </w:tc>
      </w:tr>
      <w:tr w:rsidR="00A82DB3" w:rsidRPr="005F62F4" w14:paraId="1CB33652" w14:textId="77777777" w:rsidTr="007D3D6A">
        <w:tc>
          <w:tcPr>
            <w:cnfStyle w:val="001000000000" w:firstRow="0" w:lastRow="0" w:firstColumn="1" w:lastColumn="0" w:oddVBand="0" w:evenVBand="0" w:oddHBand="0" w:evenHBand="0" w:firstRowFirstColumn="0" w:firstRowLastColumn="0" w:lastRowFirstColumn="0" w:lastRowLastColumn="0"/>
            <w:tcW w:w="2176" w:type="dxa"/>
          </w:tcPr>
          <w:p w14:paraId="56DE9C17" w14:textId="77777777" w:rsidR="00A82DB3" w:rsidRPr="005F62F4" w:rsidRDefault="00A82DB3" w:rsidP="00845C70">
            <w:pPr>
              <w:pStyle w:val="TableText"/>
            </w:pPr>
            <w:r w:rsidRPr="005F62F4">
              <w:t>“OMX Solutions”</w:t>
            </w:r>
          </w:p>
        </w:tc>
        <w:tc>
          <w:tcPr>
            <w:tcW w:w="1059" w:type="dxa"/>
          </w:tcPr>
          <w:p w14:paraId="3516F4F9"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2</w:t>
            </w:r>
          </w:p>
        </w:tc>
        <w:tc>
          <w:tcPr>
            <w:tcW w:w="1301" w:type="dxa"/>
          </w:tcPr>
          <w:p w14:paraId="4CC0CD65"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134" w:type="dxa"/>
          </w:tcPr>
          <w:p w14:paraId="1B948CD6"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2</w:t>
            </w:r>
          </w:p>
        </w:tc>
        <w:tc>
          <w:tcPr>
            <w:tcW w:w="3261" w:type="dxa"/>
          </w:tcPr>
          <w:p w14:paraId="2CEBABDC" w14:textId="2451CF3F"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Not about SGBs (n</w:t>
            </w:r>
            <w:r w:rsidR="00BE6577" w:rsidRPr="005F62F4">
              <w:rPr>
                <w:lang w:val="en-AU"/>
              </w:rPr>
              <w:t> </w:t>
            </w:r>
            <w:r w:rsidRPr="005F62F4">
              <w:rPr>
                <w:lang w:val="en-AU"/>
              </w:rPr>
              <w:t>=</w:t>
            </w:r>
            <w:r w:rsidR="00BE6577" w:rsidRPr="005F62F4">
              <w:rPr>
                <w:lang w:val="en-AU"/>
              </w:rPr>
              <w:t> </w:t>
            </w:r>
            <w:r w:rsidRPr="005F62F4">
              <w:rPr>
                <w:lang w:val="en-AU"/>
              </w:rPr>
              <w:t>1)</w:t>
            </w:r>
          </w:p>
          <w:p w14:paraId="682CE0A6" w14:textId="4AB87444"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No relevant comparator (n</w:t>
            </w:r>
            <w:r w:rsidR="005F6896" w:rsidRPr="005F62F4">
              <w:rPr>
                <w:lang w:val="en-AU"/>
              </w:rPr>
              <w:t> = </w:t>
            </w:r>
            <w:r w:rsidRPr="005F62F4">
              <w:rPr>
                <w:lang w:val="en-AU"/>
              </w:rPr>
              <w:t>1)</w:t>
            </w:r>
          </w:p>
        </w:tc>
      </w:tr>
      <w:tr w:rsidR="00B1433F" w:rsidRPr="005F62F4" w14:paraId="5644BFCE" w14:textId="77777777" w:rsidTr="007D3D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22379E7D" w14:textId="77777777" w:rsidR="00A82DB3" w:rsidRPr="005F62F4" w:rsidRDefault="00A82DB3" w:rsidP="00845C70">
            <w:pPr>
              <w:pStyle w:val="TableText"/>
            </w:pPr>
            <w:proofErr w:type="spellStart"/>
            <w:r w:rsidRPr="005F62F4">
              <w:t>SynpliciTi</w:t>
            </w:r>
            <w:proofErr w:type="spellEnd"/>
          </w:p>
        </w:tc>
        <w:tc>
          <w:tcPr>
            <w:tcW w:w="1059" w:type="dxa"/>
          </w:tcPr>
          <w:p w14:paraId="4AC7EBD0"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2</w:t>
            </w:r>
          </w:p>
        </w:tc>
        <w:tc>
          <w:tcPr>
            <w:tcW w:w="1301" w:type="dxa"/>
          </w:tcPr>
          <w:p w14:paraId="72AE728F"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134" w:type="dxa"/>
          </w:tcPr>
          <w:p w14:paraId="296DDCA6"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2</w:t>
            </w:r>
          </w:p>
        </w:tc>
        <w:tc>
          <w:tcPr>
            <w:tcW w:w="3261" w:type="dxa"/>
          </w:tcPr>
          <w:p w14:paraId="76B69A27" w14:textId="77777777"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No relevant comparator (n =2)</w:t>
            </w:r>
          </w:p>
        </w:tc>
      </w:tr>
      <w:tr w:rsidR="00A82DB3" w:rsidRPr="005F62F4" w14:paraId="47AAD1E4" w14:textId="77777777" w:rsidTr="007D3D6A">
        <w:tc>
          <w:tcPr>
            <w:cnfStyle w:val="001000000000" w:firstRow="0" w:lastRow="0" w:firstColumn="1" w:lastColumn="0" w:oddVBand="0" w:evenVBand="0" w:oddHBand="0" w:evenHBand="0" w:firstRowFirstColumn="0" w:firstRowLastColumn="0" w:lastRowFirstColumn="0" w:lastRowLastColumn="0"/>
            <w:tcW w:w="2176" w:type="dxa"/>
          </w:tcPr>
          <w:p w14:paraId="267F2292" w14:textId="77777777" w:rsidR="00A82DB3" w:rsidRPr="005F62F4" w:rsidRDefault="00A82DB3" w:rsidP="00845C70">
            <w:pPr>
              <w:pStyle w:val="TableText"/>
            </w:pPr>
            <w:r w:rsidRPr="005F62F4">
              <w:t>"Custom made plates"</w:t>
            </w:r>
          </w:p>
        </w:tc>
        <w:tc>
          <w:tcPr>
            <w:tcW w:w="1059" w:type="dxa"/>
          </w:tcPr>
          <w:p w14:paraId="765E019E"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8</w:t>
            </w:r>
          </w:p>
        </w:tc>
        <w:tc>
          <w:tcPr>
            <w:tcW w:w="1301" w:type="dxa"/>
          </w:tcPr>
          <w:p w14:paraId="0F710EA6"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134" w:type="dxa"/>
          </w:tcPr>
          <w:p w14:paraId="7F4BC0B4"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8</w:t>
            </w:r>
          </w:p>
        </w:tc>
        <w:tc>
          <w:tcPr>
            <w:tcW w:w="3261" w:type="dxa"/>
          </w:tcPr>
          <w:p w14:paraId="182CC7C2" w14:textId="14218052"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No relevant comparator (n</w:t>
            </w:r>
            <w:r w:rsidR="005F6896" w:rsidRPr="005F62F4">
              <w:rPr>
                <w:lang w:val="en-AU"/>
              </w:rPr>
              <w:t> = </w:t>
            </w:r>
            <w:r w:rsidRPr="005F62F4">
              <w:rPr>
                <w:lang w:val="en-AU"/>
              </w:rPr>
              <w:t>4)</w:t>
            </w:r>
          </w:p>
          <w:p w14:paraId="08F81574" w14:textId="0470D6C6"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Not relevant to SGBs (n</w:t>
            </w:r>
            <w:r w:rsidR="005F6896" w:rsidRPr="005F62F4">
              <w:rPr>
                <w:lang w:val="en-AU"/>
              </w:rPr>
              <w:t> = </w:t>
            </w:r>
            <w:r w:rsidRPr="005F62F4">
              <w:rPr>
                <w:lang w:val="en-AU"/>
              </w:rPr>
              <w:t>3)</w:t>
            </w:r>
          </w:p>
          <w:p w14:paraId="305BAA8E" w14:textId="24FE77BF"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Study type (n</w:t>
            </w:r>
            <w:r w:rsidR="005F6896" w:rsidRPr="005F62F4">
              <w:rPr>
                <w:lang w:val="en-AU"/>
              </w:rPr>
              <w:t> = </w:t>
            </w:r>
            <w:r w:rsidRPr="005F62F4">
              <w:rPr>
                <w:lang w:val="en-AU"/>
              </w:rPr>
              <w:t>1)</w:t>
            </w:r>
          </w:p>
        </w:tc>
      </w:tr>
      <w:tr w:rsidR="00B1433F" w:rsidRPr="005F62F4" w14:paraId="0A4179F4" w14:textId="77777777" w:rsidTr="007D3D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7F42FC87" w14:textId="77777777" w:rsidR="00A82DB3" w:rsidRPr="005F62F4" w:rsidRDefault="00A82DB3" w:rsidP="00845C70">
            <w:pPr>
              <w:pStyle w:val="TableText"/>
            </w:pPr>
            <w:proofErr w:type="spellStart"/>
            <w:r w:rsidRPr="005F62F4">
              <w:t>Megaplate</w:t>
            </w:r>
            <w:proofErr w:type="spellEnd"/>
          </w:p>
        </w:tc>
        <w:tc>
          <w:tcPr>
            <w:tcW w:w="1059" w:type="dxa"/>
          </w:tcPr>
          <w:p w14:paraId="47DECC0A"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2</w:t>
            </w:r>
          </w:p>
        </w:tc>
        <w:tc>
          <w:tcPr>
            <w:tcW w:w="1301" w:type="dxa"/>
          </w:tcPr>
          <w:p w14:paraId="4946855B"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134" w:type="dxa"/>
          </w:tcPr>
          <w:p w14:paraId="3176D937"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2</w:t>
            </w:r>
          </w:p>
        </w:tc>
        <w:tc>
          <w:tcPr>
            <w:tcW w:w="3261" w:type="dxa"/>
          </w:tcPr>
          <w:p w14:paraId="3777CEB3" w14:textId="52F2B829"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Not relevant to SGBs (n</w:t>
            </w:r>
            <w:r w:rsidR="005F6896" w:rsidRPr="005F62F4">
              <w:rPr>
                <w:lang w:val="en-AU"/>
              </w:rPr>
              <w:t> = </w:t>
            </w:r>
            <w:r w:rsidRPr="005F62F4">
              <w:rPr>
                <w:lang w:val="en-AU"/>
              </w:rPr>
              <w:t>2)</w:t>
            </w:r>
          </w:p>
        </w:tc>
      </w:tr>
      <w:tr w:rsidR="00A82DB3" w:rsidRPr="005F62F4" w14:paraId="0387274F" w14:textId="77777777" w:rsidTr="007D3D6A">
        <w:tc>
          <w:tcPr>
            <w:cnfStyle w:val="001000000000" w:firstRow="0" w:lastRow="0" w:firstColumn="1" w:lastColumn="0" w:oddVBand="0" w:evenVBand="0" w:oddHBand="0" w:evenHBand="0" w:firstRowFirstColumn="0" w:firstRowLastColumn="0" w:lastRowFirstColumn="0" w:lastRowLastColumn="0"/>
            <w:tcW w:w="2176" w:type="dxa"/>
          </w:tcPr>
          <w:p w14:paraId="0CF03FB7" w14:textId="77DCA5CF" w:rsidR="00A82DB3" w:rsidRPr="005F62F4" w:rsidRDefault="00A82DB3" w:rsidP="00845C70">
            <w:pPr>
              <w:pStyle w:val="TableText"/>
            </w:pPr>
            <w:r w:rsidRPr="005F62F4">
              <w:t>Surgical Guide OBL</w:t>
            </w:r>
          </w:p>
        </w:tc>
        <w:tc>
          <w:tcPr>
            <w:tcW w:w="1059" w:type="dxa"/>
          </w:tcPr>
          <w:p w14:paraId="77C8FA30"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w:t>
            </w:r>
          </w:p>
        </w:tc>
        <w:tc>
          <w:tcPr>
            <w:tcW w:w="1301" w:type="dxa"/>
          </w:tcPr>
          <w:p w14:paraId="7432F1CE"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134" w:type="dxa"/>
          </w:tcPr>
          <w:p w14:paraId="61735B1A"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w:t>
            </w:r>
          </w:p>
        </w:tc>
        <w:tc>
          <w:tcPr>
            <w:tcW w:w="3261" w:type="dxa"/>
          </w:tcPr>
          <w:p w14:paraId="217AEA9C" w14:textId="6591C0A2"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Not product specific (n</w:t>
            </w:r>
            <w:r w:rsidR="005F6896" w:rsidRPr="005F62F4">
              <w:rPr>
                <w:lang w:val="en-AU"/>
              </w:rPr>
              <w:t> = </w:t>
            </w:r>
            <w:r w:rsidRPr="005F62F4">
              <w:rPr>
                <w:lang w:val="en-AU"/>
              </w:rPr>
              <w:t>1)</w:t>
            </w:r>
          </w:p>
        </w:tc>
      </w:tr>
      <w:tr w:rsidR="00B1433F" w:rsidRPr="005F62F4" w14:paraId="2FEF557A" w14:textId="77777777" w:rsidTr="007D3D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72FBC3DC" w14:textId="77777777" w:rsidR="00A82DB3" w:rsidRPr="005F62F4" w:rsidRDefault="00A82DB3" w:rsidP="00845C70">
            <w:pPr>
              <w:pStyle w:val="TableText"/>
            </w:pPr>
            <w:proofErr w:type="spellStart"/>
            <w:r w:rsidRPr="005F62F4">
              <w:t>OsGuide</w:t>
            </w:r>
            <w:proofErr w:type="spellEnd"/>
          </w:p>
        </w:tc>
        <w:tc>
          <w:tcPr>
            <w:tcW w:w="1059" w:type="dxa"/>
          </w:tcPr>
          <w:p w14:paraId="3F95B7AC"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301" w:type="dxa"/>
          </w:tcPr>
          <w:p w14:paraId="6DB418EC"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134" w:type="dxa"/>
          </w:tcPr>
          <w:p w14:paraId="312D14F7"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3261" w:type="dxa"/>
          </w:tcPr>
          <w:p w14:paraId="298A0BB1" w14:textId="77777777"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N/A</w:t>
            </w:r>
          </w:p>
        </w:tc>
      </w:tr>
      <w:tr w:rsidR="00A82DB3" w:rsidRPr="005F62F4" w14:paraId="6FBFBED5" w14:textId="77777777" w:rsidTr="007D3D6A">
        <w:tc>
          <w:tcPr>
            <w:cnfStyle w:val="001000000000" w:firstRow="0" w:lastRow="0" w:firstColumn="1" w:lastColumn="0" w:oddVBand="0" w:evenVBand="0" w:oddHBand="0" w:evenHBand="0" w:firstRowFirstColumn="0" w:firstRowLastColumn="0" w:lastRowFirstColumn="0" w:lastRowLastColumn="0"/>
            <w:tcW w:w="2176" w:type="dxa"/>
          </w:tcPr>
          <w:p w14:paraId="0BAEEA70" w14:textId="77777777" w:rsidR="00A82DB3" w:rsidRPr="005F62F4" w:rsidRDefault="00A82DB3" w:rsidP="00845C70">
            <w:pPr>
              <w:pStyle w:val="TableText"/>
            </w:pPr>
            <w:r w:rsidRPr="005F62F4">
              <w:t>DGUIDE</w:t>
            </w:r>
          </w:p>
        </w:tc>
        <w:tc>
          <w:tcPr>
            <w:tcW w:w="1059" w:type="dxa"/>
          </w:tcPr>
          <w:p w14:paraId="5064783E"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301" w:type="dxa"/>
          </w:tcPr>
          <w:p w14:paraId="3965CD26"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134" w:type="dxa"/>
          </w:tcPr>
          <w:p w14:paraId="117BF07E"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3261" w:type="dxa"/>
          </w:tcPr>
          <w:p w14:paraId="5AC5C267" w14:textId="77777777"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N/A</w:t>
            </w:r>
          </w:p>
        </w:tc>
      </w:tr>
      <w:tr w:rsidR="00B1433F" w:rsidRPr="005F62F4" w14:paraId="165547F3" w14:textId="77777777" w:rsidTr="007D3D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2A08F448" w14:textId="77777777" w:rsidR="00A82DB3" w:rsidRPr="005F62F4" w:rsidRDefault="00A82DB3" w:rsidP="00845C70">
            <w:pPr>
              <w:pStyle w:val="TableText"/>
            </w:pPr>
            <w:proofErr w:type="spellStart"/>
            <w:r w:rsidRPr="005F62F4">
              <w:t>OrthoTin</w:t>
            </w:r>
            <w:proofErr w:type="spellEnd"/>
          </w:p>
        </w:tc>
        <w:tc>
          <w:tcPr>
            <w:tcW w:w="1059" w:type="dxa"/>
          </w:tcPr>
          <w:p w14:paraId="34902E39"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301" w:type="dxa"/>
          </w:tcPr>
          <w:p w14:paraId="1A49FFCD"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134" w:type="dxa"/>
          </w:tcPr>
          <w:p w14:paraId="23E70CB4"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3261" w:type="dxa"/>
          </w:tcPr>
          <w:p w14:paraId="71DF15D4" w14:textId="77777777"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N/A</w:t>
            </w:r>
          </w:p>
        </w:tc>
      </w:tr>
      <w:tr w:rsidR="00A82DB3" w:rsidRPr="005F62F4" w14:paraId="03F68839" w14:textId="77777777" w:rsidTr="007D3D6A">
        <w:tc>
          <w:tcPr>
            <w:cnfStyle w:val="001000000000" w:firstRow="0" w:lastRow="0" w:firstColumn="1" w:lastColumn="0" w:oddVBand="0" w:evenVBand="0" w:oddHBand="0" w:evenHBand="0" w:firstRowFirstColumn="0" w:firstRowLastColumn="0" w:lastRowFirstColumn="0" w:lastRowLastColumn="0"/>
            <w:tcW w:w="2176" w:type="dxa"/>
          </w:tcPr>
          <w:p w14:paraId="60B5F856" w14:textId="77777777" w:rsidR="00A82DB3" w:rsidRPr="005F62F4" w:rsidRDefault="00A82DB3" w:rsidP="00845C70">
            <w:pPr>
              <w:pStyle w:val="TableText"/>
            </w:pPr>
            <w:proofErr w:type="spellStart"/>
            <w:r w:rsidRPr="005F62F4">
              <w:t>PorousiTi</w:t>
            </w:r>
            <w:proofErr w:type="spellEnd"/>
          </w:p>
        </w:tc>
        <w:tc>
          <w:tcPr>
            <w:tcW w:w="1059" w:type="dxa"/>
          </w:tcPr>
          <w:p w14:paraId="4004EAE3"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w:t>
            </w:r>
          </w:p>
        </w:tc>
        <w:tc>
          <w:tcPr>
            <w:tcW w:w="1301" w:type="dxa"/>
          </w:tcPr>
          <w:p w14:paraId="17B3D2AB"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134" w:type="dxa"/>
          </w:tcPr>
          <w:p w14:paraId="68A5B98B"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1</w:t>
            </w:r>
          </w:p>
        </w:tc>
        <w:tc>
          <w:tcPr>
            <w:tcW w:w="3261" w:type="dxa"/>
          </w:tcPr>
          <w:p w14:paraId="38CBF804" w14:textId="0B43DBFE"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Not relevant to SGBs (n</w:t>
            </w:r>
            <w:r w:rsidR="005F6896" w:rsidRPr="005F62F4">
              <w:rPr>
                <w:lang w:val="en-AU"/>
              </w:rPr>
              <w:t> = </w:t>
            </w:r>
            <w:r w:rsidRPr="005F62F4">
              <w:rPr>
                <w:lang w:val="en-AU"/>
              </w:rPr>
              <w:t>1)</w:t>
            </w:r>
          </w:p>
        </w:tc>
      </w:tr>
      <w:tr w:rsidR="00B1433F" w:rsidRPr="005F62F4" w14:paraId="4BB7CC3D" w14:textId="77777777" w:rsidTr="007D3D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23D4B339" w14:textId="77777777" w:rsidR="00A82DB3" w:rsidRPr="005F62F4" w:rsidRDefault="00A82DB3" w:rsidP="00845C70">
            <w:pPr>
              <w:pStyle w:val="TableText"/>
            </w:pPr>
            <w:r w:rsidRPr="005F62F4">
              <w:t>"</w:t>
            </w:r>
            <w:proofErr w:type="spellStart"/>
            <w:r w:rsidRPr="005F62F4">
              <w:t>Lyka</w:t>
            </w:r>
            <w:proofErr w:type="spellEnd"/>
            <w:r w:rsidRPr="005F62F4">
              <w:t xml:space="preserve"> Smith"</w:t>
            </w:r>
          </w:p>
        </w:tc>
        <w:tc>
          <w:tcPr>
            <w:tcW w:w="1059" w:type="dxa"/>
          </w:tcPr>
          <w:p w14:paraId="31EC543F"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301" w:type="dxa"/>
          </w:tcPr>
          <w:p w14:paraId="5268B3C0"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134" w:type="dxa"/>
          </w:tcPr>
          <w:p w14:paraId="15C4B5CD"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3261" w:type="dxa"/>
          </w:tcPr>
          <w:p w14:paraId="367F4646" w14:textId="77777777"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N/A</w:t>
            </w:r>
          </w:p>
        </w:tc>
      </w:tr>
      <w:tr w:rsidR="00A82DB3" w:rsidRPr="005F62F4" w14:paraId="10702A5A" w14:textId="77777777" w:rsidTr="007D3D6A">
        <w:tc>
          <w:tcPr>
            <w:cnfStyle w:val="001000000000" w:firstRow="0" w:lastRow="0" w:firstColumn="1" w:lastColumn="0" w:oddVBand="0" w:evenVBand="0" w:oddHBand="0" w:evenHBand="0" w:firstRowFirstColumn="0" w:firstRowLastColumn="0" w:lastRowFirstColumn="0" w:lastRowLastColumn="0"/>
            <w:tcW w:w="2176" w:type="dxa"/>
          </w:tcPr>
          <w:p w14:paraId="65230DB6" w14:textId="77777777" w:rsidR="00A82DB3" w:rsidRPr="005F62F4" w:rsidRDefault="00A82DB3" w:rsidP="00845C70">
            <w:pPr>
              <w:pStyle w:val="TableText"/>
            </w:pPr>
            <w:r w:rsidRPr="005F62F4">
              <w:t>"</w:t>
            </w:r>
            <w:proofErr w:type="spellStart"/>
            <w:r w:rsidRPr="005F62F4">
              <w:t>Anatomics</w:t>
            </w:r>
            <w:proofErr w:type="spellEnd"/>
            <w:r w:rsidRPr="005F62F4">
              <w:t xml:space="preserve"> </w:t>
            </w:r>
            <w:proofErr w:type="spellStart"/>
            <w:r w:rsidRPr="005F62F4">
              <w:t>biomodel</w:t>
            </w:r>
            <w:proofErr w:type="spellEnd"/>
            <w:r w:rsidRPr="005F62F4">
              <w:t>"</w:t>
            </w:r>
          </w:p>
        </w:tc>
        <w:tc>
          <w:tcPr>
            <w:tcW w:w="1059" w:type="dxa"/>
          </w:tcPr>
          <w:p w14:paraId="0CD1D8E2"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4</w:t>
            </w:r>
          </w:p>
        </w:tc>
        <w:tc>
          <w:tcPr>
            <w:tcW w:w="1301" w:type="dxa"/>
          </w:tcPr>
          <w:p w14:paraId="697A20CE"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134" w:type="dxa"/>
          </w:tcPr>
          <w:p w14:paraId="0D495C5A"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4</w:t>
            </w:r>
          </w:p>
        </w:tc>
        <w:tc>
          <w:tcPr>
            <w:tcW w:w="3261" w:type="dxa"/>
          </w:tcPr>
          <w:p w14:paraId="5268902F" w14:textId="54BC148A"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No relevant comparator (n</w:t>
            </w:r>
            <w:r w:rsidR="005F6896" w:rsidRPr="005F62F4">
              <w:rPr>
                <w:lang w:val="en-AU"/>
              </w:rPr>
              <w:t> = </w:t>
            </w:r>
            <w:r w:rsidRPr="005F62F4">
              <w:rPr>
                <w:lang w:val="en-AU"/>
              </w:rPr>
              <w:t>4)</w:t>
            </w:r>
          </w:p>
        </w:tc>
      </w:tr>
      <w:tr w:rsidR="00B1433F" w:rsidRPr="005F62F4" w14:paraId="1CEA7D52" w14:textId="77777777" w:rsidTr="007D3D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3A1578EA" w14:textId="0ED9A17A" w:rsidR="00A82DB3" w:rsidRPr="005F62F4" w:rsidRDefault="00A82DB3" w:rsidP="00845C70">
            <w:pPr>
              <w:pStyle w:val="TableText"/>
            </w:pPr>
            <w:r w:rsidRPr="005F62F4">
              <w:t xml:space="preserve">DDN </w:t>
            </w:r>
            <w:proofErr w:type="spellStart"/>
            <w:r w:rsidRPr="005F62F4">
              <w:t>Biomodel</w:t>
            </w:r>
            <w:proofErr w:type="spellEnd"/>
          </w:p>
        </w:tc>
        <w:tc>
          <w:tcPr>
            <w:tcW w:w="1059" w:type="dxa"/>
          </w:tcPr>
          <w:p w14:paraId="64CC8804"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301" w:type="dxa"/>
          </w:tcPr>
          <w:p w14:paraId="158AE795"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134" w:type="dxa"/>
          </w:tcPr>
          <w:p w14:paraId="0CE308B6"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3261" w:type="dxa"/>
          </w:tcPr>
          <w:p w14:paraId="7CD1EFD3" w14:textId="77777777"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N/A</w:t>
            </w:r>
          </w:p>
        </w:tc>
      </w:tr>
      <w:tr w:rsidR="00A82DB3" w:rsidRPr="005F62F4" w14:paraId="3C008EAC" w14:textId="77777777" w:rsidTr="007D3D6A">
        <w:tc>
          <w:tcPr>
            <w:cnfStyle w:val="001000000000" w:firstRow="0" w:lastRow="0" w:firstColumn="1" w:lastColumn="0" w:oddVBand="0" w:evenVBand="0" w:oddHBand="0" w:evenHBand="0" w:firstRowFirstColumn="0" w:firstRowLastColumn="0" w:lastRowFirstColumn="0" w:lastRowLastColumn="0"/>
            <w:tcW w:w="2176" w:type="dxa"/>
          </w:tcPr>
          <w:p w14:paraId="6AD67C71" w14:textId="706962FE" w:rsidR="00A82DB3" w:rsidRPr="005F62F4" w:rsidRDefault="00A82DB3" w:rsidP="00845C70">
            <w:pPr>
              <w:pStyle w:val="TableText"/>
            </w:pPr>
            <w:r w:rsidRPr="005F62F4">
              <w:t xml:space="preserve">Stryker </w:t>
            </w:r>
            <w:proofErr w:type="spellStart"/>
            <w:r w:rsidR="00CA6C34" w:rsidRPr="005F62F4">
              <w:t>biomodel</w:t>
            </w:r>
            <w:proofErr w:type="spellEnd"/>
          </w:p>
        </w:tc>
        <w:tc>
          <w:tcPr>
            <w:tcW w:w="1059" w:type="dxa"/>
          </w:tcPr>
          <w:p w14:paraId="4170EA18"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301" w:type="dxa"/>
          </w:tcPr>
          <w:p w14:paraId="23D17C0D"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134" w:type="dxa"/>
          </w:tcPr>
          <w:p w14:paraId="3690D6B0"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3261" w:type="dxa"/>
          </w:tcPr>
          <w:p w14:paraId="6D890137" w14:textId="77777777"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N/A</w:t>
            </w:r>
          </w:p>
        </w:tc>
      </w:tr>
      <w:tr w:rsidR="00B1433F" w:rsidRPr="005F62F4" w14:paraId="06F7FD7F" w14:textId="77777777" w:rsidTr="007D3D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7C6E2157" w14:textId="77777777" w:rsidR="00A82DB3" w:rsidRPr="005F62F4" w:rsidRDefault="00A82DB3" w:rsidP="00845C70">
            <w:pPr>
              <w:pStyle w:val="TableText"/>
            </w:pPr>
            <w:r w:rsidRPr="005F62F4">
              <w:t>Stryker PEEK</w:t>
            </w:r>
          </w:p>
        </w:tc>
        <w:tc>
          <w:tcPr>
            <w:tcW w:w="1059" w:type="dxa"/>
          </w:tcPr>
          <w:p w14:paraId="2802040A"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17</w:t>
            </w:r>
          </w:p>
        </w:tc>
        <w:tc>
          <w:tcPr>
            <w:tcW w:w="1301" w:type="dxa"/>
          </w:tcPr>
          <w:p w14:paraId="7061A9CE"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134" w:type="dxa"/>
          </w:tcPr>
          <w:p w14:paraId="6DBC2A2F"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17</w:t>
            </w:r>
          </w:p>
        </w:tc>
        <w:tc>
          <w:tcPr>
            <w:tcW w:w="3261" w:type="dxa"/>
          </w:tcPr>
          <w:p w14:paraId="66AB5212" w14:textId="592281E5"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Not relevant to SGBs (n</w:t>
            </w:r>
            <w:r w:rsidR="005F6896" w:rsidRPr="005F62F4">
              <w:rPr>
                <w:lang w:val="en-AU"/>
              </w:rPr>
              <w:t> = </w:t>
            </w:r>
            <w:r w:rsidRPr="005F62F4">
              <w:rPr>
                <w:lang w:val="en-AU"/>
              </w:rPr>
              <w:t>15)</w:t>
            </w:r>
          </w:p>
          <w:p w14:paraId="55786643" w14:textId="6FE55E42"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No relevant comparator (n</w:t>
            </w:r>
            <w:r w:rsidR="005F6896" w:rsidRPr="005F62F4">
              <w:rPr>
                <w:lang w:val="en-AU"/>
              </w:rPr>
              <w:t> = </w:t>
            </w:r>
            <w:r w:rsidRPr="005F62F4">
              <w:rPr>
                <w:lang w:val="en-AU"/>
              </w:rPr>
              <w:t>2)</w:t>
            </w:r>
          </w:p>
        </w:tc>
      </w:tr>
      <w:tr w:rsidR="00A82DB3" w:rsidRPr="005F62F4" w14:paraId="2E8E8CC6" w14:textId="77777777" w:rsidTr="007D3D6A">
        <w:tc>
          <w:tcPr>
            <w:cnfStyle w:val="001000000000" w:firstRow="0" w:lastRow="0" w:firstColumn="1" w:lastColumn="0" w:oddVBand="0" w:evenVBand="0" w:oddHBand="0" w:evenHBand="0" w:firstRowFirstColumn="0" w:firstRowLastColumn="0" w:lastRowFirstColumn="0" w:lastRowLastColumn="0"/>
            <w:tcW w:w="2176" w:type="dxa"/>
          </w:tcPr>
          <w:p w14:paraId="72C4ACDA" w14:textId="77777777" w:rsidR="00A82DB3" w:rsidRPr="005F62F4" w:rsidRDefault="00A82DB3" w:rsidP="00845C70">
            <w:pPr>
              <w:pStyle w:val="TableText"/>
            </w:pPr>
            <w:r w:rsidRPr="005F62F4">
              <w:t>Stryker virtual surgical planning</w:t>
            </w:r>
          </w:p>
        </w:tc>
        <w:tc>
          <w:tcPr>
            <w:tcW w:w="1059" w:type="dxa"/>
          </w:tcPr>
          <w:p w14:paraId="7E281E7A"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6</w:t>
            </w:r>
          </w:p>
        </w:tc>
        <w:tc>
          <w:tcPr>
            <w:tcW w:w="1301" w:type="dxa"/>
          </w:tcPr>
          <w:p w14:paraId="6426351D"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134" w:type="dxa"/>
          </w:tcPr>
          <w:p w14:paraId="28D0910C"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6</w:t>
            </w:r>
          </w:p>
        </w:tc>
        <w:tc>
          <w:tcPr>
            <w:tcW w:w="3261" w:type="dxa"/>
          </w:tcPr>
          <w:p w14:paraId="64594855" w14:textId="51D97832"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No relevant comparator (</w:t>
            </w:r>
            <w:r w:rsidR="005F6896" w:rsidRPr="005F62F4">
              <w:rPr>
                <w:lang w:val="en-AU"/>
              </w:rPr>
              <w:t>n = </w:t>
            </w:r>
            <w:r w:rsidRPr="005F62F4">
              <w:rPr>
                <w:lang w:val="en-AU"/>
              </w:rPr>
              <w:t>3)</w:t>
            </w:r>
          </w:p>
          <w:p w14:paraId="5038CFF3" w14:textId="54972069"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Study type (</w:t>
            </w:r>
            <w:r w:rsidR="005F6896" w:rsidRPr="005F62F4">
              <w:rPr>
                <w:lang w:val="en-AU"/>
              </w:rPr>
              <w:t>n = </w:t>
            </w:r>
            <w:r w:rsidRPr="005F62F4">
              <w:rPr>
                <w:lang w:val="en-AU"/>
              </w:rPr>
              <w:t>3)</w:t>
            </w:r>
          </w:p>
        </w:tc>
      </w:tr>
      <w:tr w:rsidR="00B1433F" w:rsidRPr="005F62F4" w14:paraId="3587F6D0" w14:textId="77777777" w:rsidTr="007D3D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2DBB4632" w14:textId="77777777" w:rsidR="00A82DB3" w:rsidRPr="005F62F4" w:rsidRDefault="00A82DB3" w:rsidP="00845C70">
            <w:pPr>
              <w:pStyle w:val="TableText"/>
            </w:pPr>
            <w:r w:rsidRPr="005F62F4">
              <w:t>UNIQOS</w:t>
            </w:r>
          </w:p>
        </w:tc>
        <w:tc>
          <w:tcPr>
            <w:tcW w:w="1059" w:type="dxa"/>
          </w:tcPr>
          <w:p w14:paraId="0480C3D6"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301" w:type="dxa"/>
          </w:tcPr>
          <w:p w14:paraId="5AE589C9"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134" w:type="dxa"/>
          </w:tcPr>
          <w:p w14:paraId="32E3C1D5"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3261" w:type="dxa"/>
          </w:tcPr>
          <w:p w14:paraId="668FCBBD" w14:textId="77777777"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N/A</w:t>
            </w:r>
          </w:p>
        </w:tc>
      </w:tr>
      <w:tr w:rsidR="00A82DB3" w:rsidRPr="005F62F4" w14:paraId="3674C8F6" w14:textId="77777777" w:rsidTr="007D3D6A">
        <w:tc>
          <w:tcPr>
            <w:cnfStyle w:val="001000000000" w:firstRow="0" w:lastRow="0" w:firstColumn="1" w:lastColumn="0" w:oddVBand="0" w:evenVBand="0" w:oddHBand="0" w:evenHBand="0" w:firstRowFirstColumn="0" w:firstRowLastColumn="0" w:lastRowFirstColumn="0" w:lastRowLastColumn="0"/>
            <w:tcW w:w="2176" w:type="dxa"/>
          </w:tcPr>
          <w:p w14:paraId="3C146BA5" w14:textId="77777777" w:rsidR="00A82DB3" w:rsidRPr="005F62F4" w:rsidRDefault="00A82DB3" w:rsidP="00845C70">
            <w:pPr>
              <w:pStyle w:val="TableText"/>
            </w:pPr>
            <w:r w:rsidRPr="005F62F4">
              <w:t xml:space="preserve">KLS Martin </w:t>
            </w:r>
            <w:proofErr w:type="spellStart"/>
            <w:r w:rsidRPr="005F62F4">
              <w:t>biomodel</w:t>
            </w:r>
            <w:proofErr w:type="spellEnd"/>
          </w:p>
        </w:tc>
        <w:tc>
          <w:tcPr>
            <w:tcW w:w="1059" w:type="dxa"/>
          </w:tcPr>
          <w:p w14:paraId="767269DC"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301" w:type="dxa"/>
          </w:tcPr>
          <w:p w14:paraId="1E5423B8"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134" w:type="dxa"/>
          </w:tcPr>
          <w:p w14:paraId="1CEB1AFE"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3261" w:type="dxa"/>
          </w:tcPr>
          <w:p w14:paraId="02775140" w14:textId="77777777"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N/A</w:t>
            </w:r>
          </w:p>
        </w:tc>
      </w:tr>
      <w:tr w:rsidR="00B1433F" w:rsidRPr="005F62F4" w14:paraId="05A90339" w14:textId="77777777" w:rsidTr="007D3D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394E4E80" w14:textId="5A04944E" w:rsidR="00A82DB3" w:rsidRPr="005F62F4" w:rsidRDefault="00A82DB3" w:rsidP="00845C70">
            <w:pPr>
              <w:pStyle w:val="TableText"/>
            </w:pPr>
            <w:r w:rsidRPr="005F62F4">
              <w:t xml:space="preserve">OMX </w:t>
            </w:r>
            <w:proofErr w:type="spellStart"/>
            <w:r w:rsidRPr="005F62F4">
              <w:t>biomodel</w:t>
            </w:r>
            <w:proofErr w:type="spellEnd"/>
          </w:p>
        </w:tc>
        <w:tc>
          <w:tcPr>
            <w:tcW w:w="1059" w:type="dxa"/>
          </w:tcPr>
          <w:p w14:paraId="0C2659C6"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301" w:type="dxa"/>
          </w:tcPr>
          <w:p w14:paraId="364EA92B"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134" w:type="dxa"/>
          </w:tcPr>
          <w:p w14:paraId="02BC9EDB"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3261" w:type="dxa"/>
          </w:tcPr>
          <w:p w14:paraId="1926EEEF" w14:textId="77777777"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N/A</w:t>
            </w:r>
          </w:p>
        </w:tc>
      </w:tr>
      <w:tr w:rsidR="00A82DB3" w:rsidRPr="005F62F4" w14:paraId="6FB64A10" w14:textId="77777777" w:rsidTr="007D3D6A">
        <w:tc>
          <w:tcPr>
            <w:cnfStyle w:val="001000000000" w:firstRow="0" w:lastRow="0" w:firstColumn="1" w:lastColumn="0" w:oddVBand="0" w:evenVBand="0" w:oddHBand="0" w:evenHBand="0" w:firstRowFirstColumn="0" w:firstRowLastColumn="0" w:lastRowFirstColumn="0" w:lastRowLastColumn="0"/>
            <w:tcW w:w="2176" w:type="dxa"/>
          </w:tcPr>
          <w:p w14:paraId="3FED5542" w14:textId="77777777" w:rsidR="00A82DB3" w:rsidRPr="005F62F4" w:rsidRDefault="00A82DB3" w:rsidP="00845C70">
            <w:pPr>
              <w:pStyle w:val="TableText"/>
            </w:pPr>
            <w:r w:rsidRPr="005F62F4">
              <w:t xml:space="preserve">PSI </w:t>
            </w:r>
            <w:proofErr w:type="spellStart"/>
            <w:r w:rsidRPr="005F62F4">
              <w:t>Biomodel</w:t>
            </w:r>
            <w:proofErr w:type="spellEnd"/>
          </w:p>
        </w:tc>
        <w:tc>
          <w:tcPr>
            <w:tcW w:w="1059" w:type="dxa"/>
          </w:tcPr>
          <w:p w14:paraId="0EEC9D9F"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3</w:t>
            </w:r>
          </w:p>
        </w:tc>
        <w:tc>
          <w:tcPr>
            <w:tcW w:w="1301" w:type="dxa"/>
          </w:tcPr>
          <w:p w14:paraId="26678BAB"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134" w:type="dxa"/>
          </w:tcPr>
          <w:p w14:paraId="6D65EDB8"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3</w:t>
            </w:r>
          </w:p>
        </w:tc>
        <w:tc>
          <w:tcPr>
            <w:tcW w:w="3261" w:type="dxa"/>
          </w:tcPr>
          <w:p w14:paraId="7A5D9A6F" w14:textId="50A82281"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Study type (n</w:t>
            </w:r>
            <w:r w:rsidR="005F6896" w:rsidRPr="005F62F4">
              <w:rPr>
                <w:lang w:val="en-AU"/>
              </w:rPr>
              <w:t> = </w:t>
            </w:r>
            <w:r w:rsidRPr="005F62F4">
              <w:rPr>
                <w:lang w:val="en-AU"/>
              </w:rPr>
              <w:t>2)</w:t>
            </w:r>
          </w:p>
          <w:p w14:paraId="73FA986C" w14:textId="54AF804B"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Not relevant to SGBs (n</w:t>
            </w:r>
            <w:r w:rsidR="005F6896" w:rsidRPr="005F62F4">
              <w:rPr>
                <w:lang w:val="en-AU"/>
              </w:rPr>
              <w:t> = </w:t>
            </w:r>
            <w:r w:rsidRPr="005F62F4">
              <w:rPr>
                <w:lang w:val="en-AU"/>
              </w:rPr>
              <w:t>1)</w:t>
            </w:r>
          </w:p>
        </w:tc>
      </w:tr>
      <w:tr w:rsidR="00B1433F" w:rsidRPr="005F62F4" w14:paraId="1D1EFFEA" w14:textId="77777777" w:rsidTr="007D3D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3F443821" w14:textId="1EB62CC4" w:rsidR="00A82DB3" w:rsidRPr="005F62F4" w:rsidRDefault="00A82DB3" w:rsidP="00845C70">
            <w:pPr>
              <w:pStyle w:val="TableText"/>
            </w:pPr>
            <w:r w:rsidRPr="005F62F4">
              <w:t>S</w:t>
            </w:r>
            <w:r w:rsidR="00B84BE0" w:rsidRPr="005F62F4">
              <w:t>PECIFICA</w:t>
            </w:r>
            <w:r w:rsidRPr="005F62F4">
              <w:t xml:space="preserve"> </w:t>
            </w:r>
            <w:proofErr w:type="spellStart"/>
            <w:r w:rsidRPr="005F62F4">
              <w:t>biomodel</w:t>
            </w:r>
            <w:proofErr w:type="spellEnd"/>
          </w:p>
        </w:tc>
        <w:tc>
          <w:tcPr>
            <w:tcW w:w="1059" w:type="dxa"/>
          </w:tcPr>
          <w:p w14:paraId="372A2E9E"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301" w:type="dxa"/>
          </w:tcPr>
          <w:p w14:paraId="684B3B10"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1134" w:type="dxa"/>
          </w:tcPr>
          <w:p w14:paraId="2925C296" w14:textId="77777777" w:rsidR="00A82DB3" w:rsidRPr="005F62F4" w:rsidRDefault="00A82DB3" w:rsidP="00845C70">
            <w:pPr>
              <w:pStyle w:val="TableTextRigh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0</w:t>
            </w:r>
          </w:p>
        </w:tc>
        <w:tc>
          <w:tcPr>
            <w:tcW w:w="3261" w:type="dxa"/>
          </w:tcPr>
          <w:p w14:paraId="28A6ABF1" w14:textId="77777777" w:rsidR="00A82DB3" w:rsidRPr="005F62F4" w:rsidRDefault="00A82DB3" w:rsidP="00CA2FC0">
            <w:pPr>
              <w:pStyle w:val="TableTextRight"/>
              <w:jc w:val="left"/>
              <w:cnfStyle w:val="000000010000" w:firstRow="0" w:lastRow="0" w:firstColumn="0" w:lastColumn="0" w:oddVBand="0" w:evenVBand="0" w:oddHBand="0" w:evenHBand="1" w:firstRowFirstColumn="0" w:firstRowLastColumn="0" w:lastRowFirstColumn="0" w:lastRowLastColumn="0"/>
              <w:rPr>
                <w:lang w:val="en-AU"/>
              </w:rPr>
            </w:pPr>
            <w:r w:rsidRPr="005F62F4">
              <w:rPr>
                <w:lang w:val="en-AU"/>
              </w:rPr>
              <w:t>N/A</w:t>
            </w:r>
          </w:p>
        </w:tc>
      </w:tr>
      <w:tr w:rsidR="00A82DB3" w:rsidRPr="005F62F4" w14:paraId="5BB3298C" w14:textId="77777777" w:rsidTr="007D3D6A">
        <w:tc>
          <w:tcPr>
            <w:cnfStyle w:val="001000000000" w:firstRow="0" w:lastRow="0" w:firstColumn="1" w:lastColumn="0" w:oddVBand="0" w:evenVBand="0" w:oddHBand="0" w:evenHBand="0" w:firstRowFirstColumn="0" w:firstRowLastColumn="0" w:lastRowFirstColumn="0" w:lastRowLastColumn="0"/>
            <w:tcW w:w="2176" w:type="dxa"/>
          </w:tcPr>
          <w:p w14:paraId="494C72CC" w14:textId="3473D5C0" w:rsidR="00A82DB3" w:rsidRPr="005F62F4" w:rsidRDefault="00A82DB3" w:rsidP="00845C70">
            <w:pPr>
              <w:pStyle w:val="TableText"/>
            </w:pPr>
            <w:r w:rsidRPr="005F62F4">
              <w:t>S</w:t>
            </w:r>
            <w:r w:rsidR="00B84BE0" w:rsidRPr="005F62F4">
              <w:t>PECIFICA</w:t>
            </w:r>
            <w:r w:rsidRPr="005F62F4">
              <w:t xml:space="preserve"> OMF</w:t>
            </w:r>
          </w:p>
        </w:tc>
        <w:tc>
          <w:tcPr>
            <w:tcW w:w="1059" w:type="dxa"/>
          </w:tcPr>
          <w:p w14:paraId="14DCDE32"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301" w:type="dxa"/>
          </w:tcPr>
          <w:p w14:paraId="7844CEB8"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1134" w:type="dxa"/>
          </w:tcPr>
          <w:p w14:paraId="02BB6FA5" w14:textId="77777777" w:rsidR="00A82DB3" w:rsidRPr="005F62F4" w:rsidRDefault="00A82DB3" w:rsidP="00845C70">
            <w:pPr>
              <w:pStyle w:val="TableTextRigh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0</w:t>
            </w:r>
          </w:p>
        </w:tc>
        <w:tc>
          <w:tcPr>
            <w:tcW w:w="3261" w:type="dxa"/>
          </w:tcPr>
          <w:p w14:paraId="6BB6B7B9" w14:textId="77777777" w:rsidR="00A82DB3" w:rsidRPr="005F62F4" w:rsidRDefault="00A82DB3" w:rsidP="00CA2FC0">
            <w:pPr>
              <w:pStyle w:val="TableTextRight"/>
              <w:jc w:val="left"/>
              <w:cnfStyle w:val="000000000000" w:firstRow="0" w:lastRow="0" w:firstColumn="0" w:lastColumn="0" w:oddVBand="0" w:evenVBand="0" w:oddHBand="0" w:evenHBand="0" w:firstRowFirstColumn="0" w:firstRowLastColumn="0" w:lastRowFirstColumn="0" w:lastRowLastColumn="0"/>
              <w:rPr>
                <w:lang w:val="en-AU"/>
              </w:rPr>
            </w:pPr>
            <w:r w:rsidRPr="005F62F4">
              <w:rPr>
                <w:lang w:val="en-AU"/>
              </w:rPr>
              <w:t>N/A</w:t>
            </w:r>
          </w:p>
        </w:tc>
      </w:tr>
      <w:tr w:rsidR="00DF2F55" w:rsidRPr="005F62F4" w14:paraId="442E1BB8" w14:textId="77777777" w:rsidTr="007D3D6A">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76" w:type="dxa"/>
          </w:tcPr>
          <w:p w14:paraId="034DBBA7" w14:textId="77777777" w:rsidR="00A82DB3" w:rsidRPr="005F62F4" w:rsidRDefault="00A82DB3" w:rsidP="00845C70">
            <w:pPr>
              <w:pStyle w:val="TableText"/>
              <w:rPr>
                <w:b w:val="0"/>
                <w:bCs/>
              </w:rPr>
            </w:pPr>
            <w:r w:rsidRPr="005F62F4">
              <w:rPr>
                <w:bCs/>
              </w:rPr>
              <w:t>Total</w:t>
            </w:r>
          </w:p>
        </w:tc>
        <w:tc>
          <w:tcPr>
            <w:tcW w:w="1059" w:type="dxa"/>
          </w:tcPr>
          <w:p w14:paraId="58249656" w14:textId="7EBF63A0" w:rsidR="00A82DB3" w:rsidRPr="005F62F4" w:rsidRDefault="00A82DB3" w:rsidP="00845C70">
            <w:pPr>
              <w:pStyle w:val="TableTextRight"/>
              <w:cnfStyle w:val="010000000000" w:firstRow="0" w:lastRow="1" w:firstColumn="0" w:lastColumn="0" w:oddVBand="0" w:evenVBand="0" w:oddHBand="0" w:evenHBand="0" w:firstRowFirstColumn="0" w:firstRowLastColumn="0" w:lastRowFirstColumn="0" w:lastRowLastColumn="0"/>
              <w:rPr>
                <w:lang w:val="en-AU"/>
              </w:rPr>
            </w:pPr>
            <w:r w:rsidRPr="005F62F4">
              <w:rPr>
                <w:bCs/>
                <w:lang w:val="en-AU"/>
              </w:rPr>
              <w:t>15</w:t>
            </w:r>
            <w:r w:rsidR="001C09BD" w:rsidRPr="005F62F4">
              <w:rPr>
                <w:bCs/>
                <w:lang w:val="en-AU"/>
              </w:rPr>
              <w:t>3</w:t>
            </w:r>
          </w:p>
        </w:tc>
        <w:tc>
          <w:tcPr>
            <w:tcW w:w="1301" w:type="dxa"/>
          </w:tcPr>
          <w:p w14:paraId="0EA84294" w14:textId="77777777" w:rsidR="00A82DB3" w:rsidRPr="005F62F4" w:rsidRDefault="00A82DB3" w:rsidP="00845C70">
            <w:pPr>
              <w:pStyle w:val="TableTextRight"/>
              <w:cnfStyle w:val="010000000000" w:firstRow="0" w:lastRow="1" w:firstColumn="0" w:lastColumn="0" w:oddVBand="0" w:evenVBand="0" w:oddHBand="0" w:evenHBand="0" w:firstRowFirstColumn="0" w:firstRowLastColumn="0" w:lastRowFirstColumn="0" w:lastRowLastColumn="0"/>
              <w:rPr>
                <w:lang w:val="en-AU"/>
              </w:rPr>
            </w:pPr>
            <w:r w:rsidRPr="005F62F4">
              <w:rPr>
                <w:bCs/>
                <w:lang w:val="en-AU"/>
              </w:rPr>
              <w:t>4</w:t>
            </w:r>
          </w:p>
        </w:tc>
        <w:tc>
          <w:tcPr>
            <w:tcW w:w="1134" w:type="dxa"/>
          </w:tcPr>
          <w:p w14:paraId="680EF05E" w14:textId="69FE5CFB" w:rsidR="00A82DB3" w:rsidRPr="005F62F4" w:rsidRDefault="00A82DB3" w:rsidP="00845C70">
            <w:pPr>
              <w:pStyle w:val="TableTextRight"/>
              <w:cnfStyle w:val="010000000000" w:firstRow="0" w:lastRow="1" w:firstColumn="0" w:lastColumn="0" w:oddVBand="0" w:evenVBand="0" w:oddHBand="0" w:evenHBand="0" w:firstRowFirstColumn="0" w:firstRowLastColumn="0" w:lastRowFirstColumn="0" w:lastRowLastColumn="0"/>
              <w:rPr>
                <w:lang w:val="en-AU"/>
              </w:rPr>
            </w:pPr>
            <w:r w:rsidRPr="005F62F4">
              <w:rPr>
                <w:bCs/>
                <w:lang w:val="en-AU"/>
              </w:rPr>
              <w:t>1</w:t>
            </w:r>
            <w:r w:rsidR="001C09BD" w:rsidRPr="005F62F4">
              <w:rPr>
                <w:bCs/>
                <w:lang w:val="en-AU"/>
              </w:rPr>
              <w:t>49</w:t>
            </w:r>
          </w:p>
        </w:tc>
        <w:tc>
          <w:tcPr>
            <w:tcW w:w="3261" w:type="dxa"/>
          </w:tcPr>
          <w:p w14:paraId="202846BA" w14:textId="77777777" w:rsidR="00A82DB3" w:rsidRPr="005F62F4" w:rsidRDefault="00A82DB3" w:rsidP="000A7D6C">
            <w:pPr>
              <w:pStyle w:val="TableTextRight"/>
              <w:keepNext/>
              <w:jc w:val="left"/>
              <w:cnfStyle w:val="010000000000" w:firstRow="0" w:lastRow="1" w:firstColumn="0" w:lastColumn="0" w:oddVBand="0" w:evenVBand="0" w:oddHBand="0" w:evenHBand="0" w:firstRowFirstColumn="0" w:firstRowLastColumn="0" w:lastRowFirstColumn="0" w:lastRowLastColumn="0"/>
              <w:rPr>
                <w:lang w:val="en-AU"/>
              </w:rPr>
            </w:pPr>
          </w:p>
        </w:tc>
      </w:tr>
    </w:tbl>
    <w:p w14:paraId="37EA4CFE" w14:textId="4C844A0E" w:rsidR="00A82DB3" w:rsidRPr="005F62F4" w:rsidRDefault="00A82DB3" w:rsidP="00764D9D">
      <w:pPr>
        <w:pStyle w:val="Tablefootnote"/>
      </w:pPr>
      <w:r w:rsidRPr="005F62F4">
        <w:t xml:space="preserve">Note: </w:t>
      </w:r>
      <w:r w:rsidR="00BB4C7E" w:rsidRPr="005F62F4">
        <w:t>SGB</w:t>
      </w:r>
      <w:r w:rsidR="005F6896" w:rsidRPr="005F62F4">
        <w:t> = </w:t>
      </w:r>
      <w:r w:rsidR="00BB4C7E" w:rsidRPr="005F62F4">
        <w:t xml:space="preserve">surgical guides and </w:t>
      </w:r>
      <w:proofErr w:type="spellStart"/>
      <w:r w:rsidR="00BB4C7E" w:rsidRPr="005F62F4">
        <w:t>biomodels</w:t>
      </w:r>
      <w:proofErr w:type="spellEnd"/>
      <w:r w:rsidR="00BB4C7E" w:rsidRPr="005F62F4">
        <w:t>.</w:t>
      </w:r>
      <w:r w:rsidRPr="005F62F4">
        <w:t xml:space="preserve"> </w:t>
      </w:r>
      <w:proofErr w:type="spellStart"/>
      <w:r w:rsidR="00FB0CA1" w:rsidRPr="005F62F4">
        <w:t>ProPlan</w:t>
      </w:r>
      <w:proofErr w:type="spellEnd"/>
      <w:r w:rsidR="00FB0CA1" w:rsidRPr="005F62F4">
        <w:t xml:space="preserve"> is now known as </w:t>
      </w:r>
      <w:proofErr w:type="spellStart"/>
      <w:r w:rsidR="00FB0CA1" w:rsidRPr="005F62F4">
        <w:t>TruMatch</w:t>
      </w:r>
      <w:proofErr w:type="spellEnd"/>
      <w:r w:rsidR="00FB0CA1" w:rsidRPr="005F62F4">
        <w:t xml:space="preserve">; both terms were included </w:t>
      </w:r>
      <w:r w:rsidR="00764D9D" w:rsidRPr="005F62F4">
        <w:t>in</w:t>
      </w:r>
      <w:r w:rsidR="00FB0CA1" w:rsidRPr="005F62F4">
        <w:t xml:space="preserve"> our search. </w:t>
      </w:r>
      <w:r w:rsidRPr="005F62F4">
        <w:t xml:space="preserve">There may </w:t>
      </w:r>
      <w:r w:rsidR="00FD3211" w:rsidRPr="005F62F4">
        <w:t>be</w:t>
      </w:r>
      <w:r w:rsidRPr="005F62F4">
        <w:t xml:space="preserve"> multiple reasons for exclusion for a study however, only the first identified reason by study was recorded. The exclusion </w:t>
      </w:r>
      <w:r w:rsidR="00EA7D9E" w:rsidRPr="005F62F4">
        <w:t>cr</w:t>
      </w:r>
      <w:r w:rsidR="00DB50FD" w:rsidRPr="005F62F4">
        <w:t>ite</w:t>
      </w:r>
      <w:r w:rsidR="00EA7D9E" w:rsidRPr="005F62F4">
        <w:t>rion</w:t>
      </w:r>
      <w:r w:rsidRPr="005F62F4">
        <w:t xml:space="preserve"> of ‘not product specific’ means that the study did not </w:t>
      </w:r>
      <w:r w:rsidR="004F6FBD" w:rsidRPr="005F62F4">
        <w:t>specifically ident</w:t>
      </w:r>
      <w:r w:rsidR="0036326C" w:rsidRPr="005F62F4">
        <w:t>i</w:t>
      </w:r>
      <w:r w:rsidR="004F6FBD" w:rsidRPr="005F62F4">
        <w:t>fy</w:t>
      </w:r>
      <w:r w:rsidRPr="005F62F4">
        <w:t xml:space="preserve"> the products listed in the PL and in</w:t>
      </w:r>
      <w:r w:rsidR="00CC203D" w:rsidRPr="005F62F4">
        <w:t xml:space="preserve"> </w:t>
      </w:r>
      <w:r w:rsidRPr="005F62F4">
        <w:t>scope for this review</w:t>
      </w:r>
      <w:r w:rsidR="004F6FBD" w:rsidRPr="005F62F4">
        <w:t xml:space="preserve"> as interventions</w:t>
      </w:r>
      <w:r w:rsidRPr="005F62F4">
        <w:t>.</w:t>
      </w:r>
    </w:p>
    <w:p w14:paraId="421AC0E1" w14:textId="1D12E46B" w:rsidR="00D815D4" w:rsidRPr="005F62F4" w:rsidRDefault="00D815D4" w:rsidP="004F2931">
      <w:pPr>
        <w:pStyle w:val="HeadingA3"/>
      </w:pPr>
      <w:bookmarkStart w:id="290" w:name="_Toc120178356"/>
      <w:r w:rsidRPr="005F62F4">
        <w:lastRenderedPageBreak/>
        <w:t>Search of reference list of studies identified for inclusion from electronic database search</w:t>
      </w:r>
      <w:bookmarkEnd w:id="290"/>
    </w:p>
    <w:p w14:paraId="176649A3" w14:textId="78D19C55" w:rsidR="00D815D4" w:rsidRPr="005F62F4" w:rsidRDefault="00D815D4" w:rsidP="00D815D4">
      <w:pPr>
        <w:pStyle w:val="Para"/>
      </w:pPr>
      <w:r w:rsidRPr="005F62F4">
        <w:t xml:space="preserve">A scan of the reference lists of included articles was conducted to identify additional relevant articles. A total of 281 titles were scanned and 254 were excluded based on the </w:t>
      </w:r>
      <w:r w:rsidR="00B83267" w:rsidRPr="005F62F4">
        <w:t>citation</w:t>
      </w:r>
      <w:r w:rsidRPr="005F62F4">
        <w:t xml:space="preserve"> details (many were excluded based on </w:t>
      </w:r>
      <w:r w:rsidR="00C04A7E" w:rsidRPr="005F62F4">
        <w:t>publication prior to 2013</w:t>
      </w:r>
      <w:r w:rsidRPr="005F62F4">
        <w:t>). The full text of 27 articles was reviewed, from which 3 articles were identified for inclusion. The main reasons for excluding the other 24 articles were that there was no relevant comparator, or they did not identify the specific products listed on the PL.</w:t>
      </w:r>
    </w:p>
    <w:p w14:paraId="4A23BA25" w14:textId="1C676350" w:rsidR="00D815D4" w:rsidRPr="005F62F4" w:rsidRDefault="00D815D4" w:rsidP="004F2931">
      <w:pPr>
        <w:pStyle w:val="Heading4"/>
      </w:pPr>
      <w:r w:rsidRPr="005F62F4">
        <w:t>Search of information provided by sponsors or other stakeholders</w:t>
      </w:r>
    </w:p>
    <w:p w14:paraId="6E69579A" w14:textId="6A58C8FE" w:rsidR="00BD45ED" w:rsidRPr="005F62F4" w:rsidRDefault="00093166" w:rsidP="00D815D4">
      <w:pPr>
        <w:pStyle w:val="Para"/>
      </w:pPr>
      <w:bookmarkStart w:id="291" w:name="_Ref120104551"/>
      <w:r w:rsidRPr="005F62F4">
        <w:t>From the</w:t>
      </w:r>
      <w:r w:rsidR="00F14D52" w:rsidRPr="005F62F4">
        <w:t xml:space="preserve"> initial consultation with stakeholders</w:t>
      </w:r>
      <w:r w:rsidRPr="005F62F4">
        <w:t>, a</w:t>
      </w:r>
      <w:r w:rsidR="00D815D4" w:rsidRPr="005F62F4">
        <w:t xml:space="preserve"> total of 164 articles provided by sponsors and another 14 provided by other stakeholders were screened. From review of these articles, 4</w:t>
      </w:r>
      <w:r w:rsidR="00D20797" w:rsidRPr="005F62F4">
        <w:t> </w:t>
      </w:r>
      <w:r w:rsidR="00D815D4" w:rsidRPr="005F62F4">
        <w:t>articles from the sponsor-provided material</w:t>
      </w:r>
      <w:r w:rsidR="008309D4" w:rsidRPr="005F62F4">
        <w:t xml:space="preserve">, </w:t>
      </w:r>
      <w:r w:rsidR="00D815D4" w:rsidRPr="005F62F4">
        <w:t>and 2 articles from other stakeholders</w:t>
      </w:r>
      <w:r w:rsidR="00B83267" w:rsidRPr="005F62F4">
        <w:t>,</w:t>
      </w:r>
      <w:r w:rsidR="00D815D4" w:rsidRPr="005F62F4">
        <w:t xml:space="preserve"> were identified for inclusion.</w:t>
      </w:r>
      <w:bookmarkEnd w:id="291"/>
    </w:p>
    <w:p w14:paraId="57A905AA" w14:textId="2AD68134" w:rsidR="00D815D4" w:rsidRPr="005F62F4" w:rsidRDefault="004019BF" w:rsidP="00D815D4">
      <w:pPr>
        <w:pStyle w:val="Para"/>
      </w:pPr>
      <w:r w:rsidRPr="005F62F4">
        <w:t>In the second round of consultations, a</w:t>
      </w:r>
      <w:r w:rsidR="00F446BF" w:rsidRPr="005F62F4">
        <w:t>n additional</w:t>
      </w:r>
      <w:r w:rsidR="00D27148" w:rsidRPr="005F62F4">
        <w:t xml:space="preserve"> </w:t>
      </w:r>
      <w:r w:rsidR="00C007EA" w:rsidRPr="005F62F4">
        <w:t xml:space="preserve">24 articles </w:t>
      </w:r>
      <w:r w:rsidR="00DD293A" w:rsidRPr="005F62F4">
        <w:t xml:space="preserve">which had not already been considered </w:t>
      </w:r>
      <w:r w:rsidR="00C007EA" w:rsidRPr="005F62F4">
        <w:t xml:space="preserve">were referenced in stakeholder </w:t>
      </w:r>
      <w:r w:rsidR="004B14A4" w:rsidRPr="005F62F4">
        <w:t>feedback submissions on the draft report</w:t>
      </w:r>
      <w:r w:rsidR="00C007EA" w:rsidRPr="005F62F4">
        <w:t>.</w:t>
      </w:r>
      <w:r w:rsidR="00E76E64" w:rsidRPr="005F62F4">
        <w:t xml:space="preserve"> </w:t>
      </w:r>
      <w:r w:rsidR="00F15D14" w:rsidRPr="005F62F4">
        <w:t>Upon review, none</w:t>
      </w:r>
      <w:r w:rsidR="001B600F" w:rsidRPr="005F62F4">
        <w:t xml:space="preserve"> of </w:t>
      </w:r>
      <w:r w:rsidR="00F15D14" w:rsidRPr="005F62F4">
        <w:t xml:space="preserve">these </w:t>
      </w:r>
      <w:r w:rsidR="003F7FBC" w:rsidRPr="005F62F4">
        <w:t>additional</w:t>
      </w:r>
      <w:r w:rsidR="00853814" w:rsidRPr="005F62F4">
        <w:t xml:space="preserve"> studies met the </w:t>
      </w:r>
      <w:r w:rsidR="00412E9F" w:rsidRPr="005F62F4">
        <w:t>criteria for inclusion in the systematic review</w:t>
      </w:r>
      <w:r w:rsidR="00543251" w:rsidRPr="005F62F4">
        <w:t>.</w:t>
      </w:r>
      <w:r w:rsidR="0030580D" w:rsidRPr="005F62F4">
        <w:t xml:space="preserve"> </w:t>
      </w:r>
      <w:r w:rsidR="005234B4" w:rsidRPr="005F62F4">
        <w:t>Overall</w:t>
      </w:r>
      <w:r w:rsidR="00D531C9" w:rsidRPr="005F62F4">
        <w:t>,</w:t>
      </w:r>
      <w:r w:rsidR="0030580D" w:rsidRPr="005F62F4">
        <w:t xml:space="preserve"> a total of </w:t>
      </w:r>
      <w:r w:rsidR="006A0B5E" w:rsidRPr="005F62F4">
        <w:t>202</w:t>
      </w:r>
      <w:r w:rsidR="008553E8" w:rsidRPr="005F62F4">
        <w:t xml:space="preserve"> </w:t>
      </w:r>
      <w:r w:rsidR="00107410" w:rsidRPr="005F62F4">
        <w:t xml:space="preserve">articles </w:t>
      </w:r>
      <w:r w:rsidR="00CB2579" w:rsidRPr="005F62F4">
        <w:t>provided by stakeholders were screened</w:t>
      </w:r>
      <w:r w:rsidR="00121ABA" w:rsidRPr="005F62F4">
        <w:t>.</w:t>
      </w:r>
    </w:p>
    <w:p w14:paraId="0CE3E75F" w14:textId="77777777" w:rsidR="00350534" w:rsidRPr="00350534" w:rsidRDefault="00350534" w:rsidP="00350534">
      <w:bookmarkStart w:id="292" w:name="_Ref119843079"/>
      <w:bookmarkStart w:id="293" w:name="_Toc120178357"/>
      <w:r w:rsidRPr="00350534">
        <w:br w:type="page"/>
      </w:r>
    </w:p>
    <w:p w14:paraId="4203F0B3" w14:textId="68332373" w:rsidR="00D815D4" w:rsidRPr="005F62F4" w:rsidRDefault="00D815D4" w:rsidP="004F2931">
      <w:pPr>
        <w:pStyle w:val="HeadingA3"/>
      </w:pPr>
      <w:r w:rsidRPr="005F62F4">
        <w:lastRenderedPageBreak/>
        <w:t>Study descriptions</w:t>
      </w:r>
      <w:bookmarkEnd w:id="292"/>
      <w:bookmarkEnd w:id="293"/>
    </w:p>
    <w:p w14:paraId="2C35CC15" w14:textId="0EC4FE86" w:rsidR="00D815D4" w:rsidRPr="005F62F4" w:rsidRDefault="00D815D4" w:rsidP="00D815D4">
      <w:pPr>
        <w:pStyle w:val="Para"/>
      </w:pPr>
      <w:r w:rsidRPr="005F62F4">
        <w:t xml:space="preserve">A total of 13 studies met the inclusion criteria </w:t>
      </w:r>
      <w:r w:rsidR="00764D9D" w:rsidRPr="005F62F4">
        <w:t xml:space="preserve">and </w:t>
      </w:r>
      <w:r w:rsidRPr="005F62F4">
        <w:t>were included in this review</w:t>
      </w:r>
      <w:r w:rsidR="004351B9" w:rsidRPr="005F62F4">
        <w:t xml:space="preserve"> (</w:t>
      </w:r>
      <w:r w:rsidR="00D95EDA" w:rsidRPr="005F62F4">
        <w:fldChar w:fldCharType="begin"/>
      </w:r>
      <w:r w:rsidR="00D95EDA" w:rsidRPr="005F62F4">
        <w:instrText xml:space="preserve"> REF _Ref119911363 \h </w:instrText>
      </w:r>
      <w:r w:rsidR="005F62F4">
        <w:instrText xml:space="preserve"> \* MERGEFORMAT </w:instrText>
      </w:r>
      <w:r w:rsidR="00D95EDA" w:rsidRPr="005F62F4">
        <w:fldChar w:fldCharType="separate"/>
      </w:r>
      <w:r w:rsidR="005606BF" w:rsidRPr="005F62F4">
        <w:t>Figure </w:t>
      </w:r>
      <w:r w:rsidR="005606BF">
        <w:t>4</w:t>
      </w:r>
      <w:r w:rsidR="00D95EDA" w:rsidRPr="005F62F4">
        <w:fldChar w:fldCharType="end"/>
      </w:r>
      <w:r w:rsidR="004351B9" w:rsidRPr="005F62F4">
        <w:t>)</w:t>
      </w:r>
      <w:r w:rsidRPr="005F62F4">
        <w:t>. These studies were published between 2013 and 2021</w:t>
      </w:r>
      <w:r w:rsidR="000875CB" w:rsidRPr="005F62F4">
        <w:t xml:space="preserve"> and came </w:t>
      </w:r>
      <w:r w:rsidRPr="005F62F4">
        <w:t>from China (4 studies), Australia (2</w:t>
      </w:r>
      <w:r w:rsidR="00AB7C42" w:rsidRPr="005F62F4">
        <w:t> </w:t>
      </w:r>
      <w:r w:rsidRPr="005F62F4">
        <w:t xml:space="preserve">studies), Germany (2 studies), USA (2 studies) Belgium, Switzerland and Singapore. Only one of the products listed on the PL </w:t>
      </w:r>
      <w:r w:rsidR="007A51BE" w:rsidRPr="005F62F4">
        <w:t xml:space="preserve">– </w:t>
      </w:r>
      <w:proofErr w:type="spellStart"/>
      <w:r w:rsidR="007A51BE" w:rsidRPr="005F62F4">
        <w:t>ProPlan</w:t>
      </w:r>
      <w:proofErr w:type="spellEnd"/>
      <w:r w:rsidR="007A51BE" w:rsidRPr="005F62F4">
        <w:t xml:space="preserve"> – </w:t>
      </w:r>
      <w:r w:rsidRPr="005F62F4">
        <w:t xml:space="preserve">was included in </w:t>
      </w:r>
      <w:r w:rsidR="007A51BE" w:rsidRPr="005F62F4">
        <w:t>any</w:t>
      </w:r>
      <w:r w:rsidRPr="005F62F4">
        <w:t xml:space="preserve"> studies.</w:t>
      </w:r>
    </w:p>
    <w:p w14:paraId="6CBAFA67" w14:textId="12D46C39" w:rsidR="00CE7E1B" w:rsidRPr="005F62F4" w:rsidRDefault="00CE7E1B" w:rsidP="00CE7E1B">
      <w:pPr>
        <w:pStyle w:val="Para"/>
      </w:pPr>
      <w:r w:rsidRPr="005F62F4">
        <w:t xml:space="preserve">The extracted data from the 13 studies is presented below. A narrative synthesis of the results is presented in </w:t>
      </w:r>
      <w:r w:rsidR="00E14481">
        <w:fldChar w:fldCharType="begin"/>
      </w:r>
      <w:r w:rsidR="00E14481">
        <w:instrText xml:space="preserve"> REF _Ref119487926 \n \h </w:instrText>
      </w:r>
      <w:r w:rsidR="00E14481">
        <w:fldChar w:fldCharType="separate"/>
      </w:r>
      <w:r w:rsidR="00E14481">
        <w:t>Section 2</w:t>
      </w:r>
      <w:r w:rsidR="00E14481">
        <w:fldChar w:fldCharType="end"/>
      </w:r>
      <w:r w:rsidRPr="005F62F4">
        <w:t>.</w:t>
      </w:r>
    </w:p>
    <w:p w14:paraId="6594988F" w14:textId="33115B5C" w:rsidR="00CE0B50" w:rsidRPr="005F62F4" w:rsidRDefault="00E458B4" w:rsidP="006F2E5E">
      <w:pPr>
        <w:pStyle w:val="Image"/>
      </w:pPr>
      <w:r w:rsidRPr="005F62F4">
        <w:rPr>
          <w:noProof/>
        </w:rPr>
        <w:drawing>
          <wp:inline distT="0" distB="0" distL="0" distR="0" wp14:anchorId="6A1AD2F3" wp14:editId="4B872DA9">
            <wp:extent cx="5236918" cy="4584589"/>
            <wp:effectExtent l="0" t="0" r="1905" b="6985"/>
            <wp:docPr id="4" name="Picture 4" descr="Long description provided be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ng description provided below."/>
                    <pic:cNvPicPr>
                      <a:picLocks noChangeAspect="1" noChangeArrowheads="1"/>
                    </pic:cNvPicPr>
                  </pic:nvPicPr>
                  <pic:blipFill rotWithShape="1">
                    <a:blip r:embed="rId45">
                      <a:extLst>
                        <a:ext uri="{28A0092B-C50C-407E-A947-70E740481C1C}">
                          <a14:useLocalDpi xmlns:a14="http://schemas.microsoft.com/office/drawing/2010/main" val="0"/>
                        </a:ext>
                      </a:extLst>
                    </a:blip>
                    <a:stretch/>
                  </pic:blipFill>
                  <pic:spPr bwMode="auto">
                    <a:xfrm>
                      <a:off x="0" y="0"/>
                      <a:ext cx="5236918" cy="4584589"/>
                    </a:xfrm>
                    <a:prstGeom prst="rect">
                      <a:avLst/>
                    </a:prstGeom>
                    <a:extLst>
                      <a:ext uri="{53640926-AAD7-44D8-BBD7-CCE9431645EC}">
                        <a14:shadowObscured xmlns:a14="http://schemas.microsoft.com/office/drawing/2010/main"/>
                      </a:ext>
                    </a:extLst>
                  </pic:spPr>
                </pic:pic>
              </a:graphicData>
            </a:graphic>
          </wp:inline>
        </w:drawing>
      </w:r>
    </w:p>
    <w:p w14:paraId="161219D0" w14:textId="628F8E86" w:rsidR="000A7D6C" w:rsidRPr="005F62F4" w:rsidRDefault="00597B02" w:rsidP="00CE0B50">
      <w:pPr>
        <w:pStyle w:val="Caption-image"/>
      </w:pPr>
      <w:bookmarkStart w:id="294" w:name="_Ref119911363"/>
      <w:bookmarkStart w:id="295" w:name="_Toc129954629"/>
      <w:r w:rsidRPr="005F62F4">
        <w:t>Figure </w:t>
      </w:r>
      <w:r w:rsidRPr="005F62F4">
        <w:fldChar w:fldCharType="begin"/>
      </w:r>
      <w:r w:rsidRPr="005F62F4">
        <w:instrText>SEQ Figure \* ARABIC</w:instrText>
      </w:r>
      <w:r w:rsidRPr="005F62F4">
        <w:fldChar w:fldCharType="separate"/>
      </w:r>
      <w:r w:rsidR="005606BF">
        <w:rPr>
          <w:noProof/>
        </w:rPr>
        <w:t>4</w:t>
      </w:r>
      <w:r w:rsidRPr="005F62F4">
        <w:fldChar w:fldCharType="end"/>
      </w:r>
      <w:bookmarkEnd w:id="294"/>
      <w:r w:rsidR="00E56C05" w:rsidRPr="005F62F4">
        <w:t xml:space="preserve">: </w:t>
      </w:r>
      <w:r w:rsidR="00EA077D" w:rsidRPr="005F62F4">
        <w:t>S</w:t>
      </w:r>
      <w:r w:rsidR="00CE0B50" w:rsidRPr="005F62F4">
        <w:t>election process for studies for inclusion in the systematic review</w:t>
      </w:r>
      <w:bookmarkEnd w:id="295"/>
    </w:p>
    <w:p w14:paraId="2B6EA31B" w14:textId="77777777" w:rsidR="00CE7E1B" w:rsidRPr="005F62F4" w:rsidRDefault="00CE7E1B" w:rsidP="00CE7E1B">
      <w:r w:rsidRPr="005F62F4">
        <w:br w:type="page"/>
      </w:r>
    </w:p>
    <w:p w14:paraId="06440CCD" w14:textId="68EB7183" w:rsidR="00D259A2" w:rsidRPr="005F62F4" w:rsidRDefault="00D259A2" w:rsidP="004F2931">
      <w:pPr>
        <w:pStyle w:val="Heading4"/>
      </w:pPr>
      <w:r w:rsidRPr="005F62F4">
        <w:lastRenderedPageBreak/>
        <w:t xml:space="preserve">De </w:t>
      </w:r>
      <w:proofErr w:type="spellStart"/>
      <w:r w:rsidRPr="005F62F4">
        <w:t>Maesschalck</w:t>
      </w:r>
      <w:proofErr w:type="spellEnd"/>
      <w:r w:rsidRPr="005F62F4">
        <w:t xml:space="preserve"> et al. (2017)</w:t>
      </w:r>
    </w:p>
    <w:p w14:paraId="7497A648" w14:textId="4110454B" w:rsidR="00C6418F" w:rsidRPr="005F62F4" w:rsidRDefault="00C6418F" w:rsidP="00D05D9A">
      <w:pPr>
        <w:pStyle w:val="Heading5"/>
        <w:rPr>
          <w:rStyle w:val="Strong"/>
          <w:b/>
        </w:rPr>
      </w:pPr>
      <w:r w:rsidRPr="005F62F4">
        <w:rPr>
          <w:rStyle w:val="Strong"/>
          <w:b/>
        </w:rPr>
        <w:t>Study type (level of evidence</w:t>
      </w:r>
      <w:r w:rsidRPr="005F62F4">
        <w:rPr>
          <w:rStyle w:val="Strong"/>
          <w:b/>
          <w:bCs w:val="0"/>
        </w:rPr>
        <w:t>)</w:t>
      </w:r>
    </w:p>
    <w:p w14:paraId="56706BB8" w14:textId="10768776" w:rsidR="00692802" w:rsidRPr="005F62F4" w:rsidRDefault="00127D46" w:rsidP="00127D46">
      <w:r w:rsidRPr="005F62F4">
        <w:t>Retrospective case-control (III-2)</w:t>
      </w:r>
    </w:p>
    <w:p w14:paraId="673552A9" w14:textId="77777777" w:rsidR="00134456" w:rsidRPr="005F62F4" w:rsidRDefault="00134456" w:rsidP="00D05D9A">
      <w:pPr>
        <w:pStyle w:val="Heading5"/>
      </w:pPr>
      <w:r w:rsidRPr="005F62F4">
        <w:t>Country</w:t>
      </w:r>
    </w:p>
    <w:p w14:paraId="55E3CE94" w14:textId="42997C86" w:rsidR="00692802" w:rsidRPr="005F62F4" w:rsidRDefault="00127D46" w:rsidP="00692802">
      <w:pPr>
        <w:pStyle w:val="Para"/>
        <w:rPr>
          <w:lang w:eastAsia="en-AU"/>
        </w:rPr>
      </w:pPr>
      <w:r w:rsidRPr="005F62F4">
        <w:rPr>
          <w:lang w:eastAsia="en-AU"/>
        </w:rPr>
        <w:t>Switzerland</w:t>
      </w:r>
    </w:p>
    <w:p w14:paraId="24411B59" w14:textId="0581A891" w:rsidR="00C6418F" w:rsidRPr="005F62F4" w:rsidRDefault="00C6418F" w:rsidP="00D05D9A">
      <w:pPr>
        <w:pStyle w:val="Heading5"/>
      </w:pPr>
      <w:r w:rsidRPr="005F62F4">
        <w:t>Study information</w:t>
      </w:r>
    </w:p>
    <w:p w14:paraId="4E0F7316" w14:textId="5BBB9199" w:rsidR="00692802" w:rsidRPr="005F62F4" w:rsidRDefault="00E22CFE" w:rsidP="00692802">
      <w:pPr>
        <w:pStyle w:val="Para"/>
        <w:rPr>
          <w:lang w:eastAsia="en-AU"/>
        </w:rPr>
      </w:pPr>
      <w:r w:rsidRPr="005F62F4">
        <w:rPr>
          <w:lang w:eastAsia="en-AU"/>
        </w:rPr>
        <w:t xml:space="preserve">The study included 18 patients who had undergone mandibular reconstruction with fibular free flap following segmental mandibulectomy between 2012 and 2014 at a hospital in Switzerland. Seven of these patients underwent mandibular reconstruction with fibular free flap with </w:t>
      </w:r>
      <w:r w:rsidR="00FE37E1" w:rsidRPr="005F62F4">
        <w:rPr>
          <w:lang w:eastAsia="en-AU"/>
        </w:rPr>
        <w:t>virtual surgical planning</w:t>
      </w:r>
      <w:r w:rsidRPr="005F62F4">
        <w:rPr>
          <w:lang w:eastAsia="en-AU"/>
        </w:rPr>
        <w:t xml:space="preserve"> using </w:t>
      </w:r>
      <w:proofErr w:type="spellStart"/>
      <w:r w:rsidRPr="005F62F4">
        <w:rPr>
          <w:lang w:eastAsia="en-AU"/>
        </w:rPr>
        <w:t>ProPlan</w:t>
      </w:r>
      <w:proofErr w:type="spellEnd"/>
      <w:r w:rsidRPr="005F62F4">
        <w:rPr>
          <w:lang w:eastAsia="en-AU"/>
        </w:rPr>
        <w:t xml:space="preserve"> CMF </w:t>
      </w:r>
      <w:r w:rsidR="00176DE8" w:rsidRPr="005F62F4">
        <w:rPr>
          <w:lang w:eastAsia="en-AU"/>
        </w:rPr>
        <w:t>which included</w:t>
      </w:r>
      <w:r w:rsidRPr="005F62F4">
        <w:rPr>
          <w:lang w:eastAsia="en-AU"/>
        </w:rPr>
        <w:t xml:space="preserve"> custom patient-specific plates and surgical cutting guides</w:t>
      </w:r>
      <w:r w:rsidR="00D878FF" w:rsidRPr="005F62F4">
        <w:rPr>
          <w:lang w:eastAsia="en-AU"/>
        </w:rPr>
        <w:t>.</w:t>
      </w:r>
      <w:r w:rsidRPr="005F62F4">
        <w:rPr>
          <w:lang w:eastAsia="en-AU"/>
        </w:rPr>
        <w:t xml:space="preserve"> </w:t>
      </w:r>
      <w:r w:rsidR="00D878FF" w:rsidRPr="005F62F4">
        <w:rPr>
          <w:lang w:eastAsia="en-AU"/>
        </w:rPr>
        <w:t>T</w:t>
      </w:r>
      <w:r w:rsidRPr="005F62F4">
        <w:rPr>
          <w:lang w:eastAsia="en-AU"/>
        </w:rPr>
        <w:t>he control group</w:t>
      </w:r>
      <w:r w:rsidR="00D878FF" w:rsidRPr="005F62F4">
        <w:rPr>
          <w:lang w:eastAsia="en-AU"/>
        </w:rPr>
        <w:t>,</w:t>
      </w:r>
      <w:r w:rsidRPr="005F62F4">
        <w:rPr>
          <w:lang w:eastAsia="en-AU"/>
        </w:rPr>
        <w:t xml:space="preserve"> consisting of 11 patients</w:t>
      </w:r>
      <w:r w:rsidR="00D878FF" w:rsidRPr="005F62F4">
        <w:rPr>
          <w:lang w:eastAsia="en-AU"/>
        </w:rPr>
        <w:t>,</w:t>
      </w:r>
      <w:r w:rsidRPr="005F62F4">
        <w:rPr>
          <w:lang w:eastAsia="en-AU"/>
        </w:rPr>
        <w:t xml:space="preserve"> </w:t>
      </w:r>
      <w:r w:rsidR="004067A2" w:rsidRPr="005F62F4">
        <w:rPr>
          <w:lang w:eastAsia="en-AU"/>
        </w:rPr>
        <w:t>was</w:t>
      </w:r>
      <w:r w:rsidRPr="005F62F4">
        <w:rPr>
          <w:lang w:eastAsia="en-AU"/>
        </w:rPr>
        <w:t xml:space="preserve"> treated through conventional surgery </w:t>
      </w:r>
      <w:r w:rsidR="00FE37E1" w:rsidRPr="005F62F4">
        <w:rPr>
          <w:lang w:eastAsia="en-AU"/>
        </w:rPr>
        <w:t>(</w:t>
      </w:r>
      <w:proofErr w:type="gramStart"/>
      <w:r w:rsidRPr="005F62F4">
        <w:rPr>
          <w:lang w:eastAsia="en-AU"/>
        </w:rPr>
        <w:t>i.e.</w:t>
      </w:r>
      <w:proofErr w:type="gramEnd"/>
      <w:r w:rsidRPr="005F62F4">
        <w:rPr>
          <w:lang w:eastAsia="en-AU"/>
        </w:rPr>
        <w:t xml:space="preserve"> a freehand technique</w:t>
      </w:r>
      <w:r w:rsidR="00FE37E1" w:rsidRPr="005F62F4">
        <w:rPr>
          <w:lang w:eastAsia="en-AU"/>
        </w:rPr>
        <w:t>)</w:t>
      </w:r>
      <w:r w:rsidRPr="005F62F4">
        <w:rPr>
          <w:lang w:eastAsia="en-AU"/>
        </w:rPr>
        <w:t>.</w:t>
      </w:r>
    </w:p>
    <w:p w14:paraId="46ECE617" w14:textId="6457A9BE" w:rsidR="00134456" w:rsidRPr="005F62F4" w:rsidRDefault="00134456" w:rsidP="00D05D9A">
      <w:pPr>
        <w:pStyle w:val="Heading5"/>
      </w:pPr>
      <w:r w:rsidRPr="005F62F4">
        <w:t>Outcomes</w:t>
      </w:r>
    </w:p>
    <w:p w14:paraId="46BECCC0" w14:textId="35D5B19E" w:rsidR="00692802" w:rsidRPr="005F62F4" w:rsidRDefault="00B37414" w:rsidP="00692802">
      <w:pPr>
        <w:pStyle w:val="Para"/>
        <w:rPr>
          <w:lang w:eastAsia="en-AU"/>
        </w:rPr>
      </w:pPr>
      <w:r w:rsidRPr="005F62F4">
        <w:t xml:space="preserve">Morphometric accuracy was assessed </w:t>
      </w:r>
      <w:r w:rsidR="00F65236" w:rsidRPr="005F62F4">
        <w:t>for both groups</w:t>
      </w:r>
      <w:r w:rsidRPr="005F62F4">
        <w:t xml:space="preserve"> by calculating differences in linear and angular parameters from the pre- and postoperative scans</w:t>
      </w:r>
      <w:r w:rsidR="00F65236" w:rsidRPr="005F62F4">
        <w:t xml:space="preserve"> </w:t>
      </w:r>
      <w:r w:rsidRPr="005F62F4">
        <w:t xml:space="preserve">to determine the difference between planned and actual osteotomy. </w:t>
      </w:r>
      <w:r w:rsidR="006A4939" w:rsidRPr="005F62F4">
        <w:t>Five</w:t>
      </w:r>
      <w:r w:rsidRPr="005F62F4">
        <w:t xml:space="preserve"> anatomical landmarks on the affected</w:t>
      </w:r>
      <w:r w:rsidR="000816D8" w:rsidRPr="005F62F4">
        <w:t xml:space="preserve"> and nonaffected side </w:t>
      </w:r>
      <w:r w:rsidR="006A4939" w:rsidRPr="005F62F4">
        <w:t xml:space="preserve">were </w:t>
      </w:r>
      <w:r w:rsidR="000816D8" w:rsidRPr="005F62F4">
        <w:t xml:space="preserve">used for measurements: mandibular ramus length, </w:t>
      </w:r>
      <w:r w:rsidR="004A1745" w:rsidRPr="005F62F4">
        <w:t xml:space="preserve">2 measures of </w:t>
      </w:r>
      <w:r w:rsidR="000816D8" w:rsidRPr="005F62F4">
        <w:t>mandibular body length, axial mandibular angle and sagittal mandibular angle.</w:t>
      </w:r>
      <w:r w:rsidR="002C2C5B" w:rsidRPr="005F62F4">
        <w:t xml:space="preserve"> </w:t>
      </w:r>
      <w:r w:rsidR="008C3F3C" w:rsidRPr="005F62F4">
        <w:t>Superimposition of the planned and postoperative images of the 3D mandible was also used to assess t</w:t>
      </w:r>
      <w:r w:rsidR="002C2C5B" w:rsidRPr="005F62F4">
        <w:t>he accuracy of the reconstruction plate positioning.</w:t>
      </w:r>
    </w:p>
    <w:p w14:paraId="7C820552" w14:textId="75C8328F" w:rsidR="00134456" w:rsidRPr="005F62F4" w:rsidRDefault="00134456" w:rsidP="00D05D9A">
      <w:pPr>
        <w:pStyle w:val="Heading5"/>
      </w:pPr>
      <w:r w:rsidRPr="005F62F4">
        <w:t>Findings</w:t>
      </w:r>
    </w:p>
    <w:p w14:paraId="1C155FC4" w14:textId="2F39FE68" w:rsidR="00692802" w:rsidRPr="005F62F4" w:rsidRDefault="006A4939" w:rsidP="00692802">
      <w:pPr>
        <w:pStyle w:val="Para"/>
        <w:rPr>
          <w:lang w:eastAsia="en-AU"/>
        </w:rPr>
      </w:pPr>
      <w:r w:rsidRPr="005F62F4">
        <w:rPr>
          <w:lang w:eastAsia="en-AU"/>
        </w:rPr>
        <w:t xml:space="preserve">The </w:t>
      </w:r>
      <w:r w:rsidR="009F2191" w:rsidRPr="005F62F4">
        <w:rPr>
          <w:lang w:eastAsia="en-AU"/>
        </w:rPr>
        <w:t>axial mandibular</w:t>
      </w:r>
      <w:r w:rsidRPr="005F62F4">
        <w:rPr>
          <w:lang w:eastAsia="en-AU"/>
        </w:rPr>
        <w:t xml:space="preserve"> angle </w:t>
      </w:r>
      <w:r w:rsidR="009F2191" w:rsidRPr="005F62F4">
        <w:rPr>
          <w:lang w:eastAsia="en-AU"/>
        </w:rPr>
        <w:t>on the nonaffected side</w:t>
      </w:r>
      <w:r w:rsidRPr="005F62F4">
        <w:rPr>
          <w:lang w:eastAsia="en-AU"/>
        </w:rPr>
        <w:t xml:space="preserve"> </w:t>
      </w:r>
      <w:r w:rsidR="00225C8E" w:rsidRPr="005F62F4">
        <w:rPr>
          <w:lang w:eastAsia="en-AU"/>
        </w:rPr>
        <w:t xml:space="preserve">was significantly lower in the </w:t>
      </w:r>
      <w:r w:rsidRPr="005F62F4">
        <w:rPr>
          <w:lang w:eastAsia="en-AU"/>
        </w:rPr>
        <w:t xml:space="preserve">intervention group </w:t>
      </w:r>
      <w:r w:rsidR="00225C8E" w:rsidRPr="005F62F4">
        <w:rPr>
          <w:lang w:eastAsia="en-AU"/>
        </w:rPr>
        <w:t xml:space="preserve">(mean difference of 1.0° between pre- and postoperative measurement) </w:t>
      </w:r>
      <w:r w:rsidRPr="005F62F4">
        <w:rPr>
          <w:lang w:eastAsia="en-AU"/>
        </w:rPr>
        <w:t>than the control group (2.9°</w:t>
      </w:r>
      <w:r w:rsidR="009F2191" w:rsidRPr="005F62F4">
        <w:rPr>
          <w:lang w:eastAsia="en-AU"/>
        </w:rPr>
        <w:t>;</w:t>
      </w:r>
      <w:r w:rsidRPr="005F62F4">
        <w:rPr>
          <w:lang w:eastAsia="en-AU"/>
        </w:rPr>
        <w:t xml:space="preserve"> p</w:t>
      </w:r>
      <w:r w:rsidR="005F6896" w:rsidRPr="005F62F4">
        <w:rPr>
          <w:lang w:eastAsia="en-AU"/>
        </w:rPr>
        <w:t> = </w:t>
      </w:r>
      <w:r w:rsidRPr="005F62F4">
        <w:rPr>
          <w:lang w:eastAsia="en-AU"/>
        </w:rPr>
        <w:t>0.03</w:t>
      </w:r>
      <w:r w:rsidR="009F2191" w:rsidRPr="005F62F4">
        <w:rPr>
          <w:lang w:eastAsia="en-AU"/>
        </w:rPr>
        <w:t>)</w:t>
      </w:r>
      <w:r w:rsidRPr="005F62F4">
        <w:rPr>
          <w:lang w:eastAsia="en-AU"/>
        </w:rPr>
        <w:t xml:space="preserve">. </w:t>
      </w:r>
      <w:r w:rsidR="00854F30" w:rsidRPr="005F62F4">
        <w:rPr>
          <w:lang w:eastAsia="en-AU"/>
        </w:rPr>
        <w:t xml:space="preserve">There were no </w:t>
      </w:r>
      <w:r w:rsidR="00225C8E" w:rsidRPr="005F62F4">
        <w:rPr>
          <w:lang w:eastAsia="en-AU"/>
        </w:rPr>
        <w:t>other</w:t>
      </w:r>
      <w:r w:rsidR="00854F30" w:rsidRPr="005F62F4">
        <w:rPr>
          <w:lang w:eastAsia="en-AU"/>
        </w:rPr>
        <w:t xml:space="preserve"> statistically significant differences between the pre- and postoperative measurements </w:t>
      </w:r>
      <w:r w:rsidRPr="005F62F4">
        <w:rPr>
          <w:lang w:eastAsia="en-AU"/>
        </w:rPr>
        <w:t>in either group</w:t>
      </w:r>
      <w:r w:rsidR="009F2191" w:rsidRPr="005F62F4">
        <w:rPr>
          <w:lang w:eastAsia="en-AU"/>
        </w:rPr>
        <w:t xml:space="preserve">, </w:t>
      </w:r>
      <w:proofErr w:type="gramStart"/>
      <w:r w:rsidR="009F2191" w:rsidRPr="005F62F4">
        <w:rPr>
          <w:lang w:eastAsia="en-AU"/>
        </w:rPr>
        <w:t>and</w:t>
      </w:r>
      <w:proofErr w:type="gramEnd"/>
      <w:r w:rsidR="009F2191" w:rsidRPr="005F62F4">
        <w:rPr>
          <w:lang w:eastAsia="en-AU"/>
        </w:rPr>
        <w:t xml:space="preserve"> n</w:t>
      </w:r>
      <w:r w:rsidR="00854F30" w:rsidRPr="005F62F4">
        <w:rPr>
          <w:lang w:eastAsia="en-AU"/>
        </w:rPr>
        <w:t>o differences in overall accuracy.</w:t>
      </w:r>
    </w:p>
    <w:p w14:paraId="4B6C288A" w14:textId="64155DF5" w:rsidR="00692802" w:rsidRPr="005F62F4" w:rsidRDefault="00134456" w:rsidP="00D05D9A">
      <w:pPr>
        <w:pStyle w:val="Heading5"/>
      </w:pPr>
      <w:r w:rsidRPr="005F62F4">
        <w:t>Limitations</w:t>
      </w:r>
    </w:p>
    <w:p w14:paraId="78EE0511" w14:textId="13107D10" w:rsidR="00692802" w:rsidRPr="005F62F4" w:rsidRDefault="00BE3F60" w:rsidP="00692802">
      <w:pPr>
        <w:pStyle w:val="Para"/>
        <w:rPr>
          <w:lang w:eastAsia="en-AU"/>
        </w:rPr>
      </w:pPr>
      <w:r w:rsidRPr="005F62F4">
        <w:rPr>
          <w:lang w:eastAsia="en-AU"/>
        </w:rPr>
        <w:t xml:space="preserve">The limited number of patients and the retrospective nature of the study were identified </w:t>
      </w:r>
      <w:r w:rsidR="007A2C27" w:rsidRPr="005F62F4">
        <w:rPr>
          <w:lang w:eastAsia="en-AU"/>
        </w:rPr>
        <w:t>as limitations</w:t>
      </w:r>
      <w:r w:rsidRPr="005F62F4">
        <w:rPr>
          <w:lang w:eastAsia="en-AU"/>
        </w:rPr>
        <w:t xml:space="preserve"> by the authors</w:t>
      </w:r>
      <w:r w:rsidR="007A2C27" w:rsidRPr="005F62F4">
        <w:rPr>
          <w:lang w:eastAsia="en-AU"/>
        </w:rPr>
        <w:t xml:space="preserve">, who noted </w:t>
      </w:r>
      <w:r w:rsidRPr="005F62F4">
        <w:rPr>
          <w:lang w:eastAsia="en-AU"/>
        </w:rPr>
        <w:t xml:space="preserve">that prospective studies comparing the </w:t>
      </w:r>
      <w:r w:rsidR="007A2C27" w:rsidRPr="005F62F4">
        <w:rPr>
          <w:lang w:eastAsia="en-AU"/>
        </w:rPr>
        <w:t xml:space="preserve">2 </w:t>
      </w:r>
      <w:r w:rsidRPr="005F62F4">
        <w:rPr>
          <w:lang w:eastAsia="en-AU"/>
        </w:rPr>
        <w:t>surgical techniques are required to draw definitive conclusions.</w:t>
      </w:r>
    </w:p>
    <w:p w14:paraId="06C08028" w14:textId="637A23D6" w:rsidR="00134456" w:rsidRPr="005F62F4" w:rsidRDefault="00134456" w:rsidP="00D05D9A">
      <w:pPr>
        <w:pStyle w:val="Heading5"/>
      </w:pPr>
      <w:r w:rsidRPr="005F62F4">
        <w:t>Conflicts of interest</w:t>
      </w:r>
    </w:p>
    <w:p w14:paraId="47829100" w14:textId="32B89FC4" w:rsidR="00BE3F60" w:rsidRPr="005F62F4" w:rsidRDefault="00BE3F60" w:rsidP="00BE3F60">
      <w:pPr>
        <w:pStyle w:val="Para"/>
        <w:rPr>
          <w:lang w:eastAsia="en-AU"/>
        </w:rPr>
      </w:pPr>
      <w:r w:rsidRPr="005F62F4">
        <w:rPr>
          <w:lang w:eastAsia="en-AU"/>
        </w:rPr>
        <w:t>Not reported.</w:t>
      </w:r>
    </w:p>
    <w:p w14:paraId="48918E2F" w14:textId="706DBF5F" w:rsidR="003A1FEB" w:rsidRPr="005F62F4" w:rsidRDefault="003A1FEB">
      <w:pPr>
        <w:spacing w:after="200" w:line="276" w:lineRule="auto"/>
        <w:rPr>
          <w:rFonts w:eastAsia="MS Mincho" w:cs="Tahoma"/>
          <w:szCs w:val="20"/>
        </w:rPr>
      </w:pPr>
      <w:r w:rsidRPr="005F62F4">
        <w:br w:type="page"/>
      </w:r>
    </w:p>
    <w:p w14:paraId="652E5EB2" w14:textId="582268ED" w:rsidR="0023396E" w:rsidRPr="005F62F4" w:rsidRDefault="0023396E" w:rsidP="004F2931">
      <w:pPr>
        <w:pStyle w:val="Heading4"/>
      </w:pPr>
      <w:r w:rsidRPr="005F62F4">
        <w:lastRenderedPageBreak/>
        <w:t>Johal et al. (202</w:t>
      </w:r>
      <w:r w:rsidR="00164536" w:rsidRPr="005F62F4">
        <w:t>2</w:t>
      </w:r>
      <w:r w:rsidRPr="005F62F4">
        <w:t>)</w:t>
      </w:r>
    </w:p>
    <w:p w14:paraId="6C61EA25" w14:textId="5C7DE7B1" w:rsidR="00692802" w:rsidRPr="005F62F4" w:rsidRDefault="00692802" w:rsidP="00D05D9A">
      <w:pPr>
        <w:pStyle w:val="Heading5"/>
        <w:rPr>
          <w:rStyle w:val="Strong"/>
          <w:b/>
          <w:bCs w:val="0"/>
        </w:rPr>
      </w:pPr>
      <w:r w:rsidRPr="005F62F4">
        <w:rPr>
          <w:rStyle w:val="Strong"/>
          <w:b/>
          <w:bCs w:val="0"/>
        </w:rPr>
        <w:t>Study type (level of evidence)</w:t>
      </w:r>
    </w:p>
    <w:p w14:paraId="036087BA" w14:textId="5851B97E" w:rsidR="00692802" w:rsidRPr="005F62F4" w:rsidRDefault="00B548E5" w:rsidP="00692802">
      <w:pPr>
        <w:pStyle w:val="Para"/>
        <w:rPr>
          <w:lang w:eastAsia="en-AU"/>
        </w:rPr>
      </w:pPr>
      <w:r w:rsidRPr="005F62F4">
        <w:rPr>
          <w:lang w:eastAsia="en-AU"/>
        </w:rPr>
        <w:t>Retrospective case-control (III-2)</w:t>
      </w:r>
    </w:p>
    <w:p w14:paraId="2943AED5" w14:textId="77777777" w:rsidR="00692802" w:rsidRPr="005F62F4" w:rsidRDefault="00692802" w:rsidP="00D05D9A">
      <w:pPr>
        <w:pStyle w:val="Heading5"/>
      </w:pPr>
      <w:r w:rsidRPr="005F62F4">
        <w:t>Country</w:t>
      </w:r>
    </w:p>
    <w:p w14:paraId="2496E710" w14:textId="555F2CFF" w:rsidR="00692802" w:rsidRPr="005F62F4" w:rsidRDefault="00B548E5" w:rsidP="00692802">
      <w:pPr>
        <w:pStyle w:val="Para"/>
        <w:rPr>
          <w:lang w:eastAsia="en-AU"/>
        </w:rPr>
      </w:pPr>
      <w:r w:rsidRPr="005F62F4">
        <w:rPr>
          <w:lang w:eastAsia="en-AU"/>
        </w:rPr>
        <w:t>Australia</w:t>
      </w:r>
    </w:p>
    <w:p w14:paraId="4C2B27CE" w14:textId="77777777" w:rsidR="00692802" w:rsidRPr="005F62F4" w:rsidRDefault="00692802" w:rsidP="00D05D9A">
      <w:pPr>
        <w:pStyle w:val="Heading5"/>
      </w:pPr>
      <w:r w:rsidRPr="005F62F4">
        <w:t>Study information</w:t>
      </w:r>
    </w:p>
    <w:p w14:paraId="2EA2DF41" w14:textId="1DD08FF8" w:rsidR="00692802" w:rsidRPr="005F62F4" w:rsidRDefault="00993CCB" w:rsidP="00692802">
      <w:pPr>
        <w:pStyle w:val="Para"/>
        <w:rPr>
          <w:lang w:eastAsia="en-AU"/>
        </w:rPr>
      </w:pPr>
      <w:r w:rsidRPr="005F62F4">
        <w:rPr>
          <w:lang w:eastAsia="en-AU"/>
        </w:rPr>
        <w:t xml:space="preserve">The study sample included </w:t>
      </w:r>
      <w:r w:rsidR="007A2C27" w:rsidRPr="005F62F4">
        <w:rPr>
          <w:lang w:eastAsia="en-AU"/>
        </w:rPr>
        <w:t>44</w:t>
      </w:r>
      <w:r w:rsidR="00860F21" w:rsidRPr="005F62F4">
        <w:rPr>
          <w:lang w:eastAsia="en-AU"/>
        </w:rPr>
        <w:t xml:space="preserve"> patients who had undergone virtually</w:t>
      </w:r>
      <w:r w:rsidR="00411798" w:rsidRPr="005F62F4">
        <w:rPr>
          <w:lang w:eastAsia="en-AU"/>
        </w:rPr>
        <w:t xml:space="preserve"> </w:t>
      </w:r>
      <w:r w:rsidR="00860F21" w:rsidRPr="005F62F4">
        <w:rPr>
          <w:lang w:eastAsia="en-AU"/>
        </w:rPr>
        <w:t xml:space="preserve">planned maxillomandibular reconstruction between January 2012 and July 2020. </w:t>
      </w:r>
      <w:r w:rsidR="00EB5D7B" w:rsidRPr="005F62F4">
        <w:rPr>
          <w:lang w:eastAsia="en-AU"/>
        </w:rPr>
        <w:t>Thirty-two</w:t>
      </w:r>
      <w:r w:rsidR="00860F21" w:rsidRPr="005F62F4">
        <w:rPr>
          <w:lang w:eastAsia="en-AU"/>
        </w:rPr>
        <w:t xml:space="preserve"> of these patients</w:t>
      </w:r>
      <w:r w:rsidR="00EB5D7B" w:rsidRPr="005F62F4">
        <w:rPr>
          <w:lang w:eastAsia="en-AU"/>
        </w:rPr>
        <w:t xml:space="preserve"> </w:t>
      </w:r>
      <w:r w:rsidR="00B2264C" w:rsidRPr="005F62F4">
        <w:rPr>
          <w:lang w:eastAsia="en-AU"/>
        </w:rPr>
        <w:t>underwent</w:t>
      </w:r>
      <w:r w:rsidR="00860F21" w:rsidRPr="005F62F4">
        <w:rPr>
          <w:lang w:eastAsia="en-AU"/>
        </w:rPr>
        <w:t xml:space="preserve"> commercial </w:t>
      </w:r>
      <w:r w:rsidR="00960FB0" w:rsidRPr="005F62F4">
        <w:rPr>
          <w:lang w:eastAsia="en-AU"/>
        </w:rPr>
        <w:t>virtual surgical planning</w:t>
      </w:r>
      <w:r w:rsidR="00860F21" w:rsidRPr="005F62F4">
        <w:rPr>
          <w:lang w:eastAsia="en-AU"/>
        </w:rPr>
        <w:t xml:space="preserve"> </w:t>
      </w:r>
      <w:r w:rsidR="00960FB0" w:rsidRPr="005F62F4">
        <w:rPr>
          <w:lang w:eastAsia="en-AU"/>
        </w:rPr>
        <w:t>through</w:t>
      </w:r>
      <w:r w:rsidR="00860F21" w:rsidRPr="005F62F4">
        <w:rPr>
          <w:lang w:eastAsia="en-AU"/>
        </w:rPr>
        <w:t xml:space="preserve"> Synthes </w:t>
      </w:r>
      <w:proofErr w:type="spellStart"/>
      <w:r w:rsidR="00860F21" w:rsidRPr="005F62F4">
        <w:rPr>
          <w:lang w:eastAsia="en-AU"/>
        </w:rPr>
        <w:t>Proplan</w:t>
      </w:r>
      <w:proofErr w:type="spellEnd"/>
      <w:r w:rsidR="00860F21" w:rsidRPr="005F62F4">
        <w:rPr>
          <w:lang w:eastAsia="en-AU"/>
        </w:rPr>
        <w:t xml:space="preserve"> or </w:t>
      </w:r>
      <w:proofErr w:type="spellStart"/>
      <w:r w:rsidR="001639FB" w:rsidRPr="005F62F4">
        <w:rPr>
          <w:lang w:eastAsia="en-AU"/>
        </w:rPr>
        <w:t>Tru</w:t>
      </w:r>
      <w:r w:rsidR="009A2DE2" w:rsidRPr="005F62F4">
        <w:rPr>
          <w:lang w:eastAsia="en-AU"/>
        </w:rPr>
        <w:t>m</w:t>
      </w:r>
      <w:r w:rsidR="001639FB" w:rsidRPr="005F62F4">
        <w:rPr>
          <w:lang w:eastAsia="en-AU"/>
        </w:rPr>
        <w:t>atch</w:t>
      </w:r>
      <w:proofErr w:type="spellEnd"/>
      <w:r w:rsidR="001639FB" w:rsidRPr="005F62F4">
        <w:rPr>
          <w:lang w:eastAsia="en-AU"/>
        </w:rPr>
        <w:t xml:space="preserve"> </w:t>
      </w:r>
      <w:r w:rsidR="00860F21" w:rsidRPr="005F62F4">
        <w:rPr>
          <w:lang w:eastAsia="en-AU"/>
        </w:rPr>
        <w:t>using Materialise software. For the</w:t>
      </w:r>
      <w:r w:rsidR="001E1004" w:rsidRPr="005F62F4">
        <w:rPr>
          <w:lang w:eastAsia="en-AU"/>
        </w:rPr>
        <w:t xml:space="preserve"> other 12 patients, in-house </w:t>
      </w:r>
      <w:r w:rsidR="00960FB0" w:rsidRPr="005F62F4">
        <w:rPr>
          <w:lang w:eastAsia="en-AU"/>
        </w:rPr>
        <w:t>virtual surgical planning</w:t>
      </w:r>
      <w:r w:rsidR="001E1004" w:rsidRPr="005F62F4">
        <w:rPr>
          <w:lang w:eastAsia="en-AU"/>
        </w:rPr>
        <w:t xml:space="preserve"> </w:t>
      </w:r>
      <w:r w:rsidR="00EB5D7B" w:rsidRPr="005F62F4">
        <w:rPr>
          <w:lang w:eastAsia="en-AU"/>
        </w:rPr>
        <w:t xml:space="preserve">was conducted </w:t>
      </w:r>
      <w:r w:rsidRPr="005F62F4">
        <w:rPr>
          <w:lang w:eastAsia="en-AU"/>
        </w:rPr>
        <w:t>using</w:t>
      </w:r>
      <w:r w:rsidR="001E1004" w:rsidRPr="005F62F4">
        <w:rPr>
          <w:lang w:eastAsia="en-AU"/>
        </w:rPr>
        <w:t xml:space="preserve"> 3D Slicer 4.0, Materialise </w:t>
      </w:r>
      <w:proofErr w:type="spellStart"/>
      <w:r w:rsidR="001E1004" w:rsidRPr="005F62F4">
        <w:rPr>
          <w:lang w:eastAsia="en-AU"/>
        </w:rPr>
        <w:t>InPrint</w:t>
      </w:r>
      <w:proofErr w:type="spellEnd"/>
      <w:r w:rsidR="001E1004" w:rsidRPr="005F62F4">
        <w:rPr>
          <w:lang w:eastAsia="en-AU"/>
        </w:rPr>
        <w:t xml:space="preserve"> and Autodesk 3dsMax </w:t>
      </w:r>
      <w:r w:rsidR="007067D1" w:rsidRPr="005F62F4">
        <w:rPr>
          <w:lang w:eastAsia="en-AU"/>
        </w:rPr>
        <w:t>2016–</w:t>
      </w:r>
      <w:r w:rsidR="001E1004" w:rsidRPr="005F62F4">
        <w:rPr>
          <w:lang w:eastAsia="en-AU"/>
        </w:rPr>
        <w:t>2020 software.</w:t>
      </w:r>
    </w:p>
    <w:p w14:paraId="395B9D27" w14:textId="77777777" w:rsidR="00692802" w:rsidRPr="005F62F4" w:rsidRDefault="00692802" w:rsidP="00D05D9A">
      <w:pPr>
        <w:pStyle w:val="Heading5"/>
      </w:pPr>
      <w:r w:rsidRPr="005F62F4">
        <w:t>Outcomes</w:t>
      </w:r>
    </w:p>
    <w:p w14:paraId="0AA8A129" w14:textId="1ECBBED2" w:rsidR="00692802" w:rsidRPr="005F62F4" w:rsidRDefault="00345320" w:rsidP="00692802">
      <w:pPr>
        <w:pStyle w:val="Para"/>
        <w:rPr>
          <w:lang w:eastAsia="en-AU"/>
        </w:rPr>
      </w:pPr>
      <w:r w:rsidRPr="005F62F4">
        <w:rPr>
          <w:lang w:eastAsia="en-AU"/>
        </w:rPr>
        <w:t xml:space="preserve">Accuracy </w:t>
      </w:r>
      <w:r w:rsidR="00C33360" w:rsidRPr="005F62F4">
        <w:rPr>
          <w:lang w:eastAsia="en-AU"/>
        </w:rPr>
        <w:t xml:space="preserve">was </w:t>
      </w:r>
      <w:r w:rsidRPr="005F62F4">
        <w:rPr>
          <w:lang w:eastAsia="en-AU"/>
        </w:rPr>
        <w:t xml:space="preserve">measured by comparing the length of bone segments, angle between adjacent segments and intercondylar and intergonial angle distances on the preoperative digital plan compared to the postoperative CT scan. </w:t>
      </w:r>
      <w:r w:rsidR="00EB5D7B" w:rsidRPr="005F62F4">
        <w:rPr>
          <w:lang w:eastAsia="en-AU"/>
        </w:rPr>
        <w:t>P</w:t>
      </w:r>
      <w:r w:rsidRPr="005F62F4">
        <w:rPr>
          <w:lang w:eastAsia="en-AU"/>
        </w:rPr>
        <w:t>redictors of reconstruction errors were also investigated.</w:t>
      </w:r>
    </w:p>
    <w:p w14:paraId="023B5A05" w14:textId="77777777" w:rsidR="00692802" w:rsidRPr="005F62F4" w:rsidRDefault="00692802" w:rsidP="00D05D9A">
      <w:pPr>
        <w:pStyle w:val="Heading5"/>
      </w:pPr>
      <w:r w:rsidRPr="005F62F4">
        <w:t>Findings</w:t>
      </w:r>
    </w:p>
    <w:p w14:paraId="39F9272B" w14:textId="04667BCE" w:rsidR="00692802" w:rsidRPr="005F62F4" w:rsidRDefault="003318ED" w:rsidP="00692802">
      <w:pPr>
        <w:pStyle w:val="Para"/>
        <w:rPr>
          <w:lang w:eastAsia="en-AU"/>
        </w:rPr>
      </w:pPr>
      <w:r w:rsidRPr="005F62F4">
        <w:rPr>
          <w:lang w:eastAsia="en-AU"/>
        </w:rPr>
        <w:t xml:space="preserve">There </w:t>
      </w:r>
      <w:proofErr w:type="gramStart"/>
      <w:r w:rsidRPr="005F62F4">
        <w:rPr>
          <w:lang w:eastAsia="en-AU"/>
        </w:rPr>
        <w:t>was</w:t>
      </w:r>
      <w:proofErr w:type="gramEnd"/>
      <w:r w:rsidRPr="005F62F4">
        <w:rPr>
          <w:lang w:eastAsia="en-AU"/>
        </w:rPr>
        <w:t xml:space="preserve"> no significant difference</w:t>
      </w:r>
      <w:r w:rsidR="00B10C25" w:rsidRPr="005F62F4">
        <w:rPr>
          <w:lang w:eastAsia="en-AU"/>
        </w:rPr>
        <w:t xml:space="preserve">s </w:t>
      </w:r>
      <w:r w:rsidR="00A64DB0" w:rsidRPr="005F62F4">
        <w:rPr>
          <w:lang w:eastAsia="en-AU"/>
        </w:rPr>
        <w:t xml:space="preserve">in accuracy </w:t>
      </w:r>
      <w:r w:rsidR="00B10C25" w:rsidRPr="005F62F4">
        <w:rPr>
          <w:lang w:eastAsia="en-AU"/>
        </w:rPr>
        <w:t xml:space="preserve">between the intervention and control group </w:t>
      </w:r>
      <w:r w:rsidRPr="005F62F4">
        <w:rPr>
          <w:lang w:eastAsia="en-AU"/>
        </w:rPr>
        <w:t xml:space="preserve">in </w:t>
      </w:r>
      <w:r w:rsidR="00A64DB0" w:rsidRPr="005F62F4">
        <w:rPr>
          <w:lang w:eastAsia="en-AU"/>
        </w:rPr>
        <w:t>relation to</w:t>
      </w:r>
      <w:r w:rsidR="00B10C25" w:rsidRPr="005F62F4">
        <w:rPr>
          <w:lang w:eastAsia="en-AU"/>
        </w:rPr>
        <w:t xml:space="preserve"> bone segment length (p</w:t>
      </w:r>
      <w:r w:rsidR="005F6896" w:rsidRPr="005F62F4">
        <w:rPr>
          <w:lang w:eastAsia="en-AU"/>
        </w:rPr>
        <w:t> = </w:t>
      </w:r>
      <w:r w:rsidR="00B10C25" w:rsidRPr="005F62F4">
        <w:rPr>
          <w:lang w:eastAsia="en-AU"/>
        </w:rPr>
        <w:t>0.1)</w:t>
      </w:r>
      <w:r w:rsidR="00A64DB0" w:rsidRPr="005F62F4">
        <w:rPr>
          <w:lang w:eastAsia="en-AU"/>
        </w:rPr>
        <w:t>, angle between segments (p</w:t>
      </w:r>
      <w:r w:rsidR="005F6896" w:rsidRPr="005F62F4">
        <w:rPr>
          <w:lang w:eastAsia="en-AU"/>
        </w:rPr>
        <w:t> = </w:t>
      </w:r>
      <w:r w:rsidR="00A64DB0" w:rsidRPr="005F62F4">
        <w:rPr>
          <w:lang w:eastAsia="en-AU"/>
        </w:rPr>
        <w:t>0.92) or</w:t>
      </w:r>
      <w:r w:rsidRPr="005F62F4">
        <w:rPr>
          <w:lang w:eastAsia="en-AU"/>
        </w:rPr>
        <w:t xml:space="preserve"> </w:t>
      </w:r>
      <w:r w:rsidR="00D929FC" w:rsidRPr="005F62F4">
        <w:rPr>
          <w:lang w:eastAsia="en-AU"/>
        </w:rPr>
        <w:t>intercondylar and intergonial distance</w:t>
      </w:r>
      <w:r w:rsidRPr="005F62F4">
        <w:rPr>
          <w:lang w:eastAsia="en-AU"/>
        </w:rPr>
        <w:t xml:space="preserve"> </w:t>
      </w:r>
      <w:r w:rsidR="00B10C25" w:rsidRPr="005F62F4">
        <w:rPr>
          <w:lang w:eastAsia="en-AU"/>
        </w:rPr>
        <w:t>(p</w:t>
      </w:r>
      <w:r w:rsidR="005F6896" w:rsidRPr="005F62F4">
        <w:rPr>
          <w:lang w:eastAsia="en-AU"/>
        </w:rPr>
        <w:t> = </w:t>
      </w:r>
      <w:r w:rsidR="00D929FC" w:rsidRPr="005F62F4">
        <w:rPr>
          <w:lang w:eastAsia="en-AU"/>
        </w:rPr>
        <w:t xml:space="preserve">0.76). </w:t>
      </w:r>
      <w:r w:rsidR="00734D68" w:rsidRPr="005F62F4">
        <w:rPr>
          <w:lang w:eastAsia="en-AU"/>
        </w:rPr>
        <w:t>Pr</w:t>
      </w:r>
      <w:r w:rsidR="00A64DB0" w:rsidRPr="005F62F4">
        <w:rPr>
          <w:lang w:eastAsia="en-AU"/>
        </w:rPr>
        <w:t>edic</w:t>
      </w:r>
      <w:r w:rsidR="00734D68" w:rsidRPr="005F62F4">
        <w:rPr>
          <w:lang w:eastAsia="en-AU"/>
        </w:rPr>
        <w:t xml:space="preserve">tors of error </w:t>
      </w:r>
      <w:r w:rsidR="00BB4B69" w:rsidRPr="005F62F4">
        <w:rPr>
          <w:lang w:eastAsia="en-AU"/>
        </w:rPr>
        <w:t xml:space="preserve">were factors related to complexity, including </w:t>
      </w:r>
      <w:r w:rsidR="00734D68" w:rsidRPr="005F62F4">
        <w:rPr>
          <w:lang w:eastAsia="en-AU"/>
        </w:rPr>
        <w:t xml:space="preserve">indication for surgery, timing </w:t>
      </w:r>
      <w:r w:rsidR="00BB4B69" w:rsidRPr="005F62F4">
        <w:rPr>
          <w:lang w:eastAsia="en-AU"/>
        </w:rPr>
        <w:t xml:space="preserve">or number </w:t>
      </w:r>
      <w:r w:rsidR="00734D68" w:rsidRPr="005F62F4">
        <w:rPr>
          <w:lang w:eastAsia="en-AU"/>
        </w:rPr>
        <w:t>of reconstruction</w:t>
      </w:r>
      <w:r w:rsidR="00BB4B69" w:rsidRPr="005F62F4">
        <w:rPr>
          <w:lang w:eastAsia="en-AU"/>
        </w:rPr>
        <w:t>s,</w:t>
      </w:r>
      <w:r w:rsidR="00734D68" w:rsidRPr="005F62F4">
        <w:rPr>
          <w:lang w:eastAsia="en-AU"/>
        </w:rPr>
        <w:t xml:space="preserve"> and number of segments</w:t>
      </w:r>
      <w:r w:rsidR="00BB4B69" w:rsidRPr="005F62F4">
        <w:rPr>
          <w:lang w:eastAsia="en-AU"/>
        </w:rPr>
        <w:t>.</w:t>
      </w:r>
    </w:p>
    <w:p w14:paraId="26605CB0" w14:textId="77777777" w:rsidR="00692802" w:rsidRPr="005F62F4" w:rsidRDefault="00692802" w:rsidP="00D05D9A">
      <w:pPr>
        <w:pStyle w:val="Heading5"/>
      </w:pPr>
      <w:r w:rsidRPr="005F62F4">
        <w:t>Limitations</w:t>
      </w:r>
    </w:p>
    <w:p w14:paraId="59D0A207" w14:textId="033B9185" w:rsidR="00692802" w:rsidRPr="005F62F4" w:rsidRDefault="00DE19E3" w:rsidP="00692802">
      <w:pPr>
        <w:pStyle w:val="Para"/>
        <w:rPr>
          <w:lang w:eastAsia="en-AU"/>
        </w:rPr>
      </w:pPr>
      <w:r w:rsidRPr="005F62F4">
        <w:rPr>
          <w:lang w:eastAsia="en-AU"/>
        </w:rPr>
        <w:t xml:space="preserve">The sample size was small and there was selection bias towards patients who had undergone recent CT scanning </w:t>
      </w:r>
      <w:r w:rsidR="00765C5B" w:rsidRPr="005F62F4">
        <w:rPr>
          <w:lang w:eastAsia="en-AU"/>
        </w:rPr>
        <w:t>which led</w:t>
      </w:r>
      <w:r w:rsidRPr="005F62F4">
        <w:rPr>
          <w:lang w:eastAsia="en-AU"/>
        </w:rPr>
        <w:t xml:space="preserve"> to 42% attrition from the total cohort of those who had undergone </w:t>
      </w:r>
      <w:r w:rsidR="00765C5B" w:rsidRPr="005F62F4">
        <w:rPr>
          <w:lang w:eastAsia="en-AU"/>
        </w:rPr>
        <w:t>virtual surgical planning</w:t>
      </w:r>
      <w:r w:rsidRPr="005F62F4">
        <w:rPr>
          <w:lang w:eastAsia="en-AU"/>
        </w:rPr>
        <w:t xml:space="preserve">. The results </w:t>
      </w:r>
      <w:r w:rsidR="00BB4B69" w:rsidRPr="005F62F4">
        <w:rPr>
          <w:lang w:eastAsia="en-AU"/>
        </w:rPr>
        <w:t>may</w:t>
      </w:r>
      <w:r w:rsidRPr="005F62F4">
        <w:rPr>
          <w:lang w:eastAsia="en-AU"/>
        </w:rPr>
        <w:t xml:space="preserve"> therefore not be generalisable to other </w:t>
      </w:r>
      <w:r w:rsidR="00765C5B" w:rsidRPr="005F62F4">
        <w:rPr>
          <w:lang w:eastAsia="en-AU"/>
        </w:rPr>
        <w:t>virtual surgical planning methods</w:t>
      </w:r>
      <w:r w:rsidRPr="005F62F4">
        <w:rPr>
          <w:lang w:eastAsia="en-AU"/>
        </w:rPr>
        <w:t xml:space="preserve"> or other surgeons.</w:t>
      </w:r>
    </w:p>
    <w:p w14:paraId="33E4DB6F" w14:textId="77777777" w:rsidR="00692802" w:rsidRPr="005F62F4" w:rsidRDefault="00692802" w:rsidP="00D05D9A">
      <w:pPr>
        <w:pStyle w:val="Heading5"/>
      </w:pPr>
      <w:r w:rsidRPr="005F62F4">
        <w:t>Conflicts of interest</w:t>
      </w:r>
    </w:p>
    <w:p w14:paraId="32A7C442" w14:textId="7432749E" w:rsidR="00692802" w:rsidRPr="005F62F4" w:rsidRDefault="00DE19E3" w:rsidP="00692802">
      <w:pPr>
        <w:pStyle w:val="Para"/>
        <w:rPr>
          <w:lang w:eastAsia="en-AU"/>
        </w:rPr>
      </w:pPr>
      <w:r w:rsidRPr="005F62F4">
        <w:rPr>
          <w:lang w:eastAsia="en-AU"/>
        </w:rPr>
        <w:t>Nil reported.</w:t>
      </w:r>
    </w:p>
    <w:p w14:paraId="3943E479" w14:textId="77777777" w:rsidR="00D72C85" w:rsidRPr="005F62F4" w:rsidRDefault="00D72C85" w:rsidP="003A1FEB">
      <w:r w:rsidRPr="005F62F4">
        <w:br w:type="page"/>
      </w:r>
    </w:p>
    <w:p w14:paraId="4AF2896A" w14:textId="5D68535B" w:rsidR="007D55D2" w:rsidRPr="005F62F4" w:rsidRDefault="007D55D2" w:rsidP="004F2931">
      <w:pPr>
        <w:pStyle w:val="Heading4"/>
      </w:pPr>
      <w:r w:rsidRPr="005F62F4">
        <w:lastRenderedPageBreak/>
        <w:t>Mazzola et al. (20</w:t>
      </w:r>
      <w:r w:rsidR="00FE3001" w:rsidRPr="005F62F4">
        <w:t>20</w:t>
      </w:r>
      <w:r w:rsidRPr="005F62F4">
        <w:t>)</w:t>
      </w:r>
    </w:p>
    <w:p w14:paraId="6BB65816" w14:textId="77777777" w:rsidR="00D259A2" w:rsidRPr="005F62F4" w:rsidRDefault="00D259A2" w:rsidP="00CE7E1B">
      <w:pPr>
        <w:pStyle w:val="Heading5"/>
        <w:spacing w:before="120" w:after="60"/>
        <w:rPr>
          <w:rStyle w:val="Strong"/>
          <w:b/>
          <w:bCs w:val="0"/>
        </w:rPr>
      </w:pPr>
      <w:r w:rsidRPr="005F62F4">
        <w:rPr>
          <w:rStyle w:val="Strong"/>
          <w:b/>
          <w:bCs w:val="0"/>
        </w:rPr>
        <w:t>Study type (level of evidence)</w:t>
      </w:r>
    </w:p>
    <w:p w14:paraId="4D5E233A" w14:textId="22093864" w:rsidR="00D259A2" w:rsidRPr="005F62F4" w:rsidRDefault="007D55D2" w:rsidP="00C853D4">
      <w:r w:rsidRPr="005F62F4">
        <w:t>Retrospective case-control (III-2)</w:t>
      </w:r>
    </w:p>
    <w:p w14:paraId="2F7A3CD1" w14:textId="77777777" w:rsidR="00D259A2" w:rsidRPr="005F62F4" w:rsidRDefault="00D259A2" w:rsidP="00CE7E1B">
      <w:pPr>
        <w:pStyle w:val="Heading5"/>
        <w:spacing w:before="200" w:after="60"/>
      </w:pPr>
      <w:r w:rsidRPr="005F62F4">
        <w:t>Country</w:t>
      </w:r>
    </w:p>
    <w:p w14:paraId="7F7BE21B" w14:textId="1CB7CC4E" w:rsidR="00D259A2" w:rsidRPr="005F62F4" w:rsidRDefault="007D55D2" w:rsidP="00C853D4">
      <w:r w:rsidRPr="005F62F4">
        <w:t>Australia</w:t>
      </w:r>
    </w:p>
    <w:p w14:paraId="4E9E3140" w14:textId="74C8DA7A" w:rsidR="00D259A2" w:rsidRPr="005F62F4" w:rsidRDefault="00D259A2" w:rsidP="00D95EDA">
      <w:pPr>
        <w:pStyle w:val="Heading5"/>
        <w:spacing w:before="200" w:after="0"/>
      </w:pPr>
      <w:r w:rsidRPr="005F62F4">
        <w:t>Study information</w:t>
      </w:r>
    </w:p>
    <w:p w14:paraId="25D43F71" w14:textId="7E7215EE" w:rsidR="00D259A2" w:rsidRPr="005F62F4" w:rsidRDefault="00741481" w:rsidP="00D95EDA">
      <w:pPr>
        <w:pStyle w:val="Para"/>
        <w:spacing w:before="0"/>
        <w:rPr>
          <w:lang w:eastAsia="en-AU"/>
        </w:rPr>
      </w:pPr>
      <w:r w:rsidRPr="005F62F4">
        <w:rPr>
          <w:lang w:eastAsia="en-AU"/>
        </w:rPr>
        <w:t xml:space="preserve">The study sample included </w:t>
      </w:r>
      <w:r w:rsidR="00AE5F2F" w:rsidRPr="005F62F4">
        <w:rPr>
          <w:lang w:eastAsia="en-AU"/>
        </w:rPr>
        <w:t xml:space="preserve">138 </w:t>
      </w:r>
      <w:r w:rsidRPr="005F62F4">
        <w:rPr>
          <w:lang w:eastAsia="en-AU"/>
        </w:rPr>
        <w:t>p</w:t>
      </w:r>
      <w:r w:rsidR="00AE5F2F" w:rsidRPr="005F62F4">
        <w:rPr>
          <w:lang w:eastAsia="en-AU"/>
        </w:rPr>
        <w:t xml:space="preserve">atients who underwent osseous free flap reconstruction of the mandible or maxilla between January 2010 and March 2018. Of these patients, 29 underwent reconstruction with a </w:t>
      </w:r>
      <w:r w:rsidRPr="005F62F4">
        <w:rPr>
          <w:lang w:eastAsia="en-AU"/>
        </w:rPr>
        <w:t>p</w:t>
      </w:r>
      <w:r w:rsidR="00AE5F2F" w:rsidRPr="005F62F4">
        <w:rPr>
          <w:lang w:eastAsia="en-AU"/>
        </w:rPr>
        <w:t>roprietary</w:t>
      </w:r>
      <w:r w:rsidR="00763D23" w:rsidRPr="005F62F4">
        <w:rPr>
          <w:lang w:eastAsia="en-AU"/>
        </w:rPr>
        <w:t xml:space="preserve"> </w:t>
      </w:r>
      <w:r w:rsidR="00AE5F2F" w:rsidRPr="005F62F4">
        <w:rPr>
          <w:lang w:eastAsia="en-AU"/>
        </w:rPr>
        <w:t xml:space="preserve">virtual surgical planning approach (P-VSP) provided by </w:t>
      </w:r>
      <w:proofErr w:type="spellStart"/>
      <w:r w:rsidR="00AE5F2F" w:rsidRPr="005F62F4">
        <w:rPr>
          <w:lang w:eastAsia="en-AU"/>
        </w:rPr>
        <w:t>DePuy</w:t>
      </w:r>
      <w:proofErr w:type="spellEnd"/>
      <w:r w:rsidR="00AE5F2F" w:rsidRPr="005F62F4">
        <w:rPr>
          <w:lang w:eastAsia="en-AU"/>
        </w:rPr>
        <w:t xml:space="preserve"> Synthes</w:t>
      </w:r>
      <w:r w:rsidR="00B2264C" w:rsidRPr="005F62F4">
        <w:rPr>
          <w:lang w:eastAsia="en-AU"/>
        </w:rPr>
        <w:t>. This approach included</w:t>
      </w:r>
      <w:r w:rsidR="00AE5F2F" w:rsidRPr="005F62F4">
        <w:rPr>
          <w:lang w:eastAsia="en-AU"/>
        </w:rPr>
        <w:t xml:space="preserve"> </w:t>
      </w:r>
      <w:r w:rsidR="003E415A" w:rsidRPr="005F62F4">
        <w:rPr>
          <w:lang w:eastAsia="en-AU"/>
        </w:rPr>
        <w:t>use of</w:t>
      </w:r>
      <w:r w:rsidR="00AE5F2F" w:rsidRPr="005F62F4">
        <w:rPr>
          <w:lang w:eastAsia="en-AU"/>
        </w:rPr>
        <w:t xml:space="preserve"> a reconstructive 3D model, cutting guides for the donor and ablative sites</w:t>
      </w:r>
      <w:r w:rsidR="00905BF0" w:rsidRPr="005F62F4">
        <w:rPr>
          <w:lang w:eastAsia="en-AU"/>
        </w:rPr>
        <w:t xml:space="preserve"> and</w:t>
      </w:r>
      <w:r w:rsidR="00AE5F2F" w:rsidRPr="005F62F4">
        <w:rPr>
          <w:lang w:eastAsia="en-AU"/>
        </w:rPr>
        <w:t xml:space="preserve"> customised titanium plate</w:t>
      </w:r>
      <w:r w:rsidR="00905BF0" w:rsidRPr="005F62F4">
        <w:rPr>
          <w:lang w:eastAsia="en-AU"/>
        </w:rPr>
        <w:t>s</w:t>
      </w:r>
      <w:r w:rsidR="00AE5F2F" w:rsidRPr="005F62F4">
        <w:rPr>
          <w:lang w:eastAsia="en-AU"/>
        </w:rPr>
        <w:t xml:space="preserve"> produced </w:t>
      </w:r>
      <w:r w:rsidR="003E415A" w:rsidRPr="005F62F4">
        <w:rPr>
          <w:lang w:eastAsia="en-AU"/>
        </w:rPr>
        <w:t>by</w:t>
      </w:r>
      <w:r w:rsidR="00AE5F2F" w:rsidRPr="005F62F4">
        <w:rPr>
          <w:lang w:eastAsia="en-AU"/>
        </w:rPr>
        <w:t xml:space="preserve"> </w:t>
      </w:r>
      <w:proofErr w:type="spellStart"/>
      <w:r w:rsidR="00AE5F2F" w:rsidRPr="005F62F4">
        <w:rPr>
          <w:lang w:eastAsia="en-AU"/>
        </w:rPr>
        <w:t>ProPlan</w:t>
      </w:r>
      <w:proofErr w:type="spellEnd"/>
      <w:r w:rsidR="00AE5F2F" w:rsidRPr="005F62F4">
        <w:rPr>
          <w:lang w:eastAsia="en-AU"/>
        </w:rPr>
        <w:t xml:space="preserve">. The other 99 </w:t>
      </w:r>
      <w:r w:rsidR="00905BF0" w:rsidRPr="005F62F4">
        <w:rPr>
          <w:lang w:eastAsia="en-AU"/>
        </w:rPr>
        <w:t>patients</w:t>
      </w:r>
      <w:r w:rsidR="00AE5F2F" w:rsidRPr="005F62F4">
        <w:rPr>
          <w:lang w:eastAsia="en-AU"/>
        </w:rPr>
        <w:t xml:space="preserve"> underwent surgery through a </w:t>
      </w:r>
      <w:r w:rsidR="00905BF0" w:rsidRPr="005F62F4">
        <w:rPr>
          <w:lang w:eastAsia="en-AU"/>
        </w:rPr>
        <w:t>t</w:t>
      </w:r>
      <w:r w:rsidR="00AE5F2F" w:rsidRPr="005F62F4">
        <w:rPr>
          <w:lang w:eastAsia="en-AU"/>
        </w:rPr>
        <w:t>raditional non-</w:t>
      </w:r>
      <w:r w:rsidR="00905BF0" w:rsidRPr="005F62F4">
        <w:rPr>
          <w:lang w:eastAsia="en-AU"/>
        </w:rPr>
        <w:t>virtual surgical planning</w:t>
      </w:r>
      <w:r w:rsidR="00AE5F2F" w:rsidRPr="005F62F4">
        <w:rPr>
          <w:lang w:eastAsia="en-AU"/>
        </w:rPr>
        <w:t xml:space="preserve"> reconstructive approach</w:t>
      </w:r>
      <w:r w:rsidR="00905BF0" w:rsidRPr="005F62F4">
        <w:rPr>
          <w:lang w:eastAsia="en-AU"/>
        </w:rPr>
        <w:t xml:space="preserve"> (non-VSP)</w:t>
      </w:r>
      <w:r w:rsidR="00AE5F2F" w:rsidRPr="005F62F4">
        <w:rPr>
          <w:lang w:eastAsia="en-AU"/>
        </w:rPr>
        <w:t xml:space="preserve">. </w:t>
      </w:r>
      <w:r w:rsidR="003E415A" w:rsidRPr="005F62F4">
        <w:rPr>
          <w:lang w:eastAsia="en-AU"/>
        </w:rPr>
        <w:t>A cost-analysis was conducted with a subgroup</w:t>
      </w:r>
      <w:r w:rsidR="00AE5F2F" w:rsidRPr="005F62F4">
        <w:rPr>
          <w:lang w:eastAsia="en-AU"/>
        </w:rPr>
        <w:t xml:space="preserve"> of </w:t>
      </w:r>
      <w:r w:rsidR="003E415A" w:rsidRPr="005F62F4">
        <w:rPr>
          <w:lang w:eastAsia="en-AU"/>
        </w:rPr>
        <w:t xml:space="preserve">16 </w:t>
      </w:r>
      <w:r w:rsidR="00AE5F2F" w:rsidRPr="005F62F4">
        <w:rPr>
          <w:lang w:eastAsia="en-AU"/>
        </w:rPr>
        <w:t xml:space="preserve">patients </w:t>
      </w:r>
      <w:r w:rsidR="003E415A" w:rsidRPr="005F62F4">
        <w:rPr>
          <w:lang w:eastAsia="en-AU"/>
        </w:rPr>
        <w:t>in each group (total n</w:t>
      </w:r>
      <w:r w:rsidR="005F6896" w:rsidRPr="005F62F4">
        <w:rPr>
          <w:lang w:eastAsia="en-AU"/>
        </w:rPr>
        <w:t> = </w:t>
      </w:r>
      <w:r w:rsidR="003E415A" w:rsidRPr="005F62F4">
        <w:rPr>
          <w:lang w:eastAsia="en-AU"/>
        </w:rPr>
        <w:t>32), matched on</w:t>
      </w:r>
      <w:r w:rsidR="00AE5F2F" w:rsidRPr="005F62F4">
        <w:rPr>
          <w:lang w:eastAsia="en-AU"/>
        </w:rPr>
        <w:t xml:space="preserve"> site, indication, bone flap, complexity and age.</w:t>
      </w:r>
    </w:p>
    <w:p w14:paraId="5A9287B3" w14:textId="77777777" w:rsidR="00D259A2" w:rsidRPr="005F62F4" w:rsidRDefault="00D259A2" w:rsidP="00D95EDA">
      <w:pPr>
        <w:pStyle w:val="Heading5"/>
        <w:spacing w:before="200" w:after="0"/>
      </w:pPr>
      <w:r w:rsidRPr="005F62F4">
        <w:t>Outcomes</w:t>
      </w:r>
    </w:p>
    <w:p w14:paraId="426CB9F7" w14:textId="436034EF" w:rsidR="00D259A2" w:rsidRPr="005F62F4" w:rsidRDefault="004541BD" w:rsidP="00D95EDA">
      <w:pPr>
        <w:pStyle w:val="Para"/>
        <w:spacing w:before="0"/>
        <w:rPr>
          <w:lang w:eastAsia="en-AU"/>
        </w:rPr>
      </w:pPr>
      <w:r w:rsidRPr="005F62F4">
        <w:rPr>
          <w:lang w:eastAsia="en-AU"/>
        </w:rPr>
        <w:t xml:space="preserve">Complications, length of stay </w:t>
      </w:r>
      <w:r w:rsidR="00D15DFF" w:rsidRPr="005F62F4">
        <w:rPr>
          <w:lang w:eastAsia="en-AU"/>
        </w:rPr>
        <w:t>(LOS)</w:t>
      </w:r>
      <w:r w:rsidRPr="005F62F4">
        <w:rPr>
          <w:lang w:eastAsia="en-AU"/>
        </w:rPr>
        <w:t xml:space="preserve"> </w:t>
      </w:r>
      <w:r w:rsidR="00D15DFF" w:rsidRPr="005F62F4">
        <w:rPr>
          <w:lang w:eastAsia="en-AU"/>
        </w:rPr>
        <w:t>on specialised or intensive care</w:t>
      </w:r>
      <w:r w:rsidRPr="005F62F4">
        <w:rPr>
          <w:lang w:eastAsia="en-AU"/>
        </w:rPr>
        <w:t xml:space="preserve"> ward,</w:t>
      </w:r>
      <w:r w:rsidR="00D15DFF" w:rsidRPr="005F62F4">
        <w:rPr>
          <w:lang w:eastAsia="en-AU"/>
        </w:rPr>
        <w:t xml:space="preserve"> total days </w:t>
      </w:r>
      <w:r w:rsidRPr="005F62F4">
        <w:rPr>
          <w:lang w:eastAsia="en-AU"/>
        </w:rPr>
        <w:t xml:space="preserve">in </w:t>
      </w:r>
      <w:r w:rsidR="00D15DFF" w:rsidRPr="005F62F4">
        <w:rPr>
          <w:lang w:eastAsia="en-AU"/>
        </w:rPr>
        <w:t>hospitalisation</w:t>
      </w:r>
      <w:r w:rsidRPr="005F62F4">
        <w:rPr>
          <w:lang w:eastAsia="en-AU"/>
        </w:rPr>
        <w:t xml:space="preserve">, operating time, ward cost, </w:t>
      </w:r>
      <w:r w:rsidR="00905BF0" w:rsidRPr="005F62F4">
        <w:rPr>
          <w:lang w:eastAsia="en-AU"/>
        </w:rPr>
        <w:t>hospitalisation</w:t>
      </w:r>
      <w:r w:rsidRPr="005F62F4">
        <w:rPr>
          <w:lang w:eastAsia="en-AU"/>
        </w:rPr>
        <w:t xml:space="preserve"> cost and operating cost.</w:t>
      </w:r>
    </w:p>
    <w:p w14:paraId="60270DB3" w14:textId="77777777" w:rsidR="00D259A2" w:rsidRPr="005F62F4" w:rsidRDefault="00D259A2" w:rsidP="00CE7E1B">
      <w:pPr>
        <w:pStyle w:val="Heading5"/>
        <w:spacing w:before="200" w:after="60"/>
      </w:pPr>
      <w:r w:rsidRPr="005F62F4">
        <w:t>Findings</w:t>
      </w:r>
    </w:p>
    <w:p w14:paraId="6AF50640" w14:textId="652FD6DD" w:rsidR="00172242" w:rsidRPr="005F62F4" w:rsidRDefault="00170791" w:rsidP="00D95EDA">
      <w:pPr>
        <w:pStyle w:val="Para"/>
        <w:spacing w:before="0"/>
        <w:rPr>
          <w:lang w:eastAsia="en-AU"/>
        </w:rPr>
      </w:pPr>
      <w:r w:rsidRPr="005F62F4">
        <w:rPr>
          <w:lang w:eastAsia="en-AU"/>
        </w:rPr>
        <w:t>For the non-matched cohort, t</w:t>
      </w:r>
      <w:r w:rsidR="00172242" w:rsidRPr="005F62F4">
        <w:rPr>
          <w:lang w:eastAsia="en-AU"/>
        </w:rPr>
        <w:t>here were no statistical</w:t>
      </w:r>
      <w:r w:rsidR="00905BF0" w:rsidRPr="005F62F4">
        <w:rPr>
          <w:lang w:eastAsia="en-AU"/>
        </w:rPr>
        <w:t>ly significant</w:t>
      </w:r>
      <w:r w:rsidR="00172242" w:rsidRPr="005F62F4">
        <w:rPr>
          <w:lang w:eastAsia="en-AU"/>
        </w:rPr>
        <w:t xml:space="preserve"> differences in the total number of complications between </w:t>
      </w:r>
      <w:r w:rsidR="003E415A" w:rsidRPr="005F62F4">
        <w:rPr>
          <w:lang w:eastAsia="en-AU"/>
        </w:rPr>
        <w:t>the 2</w:t>
      </w:r>
      <w:r w:rsidR="00172242" w:rsidRPr="005F62F4">
        <w:rPr>
          <w:lang w:eastAsia="en-AU"/>
        </w:rPr>
        <w:t xml:space="preserve"> groups. </w:t>
      </w:r>
      <w:r w:rsidR="00A65FF8" w:rsidRPr="005F62F4">
        <w:rPr>
          <w:lang w:eastAsia="en-AU"/>
        </w:rPr>
        <w:t>T</w:t>
      </w:r>
      <w:r w:rsidR="00172242" w:rsidRPr="005F62F4">
        <w:rPr>
          <w:lang w:eastAsia="en-AU"/>
        </w:rPr>
        <w:t xml:space="preserve">he P-VSP group had a shorter median LOS </w:t>
      </w:r>
      <w:r w:rsidR="00D15DFF" w:rsidRPr="005F62F4">
        <w:rPr>
          <w:lang w:eastAsia="en-AU"/>
        </w:rPr>
        <w:t xml:space="preserve">on a specialised </w:t>
      </w:r>
      <w:r w:rsidR="00233A7E" w:rsidRPr="005F62F4">
        <w:rPr>
          <w:lang w:eastAsia="en-AU"/>
        </w:rPr>
        <w:t>or intensive care ward</w:t>
      </w:r>
      <w:r w:rsidR="00172242" w:rsidRPr="005F62F4">
        <w:rPr>
          <w:lang w:eastAsia="en-AU"/>
        </w:rPr>
        <w:t xml:space="preserve"> </w:t>
      </w:r>
      <w:r w:rsidR="00D15DFF" w:rsidRPr="005F62F4">
        <w:rPr>
          <w:lang w:eastAsia="en-AU"/>
        </w:rPr>
        <w:t>than</w:t>
      </w:r>
      <w:r w:rsidR="00172242" w:rsidRPr="005F62F4">
        <w:rPr>
          <w:lang w:eastAsia="en-AU"/>
        </w:rPr>
        <w:t xml:space="preserve"> the non-VSP group (8.0 vs 10.0</w:t>
      </w:r>
      <w:r w:rsidR="00A65FF8" w:rsidRPr="005F62F4">
        <w:rPr>
          <w:lang w:eastAsia="en-AU"/>
        </w:rPr>
        <w:t xml:space="preserve"> days;</w:t>
      </w:r>
      <w:r w:rsidR="00172242" w:rsidRPr="005F62F4">
        <w:rPr>
          <w:lang w:eastAsia="en-AU"/>
        </w:rPr>
        <w:t xml:space="preserve"> p</w:t>
      </w:r>
      <w:r w:rsidR="005F6896" w:rsidRPr="005F62F4">
        <w:rPr>
          <w:lang w:eastAsia="en-AU"/>
        </w:rPr>
        <w:t> = </w:t>
      </w:r>
      <w:r w:rsidR="00172242" w:rsidRPr="005F62F4">
        <w:rPr>
          <w:lang w:eastAsia="en-AU"/>
        </w:rPr>
        <w:t>0.037)</w:t>
      </w:r>
      <w:r w:rsidR="00905BF0" w:rsidRPr="005F62F4">
        <w:rPr>
          <w:lang w:eastAsia="en-AU"/>
        </w:rPr>
        <w:t>,</w:t>
      </w:r>
      <w:r w:rsidR="00172242" w:rsidRPr="005F62F4">
        <w:rPr>
          <w:lang w:eastAsia="en-AU"/>
        </w:rPr>
        <w:t xml:space="preserve"> </w:t>
      </w:r>
      <w:r w:rsidR="00233A7E" w:rsidRPr="005F62F4">
        <w:rPr>
          <w:lang w:eastAsia="en-AU"/>
        </w:rPr>
        <w:t xml:space="preserve">and </w:t>
      </w:r>
      <w:r w:rsidR="00172242" w:rsidRPr="005F62F4">
        <w:rPr>
          <w:lang w:eastAsia="en-AU"/>
        </w:rPr>
        <w:t xml:space="preserve">a shorter </w:t>
      </w:r>
      <w:r w:rsidR="00233A7E" w:rsidRPr="005F62F4">
        <w:rPr>
          <w:lang w:eastAsia="en-AU"/>
        </w:rPr>
        <w:t>overall</w:t>
      </w:r>
      <w:r w:rsidR="00172242" w:rsidRPr="005F62F4">
        <w:rPr>
          <w:lang w:eastAsia="en-AU"/>
        </w:rPr>
        <w:t xml:space="preserve"> LOS </w:t>
      </w:r>
      <w:r w:rsidR="00233A7E" w:rsidRPr="005F62F4">
        <w:rPr>
          <w:lang w:eastAsia="en-AU"/>
        </w:rPr>
        <w:t xml:space="preserve">in hospital </w:t>
      </w:r>
      <w:r w:rsidR="00172242" w:rsidRPr="005F62F4">
        <w:rPr>
          <w:lang w:eastAsia="en-AU"/>
        </w:rPr>
        <w:t>(10.0 vs 13.0</w:t>
      </w:r>
      <w:r w:rsidR="00233A7E" w:rsidRPr="005F62F4">
        <w:rPr>
          <w:lang w:eastAsia="en-AU"/>
        </w:rPr>
        <w:t xml:space="preserve"> days</w:t>
      </w:r>
      <w:r w:rsidR="00172242" w:rsidRPr="005F62F4">
        <w:rPr>
          <w:lang w:eastAsia="en-AU"/>
        </w:rPr>
        <w:t>, p</w:t>
      </w:r>
      <w:r w:rsidR="005F6896" w:rsidRPr="005F62F4">
        <w:rPr>
          <w:lang w:eastAsia="en-AU"/>
        </w:rPr>
        <w:t> = </w:t>
      </w:r>
      <w:r w:rsidR="00172242" w:rsidRPr="005F62F4">
        <w:rPr>
          <w:lang w:eastAsia="en-AU"/>
        </w:rPr>
        <w:t>0.009). The mean operating time was also shorter for the P</w:t>
      </w:r>
      <w:r w:rsidR="00905BF0" w:rsidRPr="005F62F4">
        <w:rPr>
          <w:lang w:eastAsia="en-AU"/>
        </w:rPr>
        <w:t>-</w:t>
      </w:r>
      <w:r w:rsidR="00172242" w:rsidRPr="005F62F4">
        <w:rPr>
          <w:lang w:eastAsia="en-AU"/>
        </w:rPr>
        <w:t>VSP group (507.38 vs 561.75, p</w:t>
      </w:r>
      <w:r w:rsidR="005F6896" w:rsidRPr="005F62F4">
        <w:rPr>
          <w:lang w:eastAsia="en-AU"/>
        </w:rPr>
        <w:t> = </w:t>
      </w:r>
      <w:r w:rsidR="00172242" w:rsidRPr="005F62F4">
        <w:rPr>
          <w:lang w:eastAsia="en-AU"/>
        </w:rPr>
        <w:t>0.042). This led to lower costs for the P-VSP group compared to the non-VSP group</w:t>
      </w:r>
      <w:r w:rsidR="005A23BB" w:rsidRPr="005F62F4">
        <w:rPr>
          <w:lang w:eastAsia="en-AU"/>
        </w:rPr>
        <w:t>,</w:t>
      </w:r>
      <w:r w:rsidR="00172242" w:rsidRPr="005F62F4">
        <w:rPr>
          <w:lang w:eastAsia="en-AU"/>
        </w:rPr>
        <w:t xml:space="preserve"> in terms of the median ward cost ($2,960 vs $3700, p</w:t>
      </w:r>
      <w:r w:rsidR="005F6896" w:rsidRPr="005F62F4">
        <w:rPr>
          <w:lang w:eastAsia="en-AU"/>
        </w:rPr>
        <w:t> = </w:t>
      </w:r>
      <w:r w:rsidR="00172242" w:rsidRPr="005F62F4">
        <w:rPr>
          <w:lang w:eastAsia="en-AU"/>
        </w:rPr>
        <w:t>0.037), median hospitalisation cost ($7.892 vs $11,283, p</w:t>
      </w:r>
      <w:r w:rsidR="005F6896" w:rsidRPr="005F62F4">
        <w:rPr>
          <w:lang w:eastAsia="en-AU"/>
        </w:rPr>
        <w:t> = </w:t>
      </w:r>
      <w:r w:rsidR="00172242" w:rsidRPr="005F62F4">
        <w:rPr>
          <w:lang w:eastAsia="en-AU"/>
        </w:rPr>
        <w:t>0.014), and operating cost ($18,623 vs $19,882, p</w:t>
      </w:r>
      <w:r w:rsidR="005F6896" w:rsidRPr="005F62F4">
        <w:rPr>
          <w:lang w:eastAsia="en-AU"/>
        </w:rPr>
        <w:t> = </w:t>
      </w:r>
      <w:r w:rsidR="00172242" w:rsidRPr="005F62F4">
        <w:rPr>
          <w:lang w:eastAsia="en-AU"/>
        </w:rPr>
        <w:t xml:space="preserve">0.042). This was despite P-VSP cases </w:t>
      </w:r>
      <w:r w:rsidR="00233A7E" w:rsidRPr="005F62F4">
        <w:rPr>
          <w:lang w:eastAsia="en-AU"/>
        </w:rPr>
        <w:t xml:space="preserve">being more complex </w:t>
      </w:r>
      <w:r w:rsidR="00172242" w:rsidRPr="005F62F4">
        <w:rPr>
          <w:lang w:eastAsia="en-AU"/>
        </w:rPr>
        <w:t xml:space="preserve">(median complexity score 2 vs 1) and </w:t>
      </w:r>
      <w:r w:rsidR="00DB3D7A" w:rsidRPr="005F62F4">
        <w:rPr>
          <w:lang w:eastAsia="en-AU"/>
        </w:rPr>
        <w:t>having</w:t>
      </w:r>
      <w:r w:rsidR="005A23BB" w:rsidRPr="005F62F4">
        <w:rPr>
          <w:lang w:eastAsia="en-AU"/>
        </w:rPr>
        <w:t xml:space="preserve"> </w:t>
      </w:r>
      <w:r w:rsidR="00172242" w:rsidRPr="005F62F4">
        <w:rPr>
          <w:lang w:eastAsia="en-AU"/>
        </w:rPr>
        <w:t>higher material costs ($7,864 v $3,442, p</w:t>
      </w:r>
      <w:r w:rsidR="00DB3D7A" w:rsidRPr="005F62F4">
        <w:rPr>
          <w:lang w:eastAsia="en-AU"/>
        </w:rPr>
        <w:t> &lt; </w:t>
      </w:r>
      <w:r w:rsidR="00172242" w:rsidRPr="005F62F4">
        <w:rPr>
          <w:lang w:eastAsia="en-AU"/>
        </w:rPr>
        <w:t xml:space="preserve">0.001) </w:t>
      </w:r>
      <w:r w:rsidR="00DB3D7A" w:rsidRPr="005F62F4">
        <w:rPr>
          <w:lang w:eastAsia="en-AU"/>
        </w:rPr>
        <w:t>than</w:t>
      </w:r>
      <w:r w:rsidR="00172242" w:rsidRPr="005F62F4">
        <w:rPr>
          <w:lang w:eastAsia="en-AU"/>
        </w:rPr>
        <w:t xml:space="preserve"> the </w:t>
      </w:r>
      <w:r w:rsidR="00DB3D7A" w:rsidRPr="005F62F4">
        <w:rPr>
          <w:lang w:eastAsia="en-AU"/>
        </w:rPr>
        <w:t>non</w:t>
      </w:r>
      <w:r w:rsidR="00172242" w:rsidRPr="005F62F4">
        <w:rPr>
          <w:lang w:eastAsia="en-AU"/>
        </w:rPr>
        <w:t>-VSP group.</w:t>
      </w:r>
    </w:p>
    <w:p w14:paraId="5545651E" w14:textId="2DC76C39" w:rsidR="00D259A2" w:rsidRPr="005F62F4" w:rsidRDefault="00172242" w:rsidP="00AC285F">
      <w:pPr>
        <w:pStyle w:val="Para"/>
        <w:spacing w:before="120"/>
        <w:rPr>
          <w:lang w:eastAsia="en-AU"/>
        </w:rPr>
      </w:pPr>
      <w:r w:rsidRPr="005F62F4">
        <w:rPr>
          <w:lang w:eastAsia="en-AU"/>
        </w:rPr>
        <w:t xml:space="preserve">For the </w:t>
      </w:r>
      <w:r w:rsidR="00DB3D7A" w:rsidRPr="005F62F4">
        <w:rPr>
          <w:lang w:eastAsia="en-AU"/>
        </w:rPr>
        <w:t xml:space="preserve">subgroup of 32 </w:t>
      </w:r>
      <w:r w:rsidRPr="005F62F4">
        <w:rPr>
          <w:lang w:eastAsia="en-AU"/>
        </w:rPr>
        <w:t xml:space="preserve">matched </w:t>
      </w:r>
      <w:r w:rsidR="00DB3D7A" w:rsidRPr="005F62F4">
        <w:rPr>
          <w:lang w:eastAsia="en-AU"/>
        </w:rPr>
        <w:t>patients</w:t>
      </w:r>
      <w:r w:rsidRPr="005F62F4">
        <w:rPr>
          <w:lang w:eastAsia="en-AU"/>
        </w:rPr>
        <w:t>, the</w:t>
      </w:r>
      <w:r w:rsidR="005A23BB" w:rsidRPr="005F62F4">
        <w:rPr>
          <w:lang w:eastAsia="en-AU"/>
        </w:rPr>
        <w:t xml:space="preserve"> </w:t>
      </w:r>
      <w:r w:rsidR="00C0687C" w:rsidRPr="005F62F4">
        <w:rPr>
          <w:lang w:eastAsia="en-AU"/>
        </w:rPr>
        <w:t>only significant difference</w:t>
      </w:r>
      <w:r w:rsidR="005A23BB" w:rsidRPr="005F62F4">
        <w:rPr>
          <w:lang w:eastAsia="en-AU"/>
        </w:rPr>
        <w:t xml:space="preserve"> </w:t>
      </w:r>
      <w:r w:rsidRPr="005F62F4">
        <w:rPr>
          <w:lang w:eastAsia="en-AU"/>
        </w:rPr>
        <w:t xml:space="preserve">was </w:t>
      </w:r>
      <w:r w:rsidR="00C0687C" w:rsidRPr="005F62F4">
        <w:rPr>
          <w:lang w:eastAsia="en-AU"/>
        </w:rPr>
        <w:t>a higher median instrument cost in</w:t>
      </w:r>
      <w:r w:rsidRPr="005F62F4">
        <w:rPr>
          <w:lang w:eastAsia="en-AU"/>
        </w:rPr>
        <w:t xml:space="preserve"> the P-VSP group </w:t>
      </w:r>
      <w:r w:rsidR="00C0687C" w:rsidRPr="005F62F4">
        <w:rPr>
          <w:lang w:eastAsia="en-AU"/>
        </w:rPr>
        <w:t>($8</w:t>
      </w:r>
      <w:r w:rsidR="00D42F0F" w:rsidRPr="005F62F4">
        <w:rPr>
          <w:lang w:eastAsia="en-AU"/>
        </w:rPr>
        <w:t>,124</w:t>
      </w:r>
      <w:r w:rsidRPr="005F62F4">
        <w:rPr>
          <w:lang w:eastAsia="en-AU"/>
        </w:rPr>
        <w:t xml:space="preserve"> v $</w:t>
      </w:r>
      <w:r w:rsidR="00D42F0F" w:rsidRPr="005F62F4">
        <w:rPr>
          <w:lang w:eastAsia="en-AU"/>
        </w:rPr>
        <w:t>3,649;</w:t>
      </w:r>
      <w:r w:rsidRPr="005F62F4">
        <w:rPr>
          <w:lang w:eastAsia="en-AU"/>
        </w:rPr>
        <w:t xml:space="preserve"> p</w:t>
      </w:r>
      <w:r w:rsidR="00D42F0F" w:rsidRPr="005F62F4">
        <w:rPr>
          <w:lang w:eastAsia="en-AU"/>
        </w:rPr>
        <w:t> &lt; </w:t>
      </w:r>
      <w:r w:rsidRPr="005F62F4">
        <w:rPr>
          <w:lang w:eastAsia="en-AU"/>
        </w:rPr>
        <w:t>0.</w:t>
      </w:r>
      <w:r w:rsidR="00D42F0F" w:rsidRPr="005F62F4">
        <w:rPr>
          <w:lang w:eastAsia="en-AU"/>
        </w:rPr>
        <w:t>001).</w:t>
      </w:r>
    </w:p>
    <w:p w14:paraId="6245089D" w14:textId="77777777" w:rsidR="00D259A2" w:rsidRPr="005F62F4" w:rsidRDefault="00D259A2" w:rsidP="00CE7E1B">
      <w:pPr>
        <w:pStyle w:val="Heading5"/>
        <w:spacing w:before="200" w:after="60"/>
      </w:pPr>
      <w:r w:rsidRPr="005F62F4">
        <w:t>Limitations</w:t>
      </w:r>
    </w:p>
    <w:p w14:paraId="0D684B46" w14:textId="3BD3A38D" w:rsidR="00D259A2" w:rsidRPr="005F62F4" w:rsidRDefault="001E2D92" w:rsidP="00D95EDA">
      <w:pPr>
        <w:pStyle w:val="Para"/>
        <w:spacing w:before="0"/>
        <w:rPr>
          <w:lang w:eastAsia="en-AU"/>
        </w:rPr>
      </w:pPr>
      <w:r w:rsidRPr="005F62F4">
        <w:rPr>
          <w:lang w:eastAsia="en-AU"/>
        </w:rPr>
        <w:t>Results represent the experience of one surgeon</w:t>
      </w:r>
      <w:r w:rsidR="00D42F0F" w:rsidRPr="005F62F4">
        <w:rPr>
          <w:lang w:eastAsia="en-AU"/>
        </w:rPr>
        <w:t xml:space="preserve"> and may not generalise to others</w:t>
      </w:r>
      <w:r w:rsidRPr="005F62F4">
        <w:rPr>
          <w:lang w:eastAsia="en-AU"/>
        </w:rPr>
        <w:t>. There were differences in case selection between groups which could bias against P</w:t>
      </w:r>
      <w:r w:rsidR="00FE37E1" w:rsidRPr="005F62F4">
        <w:rPr>
          <w:lang w:eastAsia="en-AU"/>
        </w:rPr>
        <w:noBreakHyphen/>
      </w:r>
      <w:r w:rsidRPr="005F62F4">
        <w:rPr>
          <w:lang w:eastAsia="en-AU"/>
        </w:rPr>
        <w:t>VSP. The complexity score used has not been validated. Costs were based on previous data rather instead of a micro</w:t>
      </w:r>
      <w:r w:rsidR="001F756B" w:rsidRPr="005F62F4">
        <w:rPr>
          <w:lang w:eastAsia="en-AU"/>
        </w:rPr>
        <w:noBreakHyphen/>
      </w:r>
      <w:r w:rsidRPr="005F62F4">
        <w:rPr>
          <w:lang w:eastAsia="en-AU"/>
        </w:rPr>
        <w:t>costing method. The cost for the surgeon for preoperative planning was not considered (</w:t>
      </w:r>
      <w:r w:rsidR="008C15DE" w:rsidRPr="005F62F4">
        <w:rPr>
          <w:lang w:eastAsia="en-AU"/>
        </w:rPr>
        <w:t>because</w:t>
      </w:r>
      <w:r w:rsidRPr="005F62F4">
        <w:rPr>
          <w:lang w:eastAsia="en-AU"/>
        </w:rPr>
        <w:t xml:space="preserve"> in Australia</w:t>
      </w:r>
      <w:r w:rsidR="001F756B" w:rsidRPr="005F62F4">
        <w:rPr>
          <w:lang w:eastAsia="en-AU"/>
        </w:rPr>
        <w:t>,</w:t>
      </w:r>
      <w:r w:rsidRPr="005F62F4">
        <w:rPr>
          <w:lang w:eastAsia="en-AU"/>
        </w:rPr>
        <w:t xml:space="preserve"> surgeons are not paid for digital planning).</w:t>
      </w:r>
    </w:p>
    <w:p w14:paraId="751C86E8" w14:textId="77777777" w:rsidR="00D259A2" w:rsidRPr="005F62F4" w:rsidRDefault="00D259A2" w:rsidP="00CE7E1B">
      <w:pPr>
        <w:pStyle w:val="Heading5"/>
        <w:spacing w:before="200" w:after="60"/>
      </w:pPr>
      <w:r w:rsidRPr="005F62F4">
        <w:t>Conflicts of interest</w:t>
      </w:r>
    </w:p>
    <w:p w14:paraId="54A7813B" w14:textId="5F103D9B" w:rsidR="00366E26" w:rsidRPr="005F62F4" w:rsidRDefault="001E2D92" w:rsidP="003A1FEB">
      <w:r w:rsidRPr="005F62F4">
        <w:t>Nil reported.</w:t>
      </w:r>
      <w:r w:rsidR="00366E26" w:rsidRPr="005F62F4">
        <w:br w:type="page"/>
      </w:r>
    </w:p>
    <w:p w14:paraId="3F30D8AE" w14:textId="027AB58C" w:rsidR="00D259A2" w:rsidRPr="005F62F4" w:rsidRDefault="00BF0FE6" w:rsidP="004F2931">
      <w:pPr>
        <w:pStyle w:val="Heading4"/>
      </w:pPr>
      <w:r w:rsidRPr="005F62F4">
        <w:lastRenderedPageBreak/>
        <w:t>Resnick et al. (2016)</w:t>
      </w:r>
    </w:p>
    <w:p w14:paraId="4FF5638D" w14:textId="77777777" w:rsidR="00D259A2" w:rsidRPr="005F62F4" w:rsidRDefault="00D259A2" w:rsidP="00D05D9A">
      <w:pPr>
        <w:pStyle w:val="Heading5"/>
        <w:rPr>
          <w:rStyle w:val="Strong"/>
          <w:b/>
          <w:bCs w:val="0"/>
        </w:rPr>
      </w:pPr>
      <w:r w:rsidRPr="005F62F4">
        <w:rPr>
          <w:rStyle w:val="Strong"/>
          <w:b/>
          <w:bCs w:val="0"/>
        </w:rPr>
        <w:t>Study type (level of evidence)</w:t>
      </w:r>
    </w:p>
    <w:p w14:paraId="13F8F7FC" w14:textId="08A3D552" w:rsidR="00D259A2" w:rsidRPr="005F62F4" w:rsidRDefault="00BF0FE6" w:rsidP="00366E26">
      <w:r w:rsidRPr="005F62F4">
        <w:t>Retrospective case-control</w:t>
      </w:r>
    </w:p>
    <w:p w14:paraId="514E3744" w14:textId="77777777" w:rsidR="00D259A2" w:rsidRPr="005F62F4" w:rsidRDefault="00D259A2" w:rsidP="00D05D9A">
      <w:pPr>
        <w:pStyle w:val="Heading5"/>
      </w:pPr>
      <w:r w:rsidRPr="005F62F4">
        <w:t>Country</w:t>
      </w:r>
    </w:p>
    <w:p w14:paraId="40AB18CD" w14:textId="413923EB" w:rsidR="00D259A2" w:rsidRPr="005F62F4" w:rsidRDefault="00BF0FE6" w:rsidP="00366E26">
      <w:r w:rsidRPr="005F62F4">
        <w:t>USA</w:t>
      </w:r>
    </w:p>
    <w:p w14:paraId="7EE335ED" w14:textId="77777777" w:rsidR="00D259A2" w:rsidRPr="005F62F4" w:rsidRDefault="00D259A2" w:rsidP="00D05D9A">
      <w:pPr>
        <w:pStyle w:val="Heading5"/>
      </w:pPr>
      <w:r w:rsidRPr="005F62F4">
        <w:t>Study information</w:t>
      </w:r>
    </w:p>
    <w:p w14:paraId="781FAF9C" w14:textId="77777777" w:rsidR="00101DB2" w:rsidRPr="005F62F4" w:rsidRDefault="00654E09" w:rsidP="00D259A2">
      <w:pPr>
        <w:pStyle w:val="Para"/>
        <w:rPr>
          <w:lang w:eastAsia="en-AU"/>
        </w:rPr>
      </w:pPr>
      <w:r w:rsidRPr="005F62F4">
        <w:rPr>
          <w:lang w:eastAsia="en-AU"/>
        </w:rPr>
        <w:t xml:space="preserve">The study sample </w:t>
      </w:r>
      <w:r w:rsidR="00D42F0F" w:rsidRPr="005F62F4">
        <w:rPr>
          <w:lang w:eastAsia="en-AU"/>
        </w:rPr>
        <w:t>included 43</w:t>
      </w:r>
      <w:r w:rsidR="009E0AA7" w:rsidRPr="005F62F4">
        <w:rPr>
          <w:lang w:eastAsia="en-AU"/>
        </w:rPr>
        <w:t xml:space="preserve"> patients </w:t>
      </w:r>
      <w:r w:rsidR="00D42F0F" w:rsidRPr="005F62F4">
        <w:rPr>
          <w:lang w:eastAsia="en-AU"/>
        </w:rPr>
        <w:t xml:space="preserve">undergoing </w:t>
      </w:r>
      <w:r w:rsidR="009E0AA7" w:rsidRPr="005F62F4">
        <w:rPr>
          <w:lang w:eastAsia="en-AU"/>
        </w:rPr>
        <w:t xml:space="preserve">bimaxillary orthognathic surgery </w:t>
      </w:r>
      <w:r w:rsidR="00D42F0F" w:rsidRPr="005F62F4">
        <w:rPr>
          <w:lang w:eastAsia="en-AU"/>
        </w:rPr>
        <w:t>between</w:t>
      </w:r>
      <w:r w:rsidR="009E0AA7" w:rsidRPr="005F62F4">
        <w:rPr>
          <w:lang w:eastAsia="en-AU"/>
        </w:rPr>
        <w:t xml:space="preserve"> January 2014 to January 2015</w:t>
      </w:r>
      <w:r w:rsidR="00D42F0F" w:rsidRPr="005F62F4">
        <w:rPr>
          <w:lang w:eastAsia="en-AU"/>
        </w:rPr>
        <w:t>,</w:t>
      </w:r>
      <w:r w:rsidR="009E0AA7" w:rsidRPr="005F62F4">
        <w:rPr>
          <w:lang w:eastAsia="en-AU"/>
        </w:rPr>
        <w:t xml:space="preserve"> divided into three groups according to case complexity:</w:t>
      </w:r>
    </w:p>
    <w:p w14:paraId="7665D562" w14:textId="32E27F26" w:rsidR="00101DB2" w:rsidRPr="005F62F4" w:rsidRDefault="00101DB2" w:rsidP="00D05D9A">
      <w:pPr>
        <w:pStyle w:val="ListNumber"/>
      </w:pPr>
      <w:r w:rsidRPr="005F62F4">
        <w:t>S</w:t>
      </w:r>
      <w:r w:rsidR="004E6F63" w:rsidRPr="005F62F4">
        <w:t>ymmetric, non-segmental</w:t>
      </w:r>
      <w:r w:rsidRPr="005F62F4">
        <w:t xml:space="preserve">: </w:t>
      </w:r>
      <w:r w:rsidR="009E0AA7" w:rsidRPr="005F62F4">
        <w:t xml:space="preserve">patients with facial symmetry undergoing single-segment </w:t>
      </w:r>
      <w:proofErr w:type="spellStart"/>
      <w:r w:rsidR="009E0AA7" w:rsidRPr="005F62F4">
        <w:t>Lefort</w:t>
      </w:r>
      <w:proofErr w:type="spellEnd"/>
      <w:r w:rsidR="009E0AA7" w:rsidRPr="005F62F4">
        <w:t xml:space="preserve"> 1 osteotomy and bilateral sagittal split osteotomy with or without genioplasty</w:t>
      </w:r>
      <w:r w:rsidR="00491387" w:rsidRPr="005F62F4">
        <w:t xml:space="preserve"> (n =19)</w:t>
      </w:r>
    </w:p>
    <w:p w14:paraId="14B82BB4" w14:textId="1E6CBDC1" w:rsidR="00101DB2" w:rsidRPr="005F62F4" w:rsidRDefault="00101DB2" w:rsidP="00D05D9A">
      <w:pPr>
        <w:pStyle w:val="ListNumber"/>
      </w:pPr>
      <w:r w:rsidRPr="005F62F4">
        <w:t>A</w:t>
      </w:r>
      <w:r w:rsidR="004E6F63" w:rsidRPr="005F62F4">
        <w:t>symmetric</w:t>
      </w:r>
      <w:r w:rsidRPr="005F62F4">
        <w:t xml:space="preserve">: </w:t>
      </w:r>
      <w:r w:rsidR="009E0AA7" w:rsidRPr="005F62F4">
        <w:t xml:space="preserve">patients with facial asymmetries planned for correction with single-segment </w:t>
      </w:r>
      <w:proofErr w:type="spellStart"/>
      <w:r w:rsidR="009E0AA7" w:rsidRPr="005F62F4">
        <w:t>L</w:t>
      </w:r>
      <w:r w:rsidR="00654E09" w:rsidRPr="005F62F4">
        <w:t>efort</w:t>
      </w:r>
      <w:proofErr w:type="spellEnd"/>
      <w:r w:rsidR="00654E09" w:rsidRPr="005F62F4">
        <w:t xml:space="preserve"> 1 osteotomy</w:t>
      </w:r>
      <w:r w:rsidR="009E0AA7" w:rsidRPr="005F62F4">
        <w:t xml:space="preserve"> and </w:t>
      </w:r>
      <w:r w:rsidR="00654E09" w:rsidRPr="005F62F4">
        <w:t>bilateral split osteotomy</w:t>
      </w:r>
      <w:r w:rsidR="009E0AA7" w:rsidRPr="005F62F4">
        <w:t xml:space="preserve"> with or without genioplasty</w:t>
      </w:r>
      <w:r w:rsidR="00491387" w:rsidRPr="005F62F4">
        <w:t xml:space="preserve"> (n =17)</w:t>
      </w:r>
    </w:p>
    <w:p w14:paraId="66900238" w14:textId="4FDC2272" w:rsidR="00101DB2" w:rsidRPr="005F62F4" w:rsidRDefault="00101DB2" w:rsidP="00D05D9A">
      <w:pPr>
        <w:pStyle w:val="ListNumber"/>
      </w:pPr>
      <w:r w:rsidRPr="005F62F4">
        <w:t>S</w:t>
      </w:r>
      <w:r w:rsidR="004E6F63" w:rsidRPr="005F62F4">
        <w:t>egmental</w:t>
      </w:r>
      <w:r w:rsidRPr="005F62F4">
        <w:t xml:space="preserve">: </w:t>
      </w:r>
      <w:r w:rsidR="009E0AA7" w:rsidRPr="005F62F4">
        <w:t xml:space="preserve">patients requiring multi-segment </w:t>
      </w:r>
      <w:proofErr w:type="spellStart"/>
      <w:r w:rsidR="00654E09" w:rsidRPr="005F62F4">
        <w:t>Lefort</w:t>
      </w:r>
      <w:proofErr w:type="spellEnd"/>
      <w:r w:rsidR="004E7A48">
        <w:t> </w:t>
      </w:r>
      <w:r w:rsidR="00654E09" w:rsidRPr="005F62F4">
        <w:t>1 osteotomy</w:t>
      </w:r>
      <w:r w:rsidR="009E0AA7" w:rsidRPr="005F62F4">
        <w:t xml:space="preserve"> and </w:t>
      </w:r>
      <w:r w:rsidR="00654E09" w:rsidRPr="005F62F4">
        <w:t>bilateral split osteotomy</w:t>
      </w:r>
      <w:r w:rsidR="009E0AA7" w:rsidRPr="005F62F4">
        <w:t xml:space="preserve"> with or without a genioplasty</w:t>
      </w:r>
      <w:r w:rsidR="00491387" w:rsidRPr="005F62F4">
        <w:t xml:space="preserve"> (n</w:t>
      </w:r>
      <w:r w:rsidR="005F6896" w:rsidRPr="005F62F4">
        <w:t> = </w:t>
      </w:r>
      <w:r w:rsidR="00491387" w:rsidRPr="005F62F4">
        <w:t>7).</w:t>
      </w:r>
    </w:p>
    <w:p w14:paraId="6D98D3E9" w14:textId="56C51537" w:rsidR="00D259A2" w:rsidRPr="005F62F4" w:rsidRDefault="00D60B53" w:rsidP="00D259A2">
      <w:pPr>
        <w:pStyle w:val="Para"/>
        <w:rPr>
          <w:lang w:eastAsia="en-AU"/>
        </w:rPr>
      </w:pPr>
      <w:r w:rsidRPr="005F62F4">
        <w:rPr>
          <w:lang w:eastAsia="en-AU"/>
        </w:rPr>
        <w:t>All patients</w:t>
      </w:r>
      <w:r w:rsidR="009E0AA7" w:rsidRPr="005F62F4">
        <w:rPr>
          <w:lang w:eastAsia="en-AU"/>
        </w:rPr>
        <w:t xml:space="preserve"> underwent virtual surgical planning </w:t>
      </w:r>
      <w:r w:rsidRPr="005F62F4">
        <w:rPr>
          <w:lang w:eastAsia="en-AU"/>
        </w:rPr>
        <w:t>as well as</w:t>
      </w:r>
      <w:r w:rsidR="009E0AA7" w:rsidRPr="005F62F4">
        <w:rPr>
          <w:lang w:eastAsia="en-AU"/>
        </w:rPr>
        <w:t xml:space="preserve"> standard planning</w:t>
      </w:r>
      <w:r w:rsidR="00BE4D0C" w:rsidRPr="005F62F4">
        <w:t>,</w:t>
      </w:r>
      <w:r w:rsidR="009E0AA7" w:rsidRPr="005F62F4">
        <w:rPr>
          <w:lang w:eastAsia="en-AU"/>
        </w:rPr>
        <w:t xml:space="preserve"> each </w:t>
      </w:r>
      <w:r w:rsidR="00BE4D0C" w:rsidRPr="005F62F4">
        <w:t>conducted independently.</w:t>
      </w:r>
      <w:r w:rsidR="009E0AA7" w:rsidRPr="005F62F4">
        <w:rPr>
          <w:lang w:eastAsia="en-AU"/>
        </w:rPr>
        <w:t xml:space="preserve"> </w:t>
      </w:r>
      <w:r w:rsidRPr="005F62F4">
        <w:rPr>
          <w:lang w:eastAsia="en-AU"/>
        </w:rPr>
        <w:t>Virtual surgical planning</w:t>
      </w:r>
      <w:r w:rsidR="009E0AA7" w:rsidRPr="005F62F4">
        <w:rPr>
          <w:lang w:eastAsia="en-AU"/>
        </w:rPr>
        <w:t xml:space="preserve"> was conducted using </w:t>
      </w:r>
      <w:proofErr w:type="spellStart"/>
      <w:r w:rsidR="009E0AA7" w:rsidRPr="005F62F4">
        <w:rPr>
          <w:lang w:eastAsia="en-AU"/>
        </w:rPr>
        <w:t>ProPlan</w:t>
      </w:r>
      <w:proofErr w:type="spellEnd"/>
      <w:r w:rsidR="009E0AA7" w:rsidRPr="005F62F4">
        <w:rPr>
          <w:lang w:eastAsia="en-AU"/>
        </w:rPr>
        <w:t xml:space="preserve"> software</w:t>
      </w:r>
      <w:r w:rsidR="001C31B8" w:rsidRPr="005F62F4">
        <w:rPr>
          <w:lang w:eastAsia="en-AU"/>
        </w:rPr>
        <w:t xml:space="preserve"> and</w:t>
      </w:r>
      <w:r w:rsidR="009E0AA7" w:rsidRPr="005F62F4">
        <w:rPr>
          <w:lang w:eastAsia="en-AU"/>
        </w:rPr>
        <w:t xml:space="preserve"> involved the preparation of cases, occlusal adjustment</w:t>
      </w:r>
      <w:r w:rsidR="001C31B8" w:rsidRPr="005F62F4">
        <w:rPr>
          <w:lang w:eastAsia="en-AU"/>
        </w:rPr>
        <w:t xml:space="preserve"> and </w:t>
      </w:r>
      <w:r w:rsidR="008E7E28" w:rsidRPr="005F62F4">
        <w:rPr>
          <w:lang w:eastAsia="en-AU"/>
        </w:rPr>
        <w:t xml:space="preserve">a </w:t>
      </w:r>
      <w:r w:rsidR="009E0AA7" w:rsidRPr="005F62F4">
        <w:rPr>
          <w:lang w:eastAsia="en-AU"/>
        </w:rPr>
        <w:t>web planning session</w:t>
      </w:r>
      <w:r w:rsidR="008E7E28" w:rsidRPr="005F62F4">
        <w:rPr>
          <w:lang w:eastAsia="en-AU"/>
        </w:rPr>
        <w:t xml:space="preserve">. </w:t>
      </w:r>
      <w:r w:rsidR="00101DB2" w:rsidRPr="005F62F4">
        <w:t>Splints were 3D printed f</w:t>
      </w:r>
      <w:r w:rsidR="008E7E28" w:rsidRPr="005F62F4">
        <w:t>ollowing</w:t>
      </w:r>
      <w:r w:rsidR="009E0AA7" w:rsidRPr="005F62F4">
        <w:t xml:space="preserve"> plan approval.</w:t>
      </w:r>
    </w:p>
    <w:p w14:paraId="1B067394" w14:textId="77777777" w:rsidR="00D259A2" w:rsidRPr="005F62F4" w:rsidRDefault="00D259A2" w:rsidP="00D05D9A">
      <w:pPr>
        <w:pStyle w:val="Heading5"/>
      </w:pPr>
      <w:r w:rsidRPr="005F62F4">
        <w:t>Outcomes</w:t>
      </w:r>
    </w:p>
    <w:p w14:paraId="618CB7D3" w14:textId="5F6D5B23" w:rsidR="00D259A2" w:rsidRPr="005F62F4" w:rsidRDefault="00101DB2" w:rsidP="00D259A2">
      <w:pPr>
        <w:pStyle w:val="Para"/>
        <w:rPr>
          <w:lang w:eastAsia="en-AU"/>
        </w:rPr>
      </w:pPr>
      <w:r w:rsidRPr="005F62F4">
        <w:rPr>
          <w:lang w:eastAsia="en-AU"/>
        </w:rPr>
        <w:t xml:space="preserve">Surgery </w:t>
      </w:r>
      <w:r w:rsidR="00BE4D0C" w:rsidRPr="005F62F4">
        <w:rPr>
          <w:lang w:eastAsia="en-AU"/>
        </w:rPr>
        <w:t xml:space="preserve">planning </w:t>
      </w:r>
      <w:r w:rsidRPr="005F62F4">
        <w:rPr>
          <w:lang w:eastAsia="en-AU"/>
        </w:rPr>
        <w:t>t</w:t>
      </w:r>
      <w:r w:rsidR="001D7163" w:rsidRPr="005F62F4">
        <w:rPr>
          <w:lang w:eastAsia="en-AU"/>
        </w:rPr>
        <w:t>ime and cost.</w:t>
      </w:r>
    </w:p>
    <w:p w14:paraId="6E75094B" w14:textId="77777777" w:rsidR="00D259A2" w:rsidRPr="005F62F4" w:rsidRDefault="00D259A2" w:rsidP="00D05D9A">
      <w:pPr>
        <w:pStyle w:val="Heading5"/>
      </w:pPr>
      <w:r w:rsidRPr="005F62F4">
        <w:t>Findings</w:t>
      </w:r>
    </w:p>
    <w:p w14:paraId="4247B5DA" w14:textId="55C69F31" w:rsidR="002473D1" w:rsidRPr="005F62F4" w:rsidRDefault="00FF62D3" w:rsidP="002473D1">
      <w:pPr>
        <w:pStyle w:val="Para"/>
        <w:rPr>
          <w:lang w:eastAsia="en-AU"/>
        </w:rPr>
      </w:pPr>
      <w:r w:rsidRPr="005F62F4">
        <w:rPr>
          <w:lang w:eastAsia="en-AU"/>
        </w:rPr>
        <w:t>Virtual surgical planning was significantly faster and less costly than standard planning</w:t>
      </w:r>
      <w:r w:rsidR="00807103" w:rsidRPr="005F62F4">
        <w:rPr>
          <w:lang w:eastAsia="en-AU"/>
        </w:rPr>
        <w:t>, overall and</w:t>
      </w:r>
      <w:r w:rsidR="00DF7942" w:rsidRPr="005F62F4">
        <w:rPr>
          <w:lang w:eastAsia="en-AU"/>
        </w:rPr>
        <w:t xml:space="preserve"> </w:t>
      </w:r>
      <w:r w:rsidR="001120C1" w:rsidRPr="005F62F4">
        <w:rPr>
          <w:lang w:eastAsia="en-AU"/>
        </w:rPr>
        <w:t>in all 3 groups (p</w:t>
      </w:r>
      <w:r w:rsidR="005F6896" w:rsidRPr="005F62F4">
        <w:rPr>
          <w:lang w:eastAsia="en-AU"/>
        </w:rPr>
        <w:t> </w:t>
      </w:r>
      <w:r w:rsidR="001120C1" w:rsidRPr="005F62F4">
        <w:rPr>
          <w:lang w:eastAsia="en-AU"/>
        </w:rPr>
        <w:t>&lt;</w:t>
      </w:r>
      <w:r w:rsidR="005F6896" w:rsidRPr="005F62F4">
        <w:rPr>
          <w:lang w:eastAsia="en-AU"/>
        </w:rPr>
        <w:t> </w:t>
      </w:r>
      <w:r w:rsidR="001120C1" w:rsidRPr="005F62F4">
        <w:rPr>
          <w:lang w:eastAsia="en-AU"/>
        </w:rPr>
        <w:t>0.001).</w:t>
      </w:r>
      <w:r w:rsidR="00807103" w:rsidRPr="005F62F4">
        <w:rPr>
          <w:lang w:eastAsia="en-AU"/>
        </w:rPr>
        <w:t xml:space="preserve"> Overall</w:t>
      </w:r>
      <w:r w:rsidRPr="005F62F4">
        <w:rPr>
          <w:lang w:eastAsia="en-AU"/>
        </w:rPr>
        <w:t xml:space="preserve">, </w:t>
      </w:r>
      <w:r w:rsidR="002473D1" w:rsidRPr="005F62F4">
        <w:rPr>
          <w:lang w:eastAsia="en-AU"/>
        </w:rPr>
        <w:t xml:space="preserve">average </w:t>
      </w:r>
      <w:r w:rsidR="008E7E28" w:rsidRPr="005F62F4">
        <w:rPr>
          <w:lang w:eastAsia="en-AU"/>
        </w:rPr>
        <w:t>virtual surgical planning</w:t>
      </w:r>
      <w:r w:rsidR="002473D1" w:rsidRPr="005F62F4">
        <w:rPr>
          <w:lang w:eastAsia="en-AU"/>
        </w:rPr>
        <w:t xml:space="preserve"> </w:t>
      </w:r>
      <w:r w:rsidR="00E54B9D" w:rsidRPr="005F62F4">
        <w:rPr>
          <w:lang w:eastAsia="en-AU"/>
        </w:rPr>
        <w:t>time</w:t>
      </w:r>
      <w:r w:rsidR="002473D1" w:rsidRPr="005F62F4">
        <w:rPr>
          <w:lang w:eastAsia="en-AU"/>
        </w:rPr>
        <w:t xml:space="preserve"> was 194 minutes </w:t>
      </w:r>
      <w:r w:rsidR="00E54B9D" w:rsidRPr="005F62F4">
        <w:rPr>
          <w:lang w:eastAsia="en-AU"/>
        </w:rPr>
        <w:t xml:space="preserve">and cost </w:t>
      </w:r>
      <w:proofErr w:type="gramStart"/>
      <w:r w:rsidR="00E54B9D" w:rsidRPr="005F62F4">
        <w:rPr>
          <w:lang w:eastAsia="en-AU"/>
        </w:rPr>
        <w:t>was</w:t>
      </w:r>
      <w:proofErr w:type="gramEnd"/>
      <w:r w:rsidR="00E54B9D" w:rsidRPr="005F62F4">
        <w:rPr>
          <w:lang w:eastAsia="en-AU"/>
        </w:rPr>
        <w:t xml:space="preserve"> $2,765.94, </w:t>
      </w:r>
      <w:r w:rsidR="005C0AA1" w:rsidRPr="005F62F4">
        <w:rPr>
          <w:lang w:eastAsia="en-AU"/>
        </w:rPr>
        <w:t>compared to</w:t>
      </w:r>
      <w:r w:rsidR="002473D1" w:rsidRPr="005F62F4">
        <w:rPr>
          <w:lang w:eastAsia="en-AU"/>
        </w:rPr>
        <w:t xml:space="preserve"> 540.9 minutes and $3,519.18 for standard planning. </w:t>
      </w:r>
      <w:r w:rsidR="00E83A83" w:rsidRPr="005F62F4">
        <w:rPr>
          <w:lang w:eastAsia="en-AU"/>
        </w:rPr>
        <w:t>There were no significant differences between the 3 groups:</w:t>
      </w:r>
    </w:p>
    <w:p w14:paraId="4E5998F3" w14:textId="61CBC45B" w:rsidR="002473D1" w:rsidRPr="005F62F4" w:rsidRDefault="002473D1" w:rsidP="002473D1">
      <w:pPr>
        <w:pStyle w:val="Para"/>
        <w:rPr>
          <w:lang w:eastAsia="en-AU"/>
        </w:rPr>
      </w:pPr>
      <w:r w:rsidRPr="005F62F4">
        <w:rPr>
          <w:lang w:eastAsia="en-AU"/>
        </w:rPr>
        <w:t xml:space="preserve">For the symmetric, nonsegmental group, average </w:t>
      </w:r>
      <w:r w:rsidR="00B96598" w:rsidRPr="005F62F4">
        <w:rPr>
          <w:lang w:eastAsia="en-AU"/>
        </w:rPr>
        <w:t xml:space="preserve">virtual surgical planning </w:t>
      </w:r>
      <w:r w:rsidR="00807103" w:rsidRPr="005F62F4">
        <w:rPr>
          <w:lang w:eastAsia="en-AU"/>
        </w:rPr>
        <w:t xml:space="preserve">time </w:t>
      </w:r>
      <w:r w:rsidR="00B96598" w:rsidRPr="005F62F4">
        <w:rPr>
          <w:lang w:eastAsia="en-AU"/>
        </w:rPr>
        <w:t>was</w:t>
      </w:r>
      <w:r w:rsidRPr="005F62F4">
        <w:rPr>
          <w:lang w:eastAsia="en-AU"/>
        </w:rPr>
        <w:t xml:space="preserve"> 188 </w:t>
      </w:r>
      <w:r w:rsidR="00807103" w:rsidRPr="005F62F4">
        <w:rPr>
          <w:lang w:eastAsia="en-AU"/>
        </w:rPr>
        <w:t>minutes and cost was $2,700.52,</w:t>
      </w:r>
      <w:r w:rsidR="00B96598" w:rsidRPr="005F62F4">
        <w:rPr>
          <w:lang w:eastAsia="en-AU"/>
        </w:rPr>
        <w:t xml:space="preserve"> compared to</w:t>
      </w:r>
      <w:r w:rsidRPr="005F62F4">
        <w:rPr>
          <w:lang w:eastAsia="en-AU"/>
        </w:rPr>
        <w:t xml:space="preserve"> 524.4 minutes </w:t>
      </w:r>
      <w:r w:rsidR="00807103" w:rsidRPr="005F62F4">
        <w:rPr>
          <w:lang w:eastAsia="en-AU"/>
        </w:rPr>
        <w:t>and</w:t>
      </w:r>
      <w:r w:rsidRPr="005F62F4">
        <w:rPr>
          <w:lang w:eastAsia="en-AU"/>
        </w:rPr>
        <w:t xml:space="preserve"> $3,380.17</w:t>
      </w:r>
      <w:r w:rsidR="00807103" w:rsidRPr="005F62F4">
        <w:rPr>
          <w:lang w:eastAsia="en-AU"/>
        </w:rPr>
        <w:t xml:space="preserve"> </w:t>
      </w:r>
      <w:r w:rsidR="00B96598" w:rsidRPr="005F62F4">
        <w:rPr>
          <w:lang w:eastAsia="en-AU"/>
        </w:rPr>
        <w:t xml:space="preserve">for </w:t>
      </w:r>
      <w:r w:rsidR="00807103" w:rsidRPr="005F62F4">
        <w:rPr>
          <w:lang w:eastAsia="en-AU"/>
        </w:rPr>
        <w:t>standard</w:t>
      </w:r>
      <w:r w:rsidR="00B96598" w:rsidRPr="005F62F4">
        <w:rPr>
          <w:lang w:eastAsia="en-AU"/>
        </w:rPr>
        <w:t xml:space="preserve"> planning</w:t>
      </w:r>
      <w:r w:rsidRPr="005F62F4">
        <w:rPr>
          <w:lang w:eastAsia="en-AU"/>
        </w:rPr>
        <w:t>.</w:t>
      </w:r>
    </w:p>
    <w:p w14:paraId="3E956AB1" w14:textId="6138CE0B" w:rsidR="00A14924" w:rsidRPr="005F62F4" w:rsidRDefault="002473D1" w:rsidP="002473D1">
      <w:pPr>
        <w:pStyle w:val="Para"/>
        <w:rPr>
          <w:lang w:eastAsia="en-AU"/>
        </w:rPr>
      </w:pPr>
      <w:r w:rsidRPr="005F62F4">
        <w:rPr>
          <w:lang w:eastAsia="en-AU"/>
        </w:rPr>
        <w:t xml:space="preserve">For the asymmetric group, average </w:t>
      </w:r>
      <w:r w:rsidR="00FE37E1" w:rsidRPr="005F62F4">
        <w:rPr>
          <w:lang w:eastAsia="en-AU"/>
        </w:rPr>
        <w:t>virtual surgical planning</w:t>
      </w:r>
      <w:r w:rsidRPr="005F62F4">
        <w:rPr>
          <w:lang w:eastAsia="en-AU"/>
        </w:rPr>
        <w:t xml:space="preserve"> </w:t>
      </w:r>
      <w:r w:rsidR="00807103" w:rsidRPr="005F62F4">
        <w:rPr>
          <w:lang w:eastAsia="en-AU"/>
        </w:rPr>
        <w:t xml:space="preserve">time </w:t>
      </w:r>
      <w:r w:rsidR="00A14924" w:rsidRPr="005F62F4">
        <w:rPr>
          <w:lang w:eastAsia="en-AU"/>
        </w:rPr>
        <w:t xml:space="preserve">was </w:t>
      </w:r>
      <w:r w:rsidRPr="005F62F4">
        <w:rPr>
          <w:lang w:eastAsia="en-AU"/>
        </w:rPr>
        <w:t xml:space="preserve">187.4 </w:t>
      </w:r>
      <w:r w:rsidR="00807103" w:rsidRPr="005F62F4">
        <w:rPr>
          <w:lang w:eastAsia="en-AU"/>
        </w:rPr>
        <w:t>and cost was $3,640.00,</w:t>
      </w:r>
      <w:r w:rsidR="00A14924" w:rsidRPr="005F62F4">
        <w:rPr>
          <w:lang w:eastAsia="en-AU"/>
        </w:rPr>
        <w:t xml:space="preserve"> compared to</w:t>
      </w:r>
      <w:r w:rsidRPr="005F62F4">
        <w:rPr>
          <w:lang w:eastAsia="en-AU"/>
        </w:rPr>
        <w:t xml:space="preserve"> 556.1 minutes </w:t>
      </w:r>
      <w:r w:rsidR="00A14924" w:rsidRPr="005F62F4">
        <w:rPr>
          <w:lang w:eastAsia="en-AU"/>
        </w:rPr>
        <w:t>and $2,713.69 for standard planning</w:t>
      </w:r>
      <w:r w:rsidRPr="005F62F4">
        <w:rPr>
          <w:lang w:eastAsia="en-AU"/>
        </w:rPr>
        <w:t>.</w:t>
      </w:r>
    </w:p>
    <w:p w14:paraId="6811D4C9" w14:textId="5B4566EB" w:rsidR="002473D1" w:rsidRPr="005F62F4" w:rsidRDefault="002473D1" w:rsidP="002473D1">
      <w:pPr>
        <w:pStyle w:val="Para"/>
        <w:rPr>
          <w:lang w:eastAsia="en-AU"/>
        </w:rPr>
      </w:pPr>
      <w:r w:rsidRPr="005F62F4">
        <w:rPr>
          <w:lang w:eastAsia="en-AU"/>
        </w:rPr>
        <w:t xml:space="preserve">For the segmental group, average </w:t>
      </w:r>
      <w:r w:rsidR="00807103" w:rsidRPr="005F62F4">
        <w:rPr>
          <w:lang w:eastAsia="en-AU"/>
        </w:rPr>
        <w:t>virtual surgical planning time</w:t>
      </w:r>
      <w:r w:rsidRPr="005F62F4">
        <w:rPr>
          <w:lang w:eastAsia="en-AU"/>
        </w:rPr>
        <w:t xml:space="preserve"> </w:t>
      </w:r>
      <w:r w:rsidR="00E83A83" w:rsidRPr="005F62F4">
        <w:rPr>
          <w:lang w:eastAsia="en-AU"/>
        </w:rPr>
        <w:t xml:space="preserve">was </w:t>
      </w:r>
      <w:r w:rsidRPr="005F62F4">
        <w:rPr>
          <w:lang w:eastAsia="en-AU"/>
        </w:rPr>
        <w:t xml:space="preserve">208.8 minutes and </w:t>
      </w:r>
      <w:r w:rsidR="00E83A83" w:rsidRPr="005F62F4">
        <w:rPr>
          <w:lang w:eastAsia="en-AU"/>
        </w:rPr>
        <w:t xml:space="preserve">cost </w:t>
      </w:r>
      <w:proofErr w:type="gramStart"/>
      <w:r w:rsidR="00E83A83" w:rsidRPr="005F62F4">
        <w:rPr>
          <w:lang w:eastAsia="en-AU"/>
        </w:rPr>
        <w:t>was</w:t>
      </w:r>
      <w:proofErr w:type="gramEnd"/>
      <w:r w:rsidR="00E83A83" w:rsidRPr="005F62F4">
        <w:rPr>
          <w:lang w:eastAsia="en-AU"/>
        </w:rPr>
        <w:t xml:space="preserve"> </w:t>
      </w:r>
      <w:r w:rsidRPr="005F62F4">
        <w:rPr>
          <w:lang w:eastAsia="en-AU"/>
        </w:rPr>
        <w:t>$2,883.62</w:t>
      </w:r>
      <w:r w:rsidR="00E83A83" w:rsidRPr="005F62F4">
        <w:rPr>
          <w:lang w:eastAsia="en-AU"/>
        </w:rPr>
        <w:t>, compared to</w:t>
      </w:r>
      <w:r w:rsidRPr="005F62F4">
        <w:rPr>
          <w:lang w:eastAsia="en-AU"/>
        </w:rPr>
        <w:t xml:space="preserve"> 542.3 minutes and $3,537.37 for standard planning.</w:t>
      </w:r>
    </w:p>
    <w:p w14:paraId="62781F0F" w14:textId="63218620" w:rsidR="00D259A2" w:rsidRPr="005F62F4" w:rsidRDefault="00D259A2" w:rsidP="00D05D9A">
      <w:pPr>
        <w:pStyle w:val="Heading5"/>
      </w:pPr>
      <w:r w:rsidRPr="005F62F4">
        <w:lastRenderedPageBreak/>
        <w:t>Limitations</w:t>
      </w:r>
    </w:p>
    <w:p w14:paraId="3EB734DE" w14:textId="77777777" w:rsidR="002473D1" w:rsidRPr="005F62F4" w:rsidRDefault="002473D1" w:rsidP="007F3EA0">
      <w:pPr>
        <w:pStyle w:val="ParaKeep"/>
      </w:pPr>
      <w:r w:rsidRPr="005F62F4">
        <w:t>The results may not be generalisable to all oral and maxillofacial practices as assumptions were made in time and cost estimates, and practices and processes may differ across settings.</w:t>
      </w:r>
    </w:p>
    <w:p w14:paraId="354C77F0" w14:textId="4D0ADFBB" w:rsidR="00D259A2" w:rsidRPr="005F62F4" w:rsidRDefault="002473D1" w:rsidP="00D259A2">
      <w:pPr>
        <w:pStyle w:val="Para"/>
        <w:rPr>
          <w:lang w:eastAsia="en-AU"/>
        </w:rPr>
      </w:pPr>
      <w:r w:rsidRPr="005F62F4">
        <w:rPr>
          <w:lang w:eastAsia="en-AU"/>
        </w:rPr>
        <w:t xml:space="preserve">More experienced surgeons may be able to perform the planning more quickly which could alter costings. Further, not all components </w:t>
      </w:r>
      <w:r w:rsidR="00E83A83" w:rsidRPr="005F62F4">
        <w:rPr>
          <w:lang w:eastAsia="en-AU"/>
        </w:rPr>
        <w:t>of</w:t>
      </w:r>
      <w:r w:rsidRPr="005F62F4">
        <w:rPr>
          <w:lang w:eastAsia="en-AU"/>
        </w:rPr>
        <w:t xml:space="preserve"> the planning process were timed. </w:t>
      </w:r>
      <w:r w:rsidR="00E83A83" w:rsidRPr="005F62F4">
        <w:rPr>
          <w:lang w:eastAsia="en-AU"/>
        </w:rPr>
        <w:t>The c</w:t>
      </w:r>
      <w:r w:rsidRPr="005F62F4">
        <w:rPr>
          <w:lang w:eastAsia="en-AU"/>
        </w:rPr>
        <w:t xml:space="preserve">ost of materials </w:t>
      </w:r>
      <w:r w:rsidR="00BC63FF" w:rsidRPr="005F62F4">
        <w:rPr>
          <w:lang w:eastAsia="en-AU"/>
        </w:rPr>
        <w:t>used in standard planning were</w:t>
      </w:r>
      <w:r w:rsidRPr="005F62F4">
        <w:rPr>
          <w:lang w:eastAsia="en-AU"/>
        </w:rPr>
        <w:t xml:space="preserve"> included in </w:t>
      </w:r>
      <w:r w:rsidR="00BC63FF" w:rsidRPr="005F62F4">
        <w:rPr>
          <w:lang w:eastAsia="en-AU"/>
        </w:rPr>
        <w:t xml:space="preserve">overhead costs for </w:t>
      </w:r>
      <w:r w:rsidRPr="005F62F4">
        <w:rPr>
          <w:lang w:eastAsia="en-AU"/>
        </w:rPr>
        <w:t>all calculations</w:t>
      </w:r>
      <w:r w:rsidR="00BC63FF" w:rsidRPr="005F62F4">
        <w:rPr>
          <w:lang w:eastAsia="en-AU"/>
        </w:rPr>
        <w:t>;</w:t>
      </w:r>
      <w:r w:rsidRPr="005F62F4">
        <w:rPr>
          <w:lang w:eastAsia="en-AU"/>
        </w:rPr>
        <w:t xml:space="preserve"> the </w:t>
      </w:r>
      <w:r w:rsidR="001F551B" w:rsidRPr="005F62F4">
        <w:rPr>
          <w:lang w:eastAsia="en-AU"/>
        </w:rPr>
        <w:t>findings could therefore</w:t>
      </w:r>
      <w:r w:rsidRPr="005F62F4">
        <w:rPr>
          <w:lang w:eastAsia="en-AU"/>
        </w:rPr>
        <w:t xml:space="preserve"> underestimate the cost difference between the techniques</w:t>
      </w:r>
      <w:r w:rsidR="00BC63FF" w:rsidRPr="005F62F4">
        <w:rPr>
          <w:lang w:eastAsia="en-AU"/>
        </w:rPr>
        <w:t>.</w:t>
      </w:r>
    </w:p>
    <w:p w14:paraId="51A204D5" w14:textId="77777777" w:rsidR="00D259A2" w:rsidRPr="005F62F4" w:rsidRDefault="00D259A2" w:rsidP="00D05D9A">
      <w:pPr>
        <w:pStyle w:val="Heading5"/>
      </w:pPr>
      <w:r w:rsidRPr="005F62F4">
        <w:t>Conflicts of interest</w:t>
      </w:r>
    </w:p>
    <w:p w14:paraId="4B835BE1" w14:textId="45E1A7CC" w:rsidR="00D259A2" w:rsidRPr="005F62F4" w:rsidRDefault="002473D1" w:rsidP="00692802">
      <w:pPr>
        <w:pStyle w:val="Para"/>
        <w:rPr>
          <w:lang w:eastAsia="en-AU"/>
        </w:rPr>
      </w:pPr>
      <w:r w:rsidRPr="005F62F4">
        <w:rPr>
          <w:lang w:eastAsia="en-AU"/>
        </w:rPr>
        <w:t>Not reported.</w:t>
      </w:r>
    </w:p>
    <w:p w14:paraId="63FDD22C" w14:textId="77777777" w:rsidR="00366E26" w:rsidRPr="005F62F4" w:rsidRDefault="00366E26" w:rsidP="00334DC3">
      <w:r w:rsidRPr="005F62F4">
        <w:br w:type="page"/>
      </w:r>
    </w:p>
    <w:p w14:paraId="2BD92538" w14:textId="23337F23" w:rsidR="00D259A2" w:rsidRPr="005F62F4" w:rsidRDefault="002473D1" w:rsidP="004F2931">
      <w:pPr>
        <w:pStyle w:val="Heading4"/>
      </w:pPr>
      <w:r w:rsidRPr="005F62F4">
        <w:lastRenderedPageBreak/>
        <w:t>Rommel et al. (2017)</w:t>
      </w:r>
    </w:p>
    <w:p w14:paraId="4475B2C8" w14:textId="77777777" w:rsidR="00D259A2" w:rsidRPr="005F62F4" w:rsidRDefault="00D259A2" w:rsidP="00D05D9A">
      <w:pPr>
        <w:pStyle w:val="Heading5"/>
        <w:rPr>
          <w:rStyle w:val="Strong"/>
          <w:b/>
          <w:bCs w:val="0"/>
        </w:rPr>
      </w:pPr>
      <w:r w:rsidRPr="005F62F4">
        <w:rPr>
          <w:rStyle w:val="Strong"/>
          <w:b/>
          <w:bCs w:val="0"/>
        </w:rPr>
        <w:t>Study type (level of evidence)</w:t>
      </w:r>
    </w:p>
    <w:p w14:paraId="72586989" w14:textId="3A2E6401" w:rsidR="00D259A2" w:rsidRPr="005F62F4" w:rsidRDefault="002473D1" w:rsidP="00D259A2">
      <w:pPr>
        <w:pStyle w:val="Para"/>
        <w:rPr>
          <w:lang w:eastAsia="en-AU"/>
        </w:rPr>
      </w:pPr>
      <w:r w:rsidRPr="005F62F4">
        <w:rPr>
          <w:lang w:eastAsia="en-AU"/>
        </w:rPr>
        <w:t>Retrospective case-control (III-2)</w:t>
      </w:r>
    </w:p>
    <w:p w14:paraId="44D5A687" w14:textId="77777777" w:rsidR="00D259A2" w:rsidRPr="005F62F4" w:rsidRDefault="00D259A2" w:rsidP="00D05D9A">
      <w:pPr>
        <w:pStyle w:val="Heading5"/>
      </w:pPr>
      <w:r w:rsidRPr="005F62F4">
        <w:t>Country</w:t>
      </w:r>
    </w:p>
    <w:p w14:paraId="53626953" w14:textId="02D1A23E" w:rsidR="00D259A2" w:rsidRPr="005F62F4" w:rsidRDefault="002473D1" w:rsidP="00D259A2">
      <w:pPr>
        <w:pStyle w:val="Para"/>
        <w:rPr>
          <w:lang w:eastAsia="en-AU"/>
        </w:rPr>
      </w:pPr>
      <w:r w:rsidRPr="005F62F4">
        <w:rPr>
          <w:lang w:eastAsia="en-AU"/>
        </w:rPr>
        <w:t>Germany</w:t>
      </w:r>
    </w:p>
    <w:p w14:paraId="016F7EA8" w14:textId="77777777" w:rsidR="00D259A2" w:rsidRPr="005F62F4" w:rsidRDefault="00D259A2" w:rsidP="00D05D9A">
      <w:pPr>
        <w:pStyle w:val="Heading5"/>
      </w:pPr>
      <w:r w:rsidRPr="005F62F4">
        <w:t>Study information</w:t>
      </w:r>
    </w:p>
    <w:p w14:paraId="2D5A9CEB" w14:textId="70E60130" w:rsidR="00D259A2" w:rsidRPr="005F62F4" w:rsidRDefault="001F551B" w:rsidP="00D259A2">
      <w:pPr>
        <w:pStyle w:val="Para"/>
        <w:rPr>
          <w:lang w:eastAsia="en-AU"/>
        </w:rPr>
      </w:pPr>
      <w:r w:rsidRPr="005F62F4">
        <w:rPr>
          <w:lang w:eastAsia="en-AU"/>
        </w:rPr>
        <w:t>Thirty-one</w:t>
      </w:r>
      <w:r w:rsidR="002F1B27" w:rsidRPr="005F62F4">
        <w:rPr>
          <w:lang w:eastAsia="en-AU"/>
        </w:rPr>
        <w:t xml:space="preserve"> patients who underwent mandibular reconstruction with microvascular free fibular flap after segmental mandibulectomy were divided into </w:t>
      </w:r>
      <w:r w:rsidR="000E3EA9" w:rsidRPr="005F62F4">
        <w:rPr>
          <w:lang w:eastAsia="en-AU"/>
        </w:rPr>
        <w:t xml:space="preserve">2 </w:t>
      </w:r>
      <w:r w:rsidR="002F1B27" w:rsidRPr="005F62F4">
        <w:rPr>
          <w:lang w:eastAsia="en-AU"/>
        </w:rPr>
        <w:t>groups based on how the</w:t>
      </w:r>
      <w:r w:rsidR="00063ED5" w:rsidRPr="005F62F4">
        <w:rPr>
          <w:lang w:eastAsia="en-AU"/>
        </w:rPr>
        <w:t>ir</w:t>
      </w:r>
      <w:r w:rsidR="002F1B27" w:rsidRPr="005F62F4">
        <w:rPr>
          <w:lang w:eastAsia="en-AU"/>
        </w:rPr>
        <w:t xml:space="preserve"> surgery was planned. </w:t>
      </w:r>
      <w:r w:rsidR="00063ED5" w:rsidRPr="005F62F4">
        <w:rPr>
          <w:lang w:eastAsia="en-AU"/>
        </w:rPr>
        <w:t xml:space="preserve">One </w:t>
      </w:r>
      <w:r w:rsidR="002F1B27" w:rsidRPr="005F62F4">
        <w:rPr>
          <w:lang w:eastAsia="en-AU"/>
        </w:rPr>
        <w:t xml:space="preserve">group </w:t>
      </w:r>
      <w:r w:rsidR="00063ED5" w:rsidRPr="005F62F4">
        <w:rPr>
          <w:lang w:eastAsia="en-AU"/>
        </w:rPr>
        <w:t>underwent</w:t>
      </w:r>
      <w:r w:rsidR="002F1B27" w:rsidRPr="005F62F4">
        <w:rPr>
          <w:lang w:eastAsia="en-AU"/>
        </w:rPr>
        <w:t xml:space="preserve"> individual planning</w:t>
      </w:r>
      <w:r w:rsidRPr="005F62F4">
        <w:rPr>
          <w:lang w:eastAsia="en-AU"/>
        </w:rPr>
        <w:t>,</w:t>
      </w:r>
      <w:r w:rsidR="002F1B27" w:rsidRPr="005F62F4">
        <w:rPr>
          <w:lang w:eastAsia="en-AU"/>
        </w:rPr>
        <w:t xml:space="preserve"> </w:t>
      </w:r>
      <w:r w:rsidR="00063ED5" w:rsidRPr="005F62F4">
        <w:rPr>
          <w:lang w:eastAsia="en-AU"/>
        </w:rPr>
        <w:t xml:space="preserve">with </w:t>
      </w:r>
      <w:r w:rsidR="002F1B27" w:rsidRPr="005F62F4">
        <w:rPr>
          <w:lang w:eastAsia="en-AU"/>
        </w:rPr>
        <w:t xml:space="preserve">a stereolithographic model and fibular bone model </w:t>
      </w:r>
      <w:r w:rsidRPr="005F62F4">
        <w:rPr>
          <w:lang w:eastAsia="en-AU"/>
        </w:rPr>
        <w:t xml:space="preserve">produced using </w:t>
      </w:r>
      <w:r w:rsidR="002F1B27" w:rsidRPr="005F62F4">
        <w:rPr>
          <w:lang w:eastAsia="en-AU"/>
        </w:rPr>
        <w:t>a 3D printer (</w:t>
      </w:r>
      <w:proofErr w:type="spellStart"/>
      <w:r w:rsidR="002F1B27" w:rsidRPr="005F62F4">
        <w:rPr>
          <w:lang w:eastAsia="en-AU"/>
        </w:rPr>
        <w:t>Projet</w:t>
      </w:r>
      <w:proofErr w:type="spellEnd"/>
      <w:r w:rsidR="002F1B27" w:rsidRPr="005F62F4">
        <w:rPr>
          <w:lang w:eastAsia="en-AU"/>
        </w:rPr>
        <w:t xml:space="preserve"> 160)</w:t>
      </w:r>
      <w:r w:rsidRPr="005F62F4">
        <w:rPr>
          <w:lang w:eastAsia="en-AU"/>
        </w:rPr>
        <w:t>. C</w:t>
      </w:r>
      <w:r w:rsidR="002F1B27" w:rsidRPr="005F62F4">
        <w:rPr>
          <w:lang w:eastAsia="en-AU"/>
        </w:rPr>
        <w:t>utting guides and drilling templates were subsequently hand</w:t>
      </w:r>
      <w:r w:rsidR="0075441C" w:rsidRPr="005F62F4">
        <w:rPr>
          <w:lang w:eastAsia="en-AU"/>
        </w:rPr>
        <w:t xml:space="preserve"> </w:t>
      </w:r>
      <w:r w:rsidR="002F1B27" w:rsidRPr="005F62F4">
        <w:rPr>
          <w:lang w:eastAsia="en-AU"/>
        </w:rPr>
        <w:t xml:space="preserve">made </w:t>
      </w:r>
      <w:r w:rsidR="00A56C37" w:rsidRPr="005F62F4">
        <w:rPr>
          <w:lang w:eastAsia="en-AU"/>
        </w:rPr>
        <w:t>in</w:t>
      </w:r>
      <w:r w:rsidR="0007491B">
        <w:rPr>
          <w:lang w:eastAsia="en-AU"/>
        </w:rPr>
        <w:t xml:space="preserve"> </w:t>
      </w:r>
      <w:r w:rsidR="00A56C37" w:rsidRPr="005F62F4">
        <w:rPr>
          <w:lang w:eastAsia="en-AU"/>
        </w:rPr>
        <w:t xml:space="preserve">house </w:t>
      </w:r>
      <w:r w:rsidR="002F1B27" w:rsidRPr="005F62F4">
        <w:rPr>
          <w:lang w:eastAsia="en-AU"/>
        </w:rPr>
        <w:t xml:space="preserve">using synthetic composite. </w:t>
      </w:r>
      <w:r w:rsidR="00063ED5" w:rsidRPr="005F62F4">
        <w:rPr>
          <w:lang w:eastAsia="en-AU"/>
        </w:rPr>
        <w:t>T</w:t>
      </w:r>
      <w:r w:rsidR="002F1B27" w:rsidRPr="005F62F4">
        <w:rPr>
          <w:lang w:eastAsia="en-AU"/>
        </w:rPr>
        <w:t>he second group</w:t>
      </w:r>
      <w:r w:rsidR="00063ED5" w:rsidRPr="005F62F4">
        <w:rPr>
          <w:lang w:eastAsia="en-AU"/>
        </w:rPr>
        <w:t xml:space="preserve"> received</w:t>
      </w:r>
      <w:r w:rsidR="002F1B27" w:rsidRPr="005F62F4">
        <w:rPr>
          <w:lang w:eastAsia="en-AU"/>
        </w:rPr>
        <w:t xml:space="preserve"> a complete </w:t>
      </w:r>
      <w:r w:rsidR="00FE37E1" w:rsidRPr="005F62F4">
        <w:rPr>
          <w:lang w:eastAsia="en-AU"/>
        </w:rPr>
        <w:t>virtual surgical planning</w:t>
      </w:r>
      <w:r w:rsidR="002F1B27" w:rsidRPr="005F62F4">
        <w:rPr>
          <w:lang w:eastAsia="en-AU"/>
        </w:rPr>
        <w:t xml:space="preserve"> program</w:t>
      </w:r>
      <w:r w:rsidR="00783BB0" w:rsidRPr="005F62F4">
        <w:rPr>
          <w:lang w:eastAsia="en-AU"/>
        </w:rPr>
        <w:t xml:space="preserve">, including </w:t>
      </w:r>
      <w:r w:rsidR="002F1B27" w:rsidRPr="005F62F4">
        <w:rPr>
          <w:lang w:eastAsia="en-AU"/>
        </w:rPr>
        <w:t xml:space="preserve">virtual planning with </w:t>
      </w:r>
      <w:proofErr w:type="spellStart"/>
      <w:r w:rsidR="002F1B27" w:rsidRPr="005F62F4">
        <w:rPr>
          <w:lang w:eastAsia="en-AU"/>
        </w:rPr>
        <w:t>ProPlan</w:t>
      </w:r>
      <w:proofErr w:type="spellEnd"/>
      <w:r w:rsidR="002F1B27" w:rsidRPr="005F62F4">
        <w:rPr>
          <w:lang w:eastAsia="en-AU"/>
        </w:rPr>
        <w:t xml:space="preserve"> CMF and the fabrication of cutting and reconstruction guides.</w:t>
      </w:r>
    </w:p>
    <w:p w14:paraId="0842AB75" w14:textId="77777777" w:rsidR="00D259A2" w:rsidRPr="005F62F4" w:rsidRDefault="00D259A2" w:rsidP="00D05D9A">
      <w:pPr>
        <w:pStyle w:val="Heading5"/>
      </w:pPr>
      <w:r w:rsidRPr="005F62F4">
        <w:t>Outcomes</w:t>
      </w:r>
    </w:p>
    <w:p w14:paraId="00B85C72" w14:textId="3AEFFF04" w:rsidR="00D259A2" w:rsidRPr="005F62F4" w:rsidRDefault="007470E6" w:rsidP="00D259A2">
      <w:pPr>
        <w:pStyle w:val="Para"/>
        <w:rPr>
          <w:lang w:eastAsia="en-AU"/>
        </w:rPr>
      </w:pPr>
      <w:r w:rsidRPr="005F62F4">
        <w:rPr>
          <w:lang w:eastAsia="en-AU"/>
        </w:rPr>
        <w:t>Intraoperative time, postoperative hospitalisation</w:t>
      </w:r>
      <w:r w:rsidR="00783BB0" w:rsidRPr="005F62F4">
        <w:rPr>
          <w:lang w:eastAsia="en-AU"/>
        </w:rPr>
        <w:t xml:space="preserve"> duration</w:t>
      </w:r>
      <w:r w:rsidRPr="005F62F4">
        <w:rPr>
          <w:lang w:eastAsia="en-AU"/>
        </w:rPr>
        <w:t>, and postoperative complications including plate fracture, dehiscence and flap loss.</w:t>
      </w:r>
    </w:p>
    <w:p w14:paraId="3BBF2E56" w14:textId="77777777" w:rsidR="00D259A2" w:rsidRPr="005F62F4" w:rsidRDefault="00D259A2" w:rsidP="00D05D9A">
      <w:pPr>
        <w:pStyle w:val="Heading5"/>
      </w:pPr>
      <w:r w:rsidRPr="005F62F4">
        <w:t>Findings</w:t>
      </w:r>
    </w:p>
    <w:p w14:paraId="30615BD2" w14:textId="0B9461D0" w:rsidR="00D259A2" w:rsidRPr="005F62F4" w:rsidRDefault="00784514" w:rsidP="00D259A2">
      <w:pPr>
        <w:pStyle w:val="Para"/>
        <w:rPr>
          <w:lang w:eastAsia="en-AU"/>
        </w:rPr>
      </w:pPr>
      <w:r w:rsidRPr="005F62F4">
        <w:rPr>
          <w:lang w:eastAsia="en-AU"/>
        </w:rPr>
        <w:t>There w</w:t>
      </w:r>
      <w:r w:rsidR="00D772F6" w:rsidRPr="005F62F4">
        <w:rPr>
          <w:lang w:eastAsia="en-AU"/>
        </w:rPr>
        <w:t>as</w:t>
      </w:r>
      <w:r w:rsidRPr="005F62F4">
        <w:rPr>
          <w:lang w:eastAsia="en-AU"/>
        </w:rPr>
        <w:t xml:space="preserve"> no statistically significant difference </w:t>
      </w:r>
      <w:r w:rsidR="00C30C03" w:rsidRPr="005F62F4">
        <w:rPr>
          <w:lang w:eastAsia="en-AU"/>
        </w:rPr>
        <w:t xml:space="preserve">in </w:t>
      </w:r>
      <w:r w:rsidR="00783BB0" w:rsidRPr="005F62F4">
        <w:rPr>
          <w:lang w:eastAsia="en-AU"/>
        </w:rPr>
        <w:t>i</w:t>
      </w:r>
      <w:r w:rsidR="007B6846" w:rsidRPr="005F62F4">
        <w:rPr>
          <w:lang w:eastAsia="en-AU"/>
        </w:rPr>
        <w:t>ntraoperative time (p</w:t>
      </w:r>
      <w:r w:rsidR="005F6896" w:rsidRPr="005F62F4">
        <w:rPr>
          <w:lang w:eastAsia="en-AU"/>
        </w:rPr>
        <w:t> = </w:t>
      </w:r>
      <w:r w:rsidR="007B6846" w:rsidRPr="005F62F4">
        <w:rPr>
          <w:lang w:eastAsia="en-AU"/>
        </w:rPr>
        <w:t>0.332)</w:t>
      </w:r>
      <w:r w:rsidR="00783BB0" w:rsidRPr="005F62F4">
        <w:rPr>
          <w:lang w:eastAsia="en-AU"/>
        </w:rPr>
        <w:t xml:space="preserve"> or duration of hospitalisation</w:t>
      </w:r>
      <w:r w:rsidR="007B6846" w:rsidRPr="005F62F4">
        <w:rPr>
          <w:lang w:eastAsia="en-AU"/>
        </w:rPr>
        <w:t xml:space="preserve"> (p</w:t>
      </w:r>
      <w:r w:rsidR="005F6896" w:rsidRPr="005F62F4">
        <w:rPr>
          <w:lang w:eastAsia="en-AU"/>
        </w:rPr>
        <w:t> = </w:t>
      </w:r>
      <w:r w:rsidR="007B6846" w:rsidRPr="005F62F4">
        <w:rPr>
          <w:lang w:eastAsia="en-AU"/>
        </w:rPr>
        <w:t>0.312)</w:t>
      </w:r>
      <w:r w:rsidR="00C30C03" w:rsidRPr="005F62F4">
        <w:rPr>
          <w:lang w:eastAsia="en-AU"/>
        </w:rPr>
        <w:t xml:space="preserve"> between the </w:t>
      </w:r>
      <w:r w:rsidR="00B067D9" w:rsidRPr="005F62F4">
        <w:rPr>
          <w:lang w:eastAsia="en-AU"/>
        </w:rPr>
        <w:t>individual planning group and the virtual surgical planning group</w:t>
      </w:r>
      <w:r w:rsidR="007B6846" w:rsidRPr="005F62F4">
        <w:rPr>
          <w:lang w:eastAsia="en-AU"/>
        </w:rPr>
        <w:t xml:space="preserve">. </w:t>
      </w:r>
      <w:r w:rsidR="00B42B3E" w:rsidRPr="005F62F4">
        <w:rPr>
          <w:lang w:eastAsia="en-AU"/>
        </w:rPr>
        <w:t>There were small but not statistically significant differences between groups i</w:t>
      </w:r>
      <w:r w:rsidR="007B6846" w:rsidRPr="005F62F4">
        <w:rPr>
          <w:lang w:eastAsia="en-AU"/>
        </w:rPr>
        <w:t>n terms of postoperative complications</w:t>
      </w:r>
      <w:r w:rsidR="00B42B3E" w:rsidRPr="005F62F4">
        <w:rPr>
          <w:lang w:eastAsia="en-AU"/>
        </w:rPr>
        <w:t xml:space="preserve">: </w:t>
      </w:r>
      <w:r w:rsidR="007B6846" w:rsidRPr="005F62F4">
        <w:rPr>
          <w:lang w:eastAsia="en-AU"/>
        </w:rPr>
        <w:t>a slightly higher occurrence of wound dehiscence in the individual planning group (33.3% compared to 23.1%</w:t>
      </w:r>
      <w:r w:rsidR="00783BB0" w:rsidRPr="005F62F4">
        <w:rPr>
          <w:lang w:eastAsia="en-AU"/>
        </w:rPr>
        <w:t>in the virtual surgical planning group</w:t>
      </w:r>
      <w:r w:rsidR="007B6846" w:rsidRPr="005F62F4">
        <w:rPr>
          <w:lang w:eastAsia="en-AU"/>
        </w:rPr>
        <w:t xml:space="preserve">) and more plate fractures </w:t>
      </w:r>
      <w:r w:rsidR="003E0C58" w:rsidRPr="005F62F4">
        <w:rPr>
          <w:lang w:eastAsia="en-AU"/>
        </w:rPr>
        <w:t xml:space="preserve">(23.1%) and plate loss (15.4%) </w:t>
      </w:r>
      <w:r w:rsidR="007B6846" w:rsidRPr="005F62F4">
        <w:rPr>
          <w:lang w:eastAsia="en-AU"/>
        </w:rPr>
        <w:t xml:space="preserve">for the </w:t>
      </w:r>
      <w:r w:rsidR="00FE37E1" w:rsidRPr="005F62F4">
        <w:rPr>
          <w:lang w:eastAsia="en-AU"/>
        </w:rPr>
        <w:t>virtual surgical planning</w:t>
      </w:r>
      <w:r w:rsidR="007B6846" w:rsidRPr="005F62F4">
        <w:rPr>
          <w:lang w:eastAsia="en-AU"/>
        </w:rPr>
        <w:t xml:space="preserve"> group than the individual planned group (</w:t>
      </w:r>
      <w:r w:rsidR="003E0C58" w:rsidRPr="005F62F4">
        <w:rPr>
          <w:lang w:eastAsia="en-AU"/>
        </w:rPr>
        <w:t>11.1% and 9.7% respectively)</w:t>
      </w:r>
      <w:r w:rsidR="007B6846" w:rsidRPr="005F62F4">
        <w:rPr>
          <w:lang w:eastAsia="en-AU"/>
        </w:rPr>
        <w:t>.</w:t>
      </w:r>
    </w:p>
    <w:p w14:paraId="220C41F6" w14:textId="77777777" w:rsidR="00D259A2" w:rsidRPr="005F62F4" w:rsidRDefault="00D259A2" w:rsidP="00D05D9A">
      <w:pPr>
        <w:pStyle w:val="Heading5"/>
      </w:pPr>
      <w:r w:rsidRPr="005F62F4">
        <w:t>Limitations</w:t>
      </w:r>
    </w:p>
    <w:p w14:paraId="4B4B3676" w14:textId="51C8A6D1" w:rsidR="00D259A2" w:rsidRPr="005F62F4" w:rsidRDefault="007B6846" w:rsidP="00D259A2">
      <w:pPr>
        <w:pStyle w:val="Para"/>
        <w:rPr>
          <w:lang w:eastAsia="en-AU"/>
        </w:rPr>
      </w:pPr>
      <w:r w:rsidRPr="005F62F4">
        <w:rPr>
          <w:lang w:eastAsia="en-AU"/>
        </w:rPr>
        <w:t>The clinical examinations took place one year after surgery</w:t>
      </w:r>
      <w:r w:rsidR="003E0C58" w:rsidRPr="005F62F4">
        <w:rPr>
          <w:lang w:eastAsia="en-AU"/>
        </w:rPr>
        <w:t>.</w:t>
      </w:r>
      <w:r w:rsidR="00503990" w:rsidRPr="005F62F4">
        <w:rPr>
          <w:lang w:eastAsia="en-AU"/>
        </w:rPr>
        <w:t xml:space="preserve"> </w:t>
      </w:r>
      <w:r w:rsidR="003E0C58" w:rsidRPr="005F62F4">
        <w:rPr>
          <w:lang w:eastAsia="en-AU"/>
        </w:rPr>
        <w:t>L</w:t>
      </w:r>
      <w:r w:rsidRPr="005F62F4">
        <w:rPr>
          <w:lang w:eastAsia="en-AU"/>
        </w:rPr>
        <w:t xml:space="preserve">onger follow-up periods are </w:t>
      </w:r>
      <w:r w:rsidR="002A75A2" w:rsidRPr="005F62F4">
        <w:rPr>
          <w:lang w:eastAsia="en-AU"/>
        </w:rPr>
        <w:t>better</w:t>
      </w:r>
      <w:r w:rsidRPr="005F62F4">
        <w:rPr>
          <w:lang w:eastAsia="en-AU"/>
        </w:rPr>
        <w:t xml:space="preserve"> for detecting potential postoperative complications</w:t>
      </w:r>
      <w:r w:rsidR="002A75A2" w:rsidRPr="005F62F4">
        <w:rPr>
          <w:lang w:eastAsia="en-AU"/>
        </w:rPr>
        <w:t>,</w:t>
      </w:r>
      <w:r w:rsidRPr="005F62F4">
        <w:rPr>
          <w:lang w:eastAsia="en-AU"/>
        </w:rPr>
        <w:t xml:space="preserve"> </w:t>
      </w:r>
      <w:r w:rsidR="003E0C58" w:rsidRPr="005F62F4">
        <w:rPr>
          <w:lang w:eastAsia="en-AU"/>
        </w:rPr>
        <w:t>and</w:t>
      </w:r>
      <w:r w:rsidRPr="005F62F4">
        <w:rPr>
          <w:lang w:eastAsia="en-AU"/>
        </w:rPr>
        <w:t xml:space="preserve"> for assessing the healing process </w:t>
      </w:r>
      <w:r w:rsidR="00252217" w:rsidRPr="005F62F4">
        <w:rPr>
          <w:lang w:eastAsia="en-AU"/>
        </w:rPr>
        <w:t xml:space="preserve">and </w:t>
      </w:r>
      <w:r w:rsidRPr="005F62F4">
        <w:rPr>
          <w:lang w:eastAsia="en-AU"/>
        </w:rPr>
        <w:t>patients</w:t>
      </w:r>
      <w:r w:rsidR="003E0C58" w:rsidRPr="005F62F4">
        <w:rPr>
          <w:lang w:eastAsia="en-AU"/>
        </w:rPr>
        <w:t>’ health</w:t>
      </w:r>
      <w:r w:rsidRPr="005F62F4">
        <w:rPr>
          <w:lang w:eastAsia="en-AU"/>
        </w:rPr>
        <w:t>. The</w:t>
      </w:r>
      <w:r w:rsidR="00AF67D9" w:rsidRPr="005F62F4">
        <w:rPr>
          <w:lang w:eastAsia="en-AU"/>
        </w:rPr>
        <w:t xml:space="preserve"> effectiveness and efficiency of the</w:t>
      </w:r>
      <w:r w:rsidRPr="005F62F4">
        <w:rPr>
          <w:lang w:eastAsia="en-AU"/>
        </w:rPr>
        <w:t xml:space="preserve"> planning technique outlined the study is dependent on a surgeon’s experience</w:t>
      </w:r>
      <w:r w:rsidR="00252217" w:rsidRPr="005F62F4">
        <w:rPr>
          <w:lang w:eastAsia="en-AU"/>
        </w:rPr>
        <w:t>.</w:t>
      </w:r>
    </w:p>
    <w:p w14:paraId="1F751A45" w14:textId="77777777" w:rsidR="00D259A2" w:rsidRPr="005F62F4" w:rsidRDefault="00D259A2" w:rsidP="00D05D9A">
      <w:pPr>
        <w:pStyle w:val="Heading5"/>
      </w:pPr>
      <w:r w:rsidRPr="005F62F4">
        <w:t>Conflicts of interest</w:t>
      </w:r>
    </w:p>
    <w:p w14:paraId="65667DC4" w14:textId="6D0474BC" w:rsidR="007B6846" w:rsidRPr="005F62F4" w:rsidRDefault="007B6846" w:rsidP="007B6846">
      <w:pPr>
        <w:pStyle w:val="Para"/>
        <w:rPr>
          <w:lang w:eastAsia="en-AU"/>
        </w:rPr>
      </w:pPr>
      <w:r w:rsidRPr="005F62F4">
        <w:rPr>
          <w:lang w:eastAsia="en-AU"/>
        </w:rPr>
        <w:t>Nil reported.</w:t>
      </w:r>
    </w:p>
    <w:p w14:paraId="413F9493" w14:textId="77777777" w:rsidR="00366E26" w:rsidRPr="005F62F4" w:rsidRDefault="00366E26" w:rsidP="00366E26">
      <w:r w:rsidRPr="005F62F4">
        <w:br w:type="page"/>
      </w:r>
    </w:p>
    <w:p w14:paraId="1D9CBE50" w14:textId="1F337796" w:rsidR="00D259A2" w:rsidRPr="005F62F4" w:rsidRDefault="00F27F41" w:rsidP="004F2931">
      <w:pPr>
        <w:pStyle w:val="Heading4"/>
      </w:pPr>
      <w:proofErr w:type="spellStart"/>
      <w:r w:rsidRPr="005F62F4">
        <w:lastRenderedPageBreak/>
        <w:t>Seruya</w:t>
      </w:r>
      <w:proofErr w:type="spellEnd"/>
      <w:r w:rsidRPr="005F62F4">
        <w:t xml:space="preserve"> et al. (2013)</w:t>
      </w:r>
    </w:p>
    <w:p w14:paraId="213DCFDE" w14:textId="77777777" w:rsidR="00D259A2" w:rsidRPr="005F62F4" w:rsidRDefault="00D259A2" w:rsidP="00D05D9A">
      <w:pPr>
        <w:pStyle w:val="Heading5"/>
        <w:rPr>
          <w:rStyle w:val="Strong"/>
          <w:b/>
          <w:bCs w:val="0"/>
        </w:rPr>
      </w:pPr>
      <w:r w:rsidRPr="005F62F4">
        <w:rPr>
          <w:rStyle w:val="Strong"/>
          <w:b/>
          <w:bCs w:val="0"/>
        </w:rPr>
        <w:t>Study type (level of evidence)</w:t>
      </w:r>
    </w:p>
    <w:p w14:paraId="5B5C3217" w14:textId="66311AC6" w:rsidR="00D259A2" w:rsidRPr="005F62F4" w:rsidRDefault="00F27F41" w:rsidP="00D259A2">
      <w:pPr>
        <w:pStyle w:val="Para"/>
        <w:rPr>
          <w:lang w:eastAsia="en-AU"/>
        </w:rPr>
      </w:pPr>
      <w:r w:rsidRPr="005F62F4">
        <w:rPr>
          <w:lang w:eastAsia="en-AU"/>
        </w:rPr>
        <w:t>Retrospective case-control (III-2)</w:t>
      </w:r>
    </w:p>
    <w:p w14:paraId="7AFA9044" w14:textId="77777777" w:rsidR="00D259A2" w:rsidRPr="005F62F4" w:rsidRDefault="00D259A2" w:rsidP="00D05D9A">
      <w:pPr>
        <w:pStyle w:val="Heading5"/>
      </w:pPr>
      <w:r w:rsidRPr="005F62F4">
        <w:t>Country</w:t>
      </w:r>
    </w:p>
    <w:p w14:paraId="797D80D4" w14:textId="0CEC1446" w:rsidR="00D259A2" w:rsidRPr="005F62F4" w:rsidRDefault="00F27F41" w:rsidP="00D259A2">
      <w:pPr>
        <w:pStyle w:val="Para"/>
        <w:rPr>
          <w:lang w:eastAsia="en-AU"/>
        </w:rPr>
      </w:pPr>
      <w:r w:rsidRPr="005F62F4">
        <w:rPr>
          <w:lang w:eastAsia="en-AU"/>
        </w:rPr>
        <w:t>USA</w:t>
      </w:r>
    </w:p>
    <w:p w14:paraId="5EC4363B" w14:textId="77777777" w:rsidR="00D259A2" w:rsidRPr="005F62F4" w:rsidRDefault="00D259A2" w:rsidP="00D05D9A">
      <w:pPr>
        <w:pStyle w:val="Heading5"/>
      </w:pPr>
      <w:r w:rsidRPr="005F62F4">
        <w:t>Study information</w:t>
      </w:r>
    </w:p>
    <w:p w14:paraId="286160F5" w14:textId="5BB56348" w:rsidR="00D259A2" w:rsidRPr="005F62F4" w:rsidRDefault="0063012E" w:rsidP="00D259A2">
      <w:pPr>
        <w:pStyle w:val="Para"/>
        <w:rPr>
          <w:lang w:eastAsia="en-AU"/>
        </w:rPr>
      </w:pPr>
      <w:r w:rsidRPr="005F62F4">
        <w:rPr>
          <w:lang w:eastAsia="en-AU"/>
        </w:rPr>
        <w:t>Charts were reviewed for 68 patients</w:t>
      </w:r>
      <w:r w:rsidR="00581067" w:rsidRPr="005F62F4">
        <w:rPr>
          <w:lang w:eastAsia="en-AU"/>
        </w:rPr>
        <w:t xml:space="preserve"> across 2 centres</w:t>
      </w:r>
      <w:r w:rsidR="00AC4354" w:rsidRPr="005F62F4">
        <w:rPr>
          <w:lang w:eastAsia="en-AU"/>
        </w:rPr>
        <w:t xml:space="preserve"> who had undergone fibula free flap surgery for crani</w:t>
      </w:r>
      <w:r w:rsidR="00440CBE" w:rsidRPr="005F62F4">
        <w:rPr>
          <w:lang w:eastAsia="en-AU"/>
        </w:rPr>
        <w:t>ofacial</w:t>
      </w:r>
      <w:r w:rsidR="00AC4354" w:rsidRPr="005F62F4">
        <w:rPr>
          <w:lang w:eastAsia="en-AU"/>
        </w:rPr>
        <w:t xml:space="preserve"> reconstruction</w:t>
      </w:r>
      <w:r w:rsidRPr="005F62F4">
        <w:rPr>
          <w:lang w:eastAsia="en-AU"/>
        </w:rPr>
        <w:t>;</w:t>
      </w:r>
      <w:r w:rsidR="00581067" w:rsidRPr="005F62F4">
        <w:rPr>
          <w:lang w:eastAsia="en-AU"/>
        </w:rPr>
        <w:t xml:space="preserve"> </w:t>
      </w:r>
      <w:r w:rsidR="00AC4354" w:rsidRPr="005F62F4">
        <w:rPr>
          <w:lang w:eastAsia="en-AU"/>
        </w:rPr>
        <w:t xml:space="preserve">58 who had surgery via </w:t>
      </w:r>
      <w:r w:rsidR="00440CBE" w:rsidRPr="005F62F4">
        <w:rPr>
          <w:lang w:eastAsia="en-AU"/>
        </w:rPr>
        <w:t xml:space="preserve">a </w:t>
      </w:r>
      <w:r w:rsidR="00AC4354" w:rsidRPr="005F62F4">
        <w:rPr>
          <w:lang w:eastAsia="en-AU"/>
        </w:rPr>
        <w:t>conventional reconstructive technique between 2003 and 2009</w:t>
      </w:r>
      <w:r w:rsidRPr="005F62F4">
        <w:rPr>
          <w:lang w:eastAsia="en-AU"/>
        </w:rPr>
        <w:t>, and 10</w:t>
      </w:r>
      <w:r w:rsidR="00AC4354" w:rsidRPr="005F62F4">
        <w:rPr>
          <w:lang w:eastAsia="en-AU"/>
        </w:rPr>
        <w:t xml:space="preserve"> </w:t>
      </w:r>
      <w:r w:rsidR="00252217" w:rsidRPr="005F62F4">
        <w:rPr>
          <w:lang w:eastAsia="en-AU"/>
        </w:rPr>
        <w:t xml:space="preserve">who </w:t>
      </w:r>
      <w:r w:rsidR="00440CBE" w:rsidRPr="005F62F4">
        <w:rPr>
          <w:lang w:eastAsia="en-AU"/>
        </w:rPr>
        <w:t>had</w:t>
      </w:r>
      <w:r w:rsidR="00252217" w:rsidRPr="005F62F4">
        <w:rPr>
          <w:lang w:eastAsia="en-AU"/>
        </w:rPr>
        <w:t xml:space="preserve"> under</w:t>
      </w:r>
      <w:r w:rsidR="00440CBE" w:rsidRPr="005F62F4">
        <w:rPr>
          <w:lang w:eastAsia="en-AU"/>
        </w:rPr>
        <w:t>gone</w:t>
      </w:r>
      <w:r w:rsidR="00252217" w:rsidRPr="005F62F4">
        <w:rPr>
          <w:lang w:eastAsia="en-AU"/>
        </w:rPr>
        <w:t xml:space="preserve"> surgery </w:t>
      </w:r>
      <w:r w:rsidR="00440CBE" w:rsidRPr="005F62F4">
        <w:rPr>
          <w:lang w:eastAsia="en-AU"/>
        </w:rPr>
        <w:t xml:space="preserve">between 2010 and 2012 </w:t>
      </w:r>
      <w:r w:rsidR="00AC4354" w:rsidRPr="005F62F4">
        <w:rPr>
          <w:lang w:eastAsia="en-AU"/>
        </w:rPr>
        <w:t>where computer-aided design/computer</w:t>
      </w:r>
      <w:r w:rsidR="00702721" w:rsidRPr="005F62F4">
        <w:rPr>
          <w:lang w:eastAsia="en-AU"/>
        </w:rPr>
        <w:t>-</w:t>
      </w:r>
      <w:r w:rsidR="00AC4354" w:rsidRPr="005F62F4">
        <w:rPr>
          <w:lang w:eastAsia="en-AU"/>
        </w:rPr>
        <w:t xml:space="preserve">aided manufacturing was used. This included virtual reconstruction performed using </w:t>
      </w:r>
      <w:proofErr w:type="spellStart"/>
      <w:r w:rsidR="00AC4354" w:rsidRPr="005F62F4">
        <w:rPr>
          <w:lang w:eastAsia="en-AU"/>
        </w:rPr>
        <w:t>ProPlan</w:t>
      </w:r>
      <w:proofErr w:type="spellEnd"/>
      <w:r w:rsidR="00AC4354" w:rsidRPr="005F62F4">
        <w:rPr>
          <w:lang w:eastAsia="en-AU"/>
        </w:rPr>
        <w:t xml:space="preserve"> CMF, the fabrication of cutting guides and production of a stereolithographic model which was used to prebend miniplates and as an intraoperative reference.</w:t>
      </w:r>
    </w:p>
    <w:p w14:paraId="3AD16395" w14:textId="77777777" w:rsidR="00D259A2" w:rsidRPr="005F62F4" w:rsidRDefault="00D259A2" w:rsidP="00D05D9A">
      <w:pPr>
        <w:pStyle w:val="Heading5"/>
      </w:pPr>
      <w:r w:rsidRPr="005F62F4">
        <w:t>Outcomes</w:t>
      </w:r>
    </w:p>
    <w:p w14:paraId="0E948FA6" w14:textId="1B0F08F2" w:rsidR="00301B0B" w:rsidRPr="005F62F4" w:rsidRDefault="00301B0B" w:rsidP="00301B0B">
      <w:pPr>
        <w:pStyle w:val="Para"/>
        <w:rPr>
          <w:lang w:eastAsia="en-AU"/>
        </w:rPr>
      </w:pPr>
      <w:r w:rsidRPr="005F62F4">
        <w:rPr>
          <w:lang w:eastAsia="en-AU"/>
        </w:rPr>
        <w:t>Intraoperative factors and outcomes</w:t>
      </w:r>
      <w:r w:rsidR="00DD74CC" w:rsidRPr="005F62F4">
        <w:rPr>
          <w:lang w:eastAsia="en-AU"/>
        </w:rPr>
        <w:t xml:space="preserve"> included </w:t>
      </w:r>
      <w:r w:rsidR="00EC4B59" w:rsidRPr="005F62F4">
        <w:rPr>
          <w:lang w:eastAsia="en-AU"/>
        </w:rPr>
        <w:t xml:space="preserve">indications for surgery, skin paddle surface area, bone flap length, number of osteotomies, </w:t>
      </w:r>
      <w:proofErr w:type="spellStart"/>
      <w:r w:rsidR="00EC4B59" w:rsidRPr="005F62F4">
        <w:rPr>
          <w:lang w:eastAsia="en-AU"/>
        </w:rPr>
        <w:t>ischaemia</w:t>
      </w:r>
      <w:proofErr w:type="spellEnd"/>
      <w:r w:rsidR="00EC4B59" w:rsidRPr="005F62F4">
        <w:rPr>
          <w:lang w:eastAsia="en-AU"/>
        </w:rPr>
        <w:t xml:space="preserve"> time, and operative time. </w:t>
      </w:r>
      <w:r w:rsidR="008F63CC" w:rsidRPr="005F62F4">
        <w:rPr>
          <w:lang w:eastAsia="en-AU"/>
        </w:rPr>
        <w:t>P</w:t>
      </w:r>
      <w:r w:rsidRPr="005F62F4">
        <w:rPr>
          <w:lang w:eastAsia="en-AU"/>
        </w:rPr>
        <w:t>erioperative and long-term outcomes</w:t>
      </w:r>
      <w:r w:rsidR="00EC4B59" w:rsidRPr="005F62F4">
        <w:rPr>
          <w:lang w:eastAsia="en-AU"/>
        </w:rPr>
        <w:t xml:space="preserve"> included hospital LOS, </w:t>
      </w:r>
      <w:r w:rsidR="008E6AAC" w:rsidRPr="005F62F4">
        <w:rPr>
          <w:lang w:eastAsia="en-AU"/>
        </w:rPr>
        <w:t>length of follow-up, infection, skin, bone, or flap loss</w:t>
      </w:r>
      <w:r w:rsidR="004A49B9" w:rsidRPr="005F62F4">
        <w:rPr>
          <w:lang w:eastAsia="en-AU"/>
        </w:rPr>
        <w:t xml:space="preserve">, skin or bone </w:t>
      </w:r>
      <w:r w:rsidR="006458F7" w:rsidRPr="005F62F4">
        <w:rPr>
          <w:lang w:eastAsia="en-AU"/>
        </w:rPr>
        <w:t xml:space="preserve">graft, repeated osteotomy, </w:t>
      </w:r>
      <w:r w:rsidR="006D5C46" w:rsidRPr="005F62F4">
        <w:rPr>
          <w:lang w:eastAsia="en-AU"/>
        </w:rPr>
        <w:t>second bone or soft</w:t>
      </w:r>
      <w:r w:rsidR="006857FB" w:rsidRPr="005F62F4">
        <w:rPr>
          <w:lang w:eastAsia="en-AU"/>
        </w:rPr>
        <w:t xml:space="preserve"> </w:t>
      </w:r>
      <w:r w:rsidR="006D5C46" w:rsidRPr="005F62F4">
        <w:rPr>
          <w:lang w:eastAsia="en-AU"/>
        </w:rPr>
        <w:t>tissue free flap</w:t>
      </w:r>
      <w:r w:rsidRPr="005F62F4">
        <w:rPr>
          <w:lang w:eastAsia="en-AU"/>
        </w:rPr>
        <w:t>.</w:t>
      </w:r>
    </w:p>
    <w:p w14:paraId="4F0E67D2" w14:textId="77777777" w:rsidR="00D259A2" w:rsidRPr="005F62F4" w:rsidRDefault="00D259A2" w:rsidP="00D05D9A">
      <w:pPr>
        <w:pStyle w:val="Heading5"/>
      </w:pPr>
      <w:r w:rsidRPr="005F62F4">
        <w:t>Findings</w:t>
      </w:r>
    </w:p>
    <w:p w14:paraId="76B1BBED" w14:textId="1F043EF9" w:rsidR="00D259A2" w:rsidRPr="005F62F4" w:rsidRDefault="005D0D6E" w:rsidP="00D259A2">
      <w:pPr>
        <w:pStyle w:val="Para"/>
        <w:rPr>
          <w:lang w:eastAsia="en-AU"/>
        </w:rPr>
      </w:pPr>
      <w:r w:rsidRPr="005F62F4">
        <w:rPr>
          <w:lang w:eastAsia="en-AU"/>
        </w:rPr>
        <w:t>The computer-aided technique was associated with a significantly higher m</w:t>
      </w:r>
      <w:r w:rsidR="00301B0B" w:rsidRPr="005F62F4">
        <w:rPr>
          <w:lang w:eastAsia="en-AU"/>
        </w:rPr>
        <w:t>edian number of osteotomies (2.0 versus 1.0, p</w:t>
      </w:r>
      <w:r w:rsidR="005F6896" w:rsidRPr="005F62F4">
        <w:rPr>
          <w:lang w:eastAsia="en-AU"/>
        </w:rPr>
        <w:t> = </w:t>
      </w:r>
      <w:r w:rsidR="00301B0B" w:rsidRPr="005F62F4">
        <w:rPr>
          <w:lang w:eastAsia="en-AU"/>
        </w:rPr>
        <w:t>0.002) and</w:t>
      </w:r>
      <w:r w:rsidRPr="005F62F4">
        <w:rPr>
          <w:lang w:eastAsia="en-AU"/>
        </w:rPr>
        <w:t xml:space="preserve"> </w:t>
      </w:r>
      <w:r w:rsidR="00A14487" w:rsidRPr="005F62F4">
        <w:rPr>
          <w:lang w:eastAsia="en-AU"/>
        </w:rPr>
        <w:t>significantly</w:t>
      </w:r>
      <w:r w:rsidRPr="005F62F4">
        <w:rPr>
          <w:lang w:eastAsia="en-AU"/>
        </w:rPr>
        <w:t xml:space="preserve"> shorter</w:t>
      </w:r>
      <w:r w:rsidR="00301B0B" w:rsidRPr="005F62F4">
        <w:rPr>
          <w:lang w:eastAsia="en-AU"/>
        </w:rPr>
        <w:t xml:space="preserve"> median </w:t>
      </w:r>
      <w:proofErr w:type="spellStart"/>
      <w:r w:rsidR="00301B0B" w:rsidRPr="005F62F4">
        <w:rPr>
          <w:lang w:eastAsia="en-AU"/>
        </w:rPr>
        <w:t>isch</w:t>
      </w:r>
      <w:r w:rsidR="00465EA1" w:rsidRPr="005F62F4">
        <w:rPr>
          <w:lang w:eastAsia="en-AU"/>
        </w:rPr>
        <w:t>a</w:t>
      </w:r>
      <w:r w:rsidR="00301B0B" w:rsidRPr="005F62F4">
        <w:rPr>
          <w:lang w:eastAsia="en-AU"/>
        </w:rPr>
        <w:t>emia</w:t>
      </w:r>
      <w:proofErr w:type="spellEnd"/>
      <w:r w:rsidR="00301B0B" w:rsidRPr="005F62F4">
        <w:rPr>
          <w:lang w:eastAsia="en-AU"/>
        </w:rPr>
        <w:t xml:space="preserve"> time (120 minutes versus 170 minutes, p</w:t>
      </w:r>
      <w:r w:rsidR="005F6896" w:rsidRPr="005F62F4">
        <w:rPr>
          <w:lang w:eastAsia="en-AU"/>
        </w:rPr>
        <w:t> = </w:t>
      </w:r>
      <w:r w:rsidR="00301B0B" w:rsidRPr="005F62F4">
        <w:rPr>
          <w:lang w:eastAsia="en-AU"/>
        </w:rPr>
        <w:t xml:space="preserve">0.004) </w:t>
      </w:r>
      <w:r w:rsidR="00056971" w:rsidRPr="005F62F4">
        <w:rPr>
          <w:lang w:eastAsia="en-AU"/>
        </w:rPr>
        <w:t>than</w:t>
      </w:r>
      <w:r w:rsidRPr="005F62F4">
        <w:rPr>
          <w:lang w:eastAsia="en-AU"/>
        </w:rPr>
        <w:t xml:space="preserve"> the</w:t>
      </w:r>
      <w:r w:rsidR="00056971" w:rsidRPr="005F62F4">
        <w:rPr>
          <w:lang w:eastAsia="en-AU"/>
        </w:rPr>
        <w:t xml:space="preserve"> </w:t>
      </w:r>
      <w:r w:rsidR="00301B0B" w:rsidRPr="005F62F4">
        <w:rPr>
          <w:lang w:eastAsia="en-AU"/>
        </w:rPr>
        <w:t xml:space="preserve">conventional technique. </w:t>
      </w:r>
      <w:r w:rsidR="006D1174" w:rsidRPr="005F62F4">
        <w:rPr>
          <w:lang w:eastAsia="en-AU"/>
        </w:rPr>
        <w:t>There were no significant differences in</w:t>
      </w:r>
      <w:r w:rsidR="003C641F" w:rsidRPr="005F62F4">
        <w:rPr>
          <w:lang w:eastAsia="en-AU"/>
        </w:rPr>
        <w:t xml:space="preserve"> intraoperative, perioperative, or lo</w:t>
      </w:r>
      <w:r w:rsidR="00A14487" w:rsidRPr="005F62F4">
        <w:rPr>
          <w:lang w:eastAsia="en-AU"/>
        </w:rPr>
        <w:t>n</w:t>
      </w:r>
      <w:r w:rsidR="003C641F" w:rsidRPr="005F62F4">
        <w:rPr>
          <w:lang w:eastAsia="en-AU"/>
        </w:rPr>
        <w:t>g-term outcomes</w:t>
      </w:r>
      <w:r w:rsidR="00301B0B" w:rsidRPr="005F62F4">
        <w:rPr>
          <w:lang w:eastAsia="en-AU"/>
        </w:rPr>
        <w:t>.</w:t>
      </w:r>
    </w:p>
    <w:p w14:paraId="1B836EBB" w14:textId="77777777" w:rsidR="00D259A2" w:rsidRPr="005F62F4" w:rsidRDefault="00D259A2" w:rsidP="00D05D9A">
      <w:pPr>
        <w:pStyle w:val="Heading5"/>
      </w:pPr>
      <w:r w:rsidRPr="005F62F4">
        <w:t>Limitations</w:t>
      </w:r>
    </w:p>
    <w:p w14:paraId="1C3BCAB0" w14:textId="3413DA95" w:rsidR="00D259A2" w:rsidRPr="005F62F4" w:rsidRDefault="00301B0B" w:rsidP="00D259A2">
      <w:pPr>
        <w:pStyle w:val="Para"/>
        <w:rPr>
          <w:lang w:eastAsia="en-AU"/>
        </w:rPr>
      </w:pPr>
      <w:r w:rsidRPr="005F62F4">
        <w:rPr>
          <w:lang w:eastAsia="en-AU"/>
        </w:rPr>
        <w:t xml:space="preserve">The surgical techniques were conducted at different times and therefore </w:t>
      </w:r>
      <w:r w:rsidR="005D0D6E" w:rsidRPr="005F62F4">
        <w:rPr>
          <w:lang w:eastAsia="en-AU"/>
        </w:rPr>
        <w:t xml:space="preserve">findings </w:t>
      </w:r>
      <w:r w:rsidRPr="005F62F4">
        <w:rPr>
          <w:lang w:eastAsia="en-AU"/>
        </w:rPr>
        <w:t>could have been influenced by the learning curve for the surgeon rather than the surgical technique. There were significant differences in the comorbidity profile of the 2 groups, with patients in the computer-aided group being older and having a higher prevalence of radiotherapy</w:t>
      </w:r>
      <w:r w:rsidR="005464BA" w:rsidRPr="005F62F4">
        <w:rPr>
          <w:lang w:eastAsia="en-AU"/>
        </w:rPr>
        <w:t xml:space="preserve"> exposure</w:t>
      </w:r>
      <w:r w:rsidRPr="005F62F4">
        <w:rPr>
          <w:lang w:eastAsia="en-AU"/>
        </w:rPr>
        <w:t xml:space="preserve">. Additionally, the </w:t>
      </w:r>
      <w:r w:rsidR="005464BA" w:rsidRPr="005F62F4">
        <w:rPr>
          <w:lang w:eastAsia="en-AU"/>
        </w:rPr>
        <w:t xml:space="preserve">small sample size may have resulted in a lack of </w:t>
      </w:r>
      <w:r w:rsidRPr="005F62F4">
        <w:rPr>
          <w:lang w:eastAsia="en-AU"/>
        </w:rPr>
        <w:t>statistical power</w:t>
      </w:r>
      <w:r w:rsidR="005464BA" w:rsidRPr="005F62F4">
        <w:rPr>
          <w:lang w:eastAsia="en-AU"/>
        </w:rPr>
        <w:t xml:space="preserve"> to detect differences </w:t>
      </w:r>
      <w:r w:rsidR="00E773B3" w:rsidRPr="005F62F4">
        <w:rPr>
          <w:lang w:eastAsia="en-AU"/>
        </w:rPr>
        <w:t>between the groups</w:t>
      </w:r>
      <w:r w:rsidRPr="005F62F4">
        <w:rPr>
          <w:lang w:eastAsia="en-AU"/>
        </w:rPr>
        <w:t>.</w:t>
      </w:r>
    </w:p>
    <w:p w14:paraId="3CDB71BE" w14:textId="77777777" w:rsidR="00D259A2" w:rsidRPr="005F62F4" w:rsidRDefault="00D259A2" w:rsidP="00D05D9A">
      <w:pPr>
        <w:pStyle w:val="Heading5"/>
      </w:pPr>
      <w:r w:rsidRPr="005F62F4">
        <w:t>Conflicts of interest</w:t>
      </w:r>
    </w:p>
    <w:p w14:paraId="2C58196A" w14:textId="1C708344" w:rsidR="00301B0B" w:rsidRPr="005F62F4" w:rsidRDefault="00301B0B" w:rsidP="00301B0B">
      <w:pPr>
        <w:pStyle w:val="Para"/>
        <w:rPr>
          <w:lang w:eastAsia="en-AU"/>
        </w:rPr>
      </w:pPr>
      <w:r w:rsidRPr="005F62F4">
        <w:rPr>
          <w:lang w:eastAsia="en-AU"/>
        </w:rPr>
        <w:t>Nil reported.</w:t>
      </w:r>
    </w:p>
    <w:p w14:paraId="01FC64E8" w14:textId="77777777" w:rsidR="00AE1D37" w:rsidRPr="005F62F4" w:rsidRDefault="00AE1D37" w:rsidP="00334DC3">
      <w:r w:rsidRPr="005F62F4">
        <w:br w:type="page"/>
      </w:r>
    </w:p>
    <w:p w14:paraId="2C213505" w14:textId="792B0219" w:rsidR="00D259A2" w:rsidRPr="005F62F4" w:rsidRDefault="00301B0B" w:rsidP="004F2931">
      <w:pPr>
        <w:pStyle w:val="Heading4"/>
      </w:pPr>
      <w:r w:rsidRPr="005F62F4">
        <w:lastRenderedPageBreak/>
        <w:t>Silva et al. (2020)</w:t>
      </w:r>
    </w:p>
    <w:p w14:paraId="10FBBB1D" w14:textId="77777777" w:rsidR="00D259A2" w:rsidRPr="005F62F4" w:rsidRDefault="00D259A2" w:rsidP="00D05D9A">
      <w:pPr>
        <w:pStyle w:val="Heading5"/>
        <w:rPr>
          <w:rStyle w:val="Strong"/>
          <w:b/>
          <w:bCs w:val="0"/>
        </w:rPr>
      </w:pPr>
      <w:r w:rsidRPr="005F62F4">
        <w:rPr>
          <w:rStyle w:val="Strong"/>
          <w:b/>
          <w:bCs w:val="0"/>
        </w:rPr>
        <w:t>Study type (level of evidence)</w:t>
      </w:r>
    </w:p>
    <w:p w14:paraId="24460727" w14:textId="7ACD9574" w:rsidR="00D259A2" w:rsidRPr="005F62F4" w:rsidRDefault="003F1C71" w:rsidP="00AE1D37">
      <w:r w:rsidRPr="005F62F4">
        <w:t>Prospective case-control (III-2)</w:t>
      </w:r>
    </w:p>
    <w:p w14:paraId="2D8D1ED0" w14:textId="77777777" w:rsidR="00D259A2" w:rsidRPr="005F62F4" w:rsidRDefault="00D259A2" w:rsidP="00D05D9A">
      <w:pPr>
        <w:pStyle w:val="Heading5"/>
      </w:pPr>
      <w:r w:rsidRPr="005F62F4">
        <w:t>Country</w:t>
      </w:r>
    </w:p>
    <w:p w14:paraId="19E3DB85" w14:textId="6D0A25F3" w:rsidR="00D259A2" w:rsidRPr="005F62F4" w:rsidRDefault="00F9001D" w:rsidP="00AE1D37">
      <w:r w:rsidRPr="005F62F4">
        <w:t>Singapore</w:t>
      </w:r>
    </w:p>
    <w:p w14:paraId="55693B82" w14:textId="77777777" w:rsidR="00D259A2" w:rsidRPr="005F62F4" w:rsidRDefault="00D259A2" w:rsidP="00D05D9A">
      <w:pPr>
        <w:pStyle w:val="Heading5"/>
      </w:pPr>
      <w:r w:rsidRPr="005F62F4">
        <w:t>Study information</w:t>
      </w:r>
    </w:p>
    <w:p w14:paraId="411CBAED" w14:textId="00F08704" w:rsidR="00D259A2" w:rsidRPr="005F62F4" w:rsidRDefault="00D64EB6" w:rsidP="00D259A2">
      <w:pPr>
        <w:pStyle w:val="Para"/>
        <w:rPr>
          <w:lang w:eastAsia="en-AU"/>
        </w:rPr>
      </w:pPr>
      <w:r w:rsidRPr="005F62F4">
        <w:rPr>
          <w:lang w:eastAsia="en-AU"/>
        </w:rPr>
        <w:t>The intervention group was a</w:t>
      </w:r>
      <w:r w:rsidR="005B349E" w:rsidRPr="005F62F4">
        <w:rPr>
          <w:lang w:eastAsia="en-AU"/>
        </w:rPr>
        <w:t>ll patients (n</w:t>
      </w:r>
      <w:r w:rsidR="005F6896" w:rsidRPr="005F62F4">
        <w:rPr>
          <w:lang w:eastAsia="en-AU"/>
        </w:rPr>
        <w:t> = </w:t>
      </w:r>
      <w:r w:rsidR="005B349E" w:rsidRPr="005F62F4">
        <w:rPr>
          <w:lang w:eastAsia="en-AU"/>
        </w:rPr>
        <w:t xml:space="preserve">44) who underwent primary total knee arthroplasty for osteoarthritis of the knee using </w:t>
      </w:r>
      <w:proofErr w:type="spellStart"/>
      <w:r w:rsidR="003D76D3" w:rsidRPr="005F62F4">
        <w:rPr>
          <w:lang w:eastAsia="en-AU"/>
        </w:rPr>
        <w:t>ProPlan</w:t>
      </w:r>
      <w:proofErr w:type="spellEnd"/>
      <w:r w:rsidR="005B349E" w:rsidRPr="005F62F4">
        <w:rPr>
          <w:lang w:eastAsia="en-AU"/>
        </w:rPr>
        <w:t xml:space="preserve"> Personal Solutions total knee replacement surgery </w:t>
      </w:r>
      <w:r w:rsidR="005464BA" w:rsidRPr="005F62F4">
        <w:rPr>
          <w:lang w:eastAsia="en-AU"/>
        </w:rPr>
        <w:t xml:space="preserve">from </w:t>
      </w:r>
      <w:r w:rsidR="005B349E" w:rsidRPr="005F62F4">
        <w:rPr>
          <w:lang w:eastAsia="en-AU"/>
        </w:rPr>
        <w:t xml:space="preserve">September 2010 </w:t>
      </w:r>
      <w:r w:rsidR="005464BA" w:rsidRPr="005F62F4">
        <w:rPr>
          <w:lang w:eastAsia="en-AU"/>
        </w:rPr>
        <w:t xml:space="preserve">to </w:t>
      </w:r>
      <w:r w:rsidR="005B349E" w:rsidRPr="005F62F4">
        <w:rPr>
          <w:lang w:eastAsia="en-AU"/>
        </w:rPr>
        <w:t xml:space="preserve">August 2012 at a single institution and by a single surgeon. </w:t>
      </w:r>
      <w:r w:rsidR="003E6F67" w:rsidRPr="005F62F4">
        <w:rPr>
          <w:lang w:eastAsia="en-AU"/>
        </w:rPr>
        <w:t>The procedure involved formulating a</w:t>
      </w:r>
      <w:r w:rsidR="00D03C47" w:rsidRPr="005F62F4">
        <w:rPr>
          <w:lang w:eastAsia="en-AU"/>
        </w:rPr>
        <w:t xml:space="preserve"> 3D digital model from CT data</w:t>
      </w:r>
      <w:r w:rsidR="003E6F67" w:rsidRPr="005F62F4">
        <w:rPr>
          <w:lang w:eastAsia="en-AU"/>
        </w:rPr>
        <w:t>, from</w:t>
      </w:r>
      <w:r w:rsidR="00D03C47" w:rsidRPr="005F62F4">
        <w:rPr>
          <w:lang w:eastAsia="en-AU"/>
        </w:rPr>
        <w:t xml:space="preserve"> which customised patient-specific templates </w:t>
      </w:r>
      <w:r w:rsidR="003E6F67" w:rsidRPr="005F62F4">
        <w:rPr>
          <w:lang w:eastAsia="en-AU"/>
        </w:rPr>
        <w:t xml:space="preserve">(including cutting guides) </w:t>
      </w:r>
      <w:r w:rsidR="00D03C47" w:rsidRPr="005F62F4">
        <w:rPr>
          <w:lang w:eastAsia="en-AU"/>
        </w:rPr>
        <w:t xml:space="preserve">were produced. </w:t>
      </w:r>
      <w:r w:rsidRPr="005F62F4">
        <w:rPr>
          <w:lang w:eastAsia="en-AU"/>
        </w:rPr>
        <w:t>The comparison group was a</w:t>
      </w:r>
      <w:r w:rsidR="005B349E" w:rsidRPr="005F62F4">
        <w:rPr>
          <w:lang w:eastAsia="en-AU"/>
        </w:rPr>
        <w:t>n age, gender, side</w:t>
      </w:r>
      <w:r w:rsidR="007835AE" w:rsidRPr="005F62F4">
        <w:rPr>
          <w:lang w:eastAsia="en-AU"/>
        </w:rPr>
        <w:t xml:space="preserve"> (of the surgery)</w:t>
      </w:r>
      <w:r w:rsidR="005B349E" w:rsidRPr="005F62F4">
        <w:rPr>
          <w:lang w:eastAsia="en-AU"/>
        </w:rPr>
        <w:t>, diagnosis and surgeon-matched cohort (n</w:t>
      </w:r>
      <w:r w:rsidR="005F6896" w:rsidRPr="005F62F4">
        <w:rPr>
          <w:lang w:eastAsia="en-AU"/>
        </w:rPr>
        <w:t> = </w:t>
      </w:r>
      <w:r w:rsidR="005B349E" w:rsidRPr="005F62F4">
        <w:rPr>
          <w:lang w:eastAsia="en-AU"/>
        </w:rPr>
        <w:t>44) who underwent conventional surgery.</w:t>
      </w:r>
    </w:p>
    <w:p w14:paraId="063BE1A1" w14:textId="77777777" w:rsidR="00D259A2" w:rsidRPr="005F62F4" w:rsidRDefault="00D259A2" w:rsidP="00D05D9A">
      <w:pPr>
        <w:pStyle w:val="Heading5"/>
      </w:pPr>
      <w:r w:rsidRPr="005F62F4">
        <w:t>Outcomes</w:t>
      </w:r>
    </w:p>
    <w:p w14:paraId="2DD0C351" w14:textId="7752B7D8" w:rsidR="00EB049F" w:rsidRPr="005F62F4" w:rsidRDefault="00EB049F" w:rsidP="00EB049F">
      <w:pPr>
        <w:pStyle w:val="Para"/>
        <w:rPr>
          <w:lang w:eastAsia="en-AU"/>
        </w:rPr>
      </w:pPr>
      <w:r w:rsidRPr="005F62F4">
        <w:rPr>
          <w:lang w:eastAsia="en-AU"/>
        </w:rPr>
        <w:t xml:space="preserve">Accuracy and reliability were measured by comparing intraoperative bone cuts with the preoperative planned cuts. </w:t>
      </w:r>
      <w:r w:rsidR="00A663DF" w:rsidRPr="005F62F4">
        <w:rPr>
          <w:lang w:eastAsia="en-AU"/>
        </w:rPr>
        <w:t>Other outcomes included</w:t>
      </w:r>
      <w:r w:rsidR="00E1234B" w:rsidRPr="005F62F4">
        <w:rPr>
          <w:lang w:eastAsia="en-AU"/>
        </w:rPr>
        <w:t xml:space="preserve"> </w:t>
      </w:r>
      <w:r w:rsidR="00A663DF" w:rsidRPr="005F62F4">
        <w:rPr>
          <w:lang w:eastAsia="en-AU"/>
        </w:rPr>
        <w:t>p</w:t>
      </w:r>
      <w:r w:rsidRPr="005F62F4">
        <w:rPr>
          <w:lang w:eastAsia="en-AU"/>
        </w:rPr>
        <w:t>lanned and actual implant sizes</w:t>
      </w:r>
      <w:r w:rsidR="009E6166" w:rsidRPr="005F62F4">
        <w:rPr>
          <w:lang w:eastAsia="en-AU"/>
        </w:rPr>
        <w:t>,</w:t>
      </w:r>
      <w:r w:rsidRPr="005F62F4">
        <w:rPr>
          <w:lang w:eastAsia="en-AU"/>
        </w:rPr>
        <w:t xml:space="preserve"> mechanical and anatomical alignments, perioperative blood loss, total operative time and intraoperative complications or difficulties.</w:t>
      </w:r>
    </w:p>
    <w:p w14:paraId="688F1F31" w14:textId="77777777" w:rsidR="00D259A2" w:rsidRPr="005F62F4" w:rsidRDefault="00D259A2" w:rsidP="00D05D9A">
      <w:pPr>
        <w:pStyle w:val="Heading5"/>
      </w:pPr>
      <w:r w:rsidRPr="005F62F4">
        <w:t>Findings</w:t>
      </w:r>
    </w:p>
    <w:p w14:paraId="55AC948F" w14:textId="26784C8B" w:rsidR="00D259A2" w:rsidRPr="005F62F4" w:rsidRDefault="002B4019" w:rsidP="00366E26">
      <w:pPr>
        <w:pStyle w:val="Para"/>
        <w:ind w:right="-340"/>
        <w:rPr>
          <w:lang w:eastAsia="en-AU"/>
        </w:rPr>
      </w:pPr>
      <w:r w:rsidRPr="005F62F4">
        <w:rPr>
          <w:lang w:eastAsia="en-AU"/>
        </w:rPr>
        <w:t>P</w:t>
      </w:r>
      <w:r w:rsidR="00547343" w:rsidRPr="005F62F4">
        <w:rPr>
          <w:lang w:eastAsia="en-AU"/>
        </w:rPr>
        <w:t>redicted and actual cuts were significantly different for the d</w:t>
      </w:r>
      <w:r w:rsidR="00EB049F" w:rsidRPr="005F62F4">
        <w:rPr>
          <w:lang w:eastAsia="en-AU"/>
        </w:rPr>
        <w:t>istal medial femur</w:t>
      </w:r>
      <w:r w:rsidR="00547343" w:rsidRPr="005F62F4">
        <w:rPr>
          <w:lang w:eastAsia="en-AU"/>
        </w:rPr>
        <w:t xml:space="preserve"> (p &lt; .001)</w:t>
      </w:r>
      <w:r w:rsidR="00EB049F" w:rsidRPr="005F62F4">
        <w:rPr>
          <w:lang w:eastAsia="en-AU"/>
        </w:rPr>
        <w:t>, distal lateral femur</w:t>
      </w:r>
      <w:r w:rsidR="00547343" w:rsidRPr="005F62F4">
        <w:rPr>
          <w:lang w:eastAsia="en-AU"/>
        </w:rPr>
        <w:t xml:space="preserve"> (p &lt; .001)</w:t>
      </w:r>
      <w:r w:rsidR="00EB049F" w:rsidRPr="005F62F4">
        <w:rPr>
          <w:lang w:eastAsia="en-AU"/>
        </w:rPr>
        <w:t>, posteromedial femur</w:t>
      </w:r>
      <w:r w:rsidR="00547343" w:rsidRPr="005F62F4">
        <w:rPr>
          <w:lang w:eastAsia="en-AU"/>
        </w:rPr>
        <w:t xml:space="preserve"> (p &lt; .001)</w:t>
      </w:r>
      <w:r w:rsidR="00EB049F" w:rsidRPr="005F62F4">
        <w:rPr>
          <w:lang w:eastAsia="en-AU"/>
        </w:rPr>
        <w:t>, posterolateral femur</w:t>
      </w:r>
      <w:r w:rsidR="00547343" w:rsidRPr="005F62F4">
        <w:rPr>
          <w:lang w:eastAsia="en-AU"/>
        </w:rPr>
        <w:t xml:space="preserve"> (p &lt; .001)</w:t>
      </w:r>
      <w:r w:rsidR="00EB049F" w:rsidRPr="005F62F4">
        <w:rPr>
          <w:lang w:eastAsia="en-AU"/>
        </w:rPr>
        <w:t xml:space="preserve">, </w:t>
      </w:r>
      <w:r w:rsidR="00547343" w:rsidRPr="005F62F4">
        <w:rPr>
          <w:lang w:eastAsia="en-AU"/>
        </w:rPr>
        <w:t xml:space="preserve">and </w:t>
      </w:r>
      <w:r w:rsidR="00EB049F" w:rsidRPr="005F62F4">
        <w:rPr>
          <w:lang w:eastAsia="en-AU"/>
        </w:rPr>
        <w:t xml:space="preserve">medial tibial </w:t>
      </w:r>
      <w:r w:rsidR="00547343" w:rsidRPr="005F62F4">
        <w:rPr>
          <w:lang w:eastAsia="en-AU"/>
        </w:rPr>
        <w:t xml:space="preserve">(p &lt; .001), but not the </w:t>
      </w:r>
      <w:r w:rsidR="00EB049F" w:rsidRPr="005F62F4">
        <w:rPr>
          <w:lang w:eastAsia="en-AU"/>
        </w:rPr>
        <w:t xml:space="preserve">lateral tibial </w:t>
      </w:r>
      <w:r w:rsidR="00547343" w:rsidRPr="005F62F4">
        <w:rPr>
          <w:lang w:eastAsia="en-AU"/>
        </w:rPr>
        <w:t>(</w:t>
      </w:r>
      <w:r w:rsidR="00A17EFE" w:rsidRPr="005F62F4">
        <w:rPr>
          <w:lang w:eastAsia="en-AU"/>
        </w:rPr>
        <w:t>p</w:t>
      </w:r>
      <w:r w:rsidR="005F6896" w:rsidRPr="005F62F4">
        <w:rPr>
          <w:lang w:eastAsia="en-AU"/>
        </w:rPr>
        <w:t> = </w:t>
      </w:r>
      <w:r w:rsidR="00A17EFE" w:rsidRPr="005F62F4">
        <w:rPr>
          <w:lang w:eastAsia="en-AU"/>
        </w:rPr>
        <w:t>.12)</w:t>
      </w:r>
      <w:r w:rsidR="00EB049F" w:rsidRPr="005F62F4">
        <w:rPr>
          <w:lang w:eastAsia="en-AU"/>
        </w:rPr>
        <w:t xml:space="preserve">. </w:t>
      </w:r>
      <w:r w:rsidR="00E1306B" w:rsidRPr="005F62F4">
        <w:rPr>
          <w:lang w:eastAsia="en-AU"/>
        </w:rPr>
        <w:t>There</w:t>
      </w:r>
      <w:r w:rsidR="00EB049F" w:rsidRPr="005F62F4">
        <w:rPr>
          <w:lang w:eastAsia="en-AU"/>
        </w:rPr>
        <w:t xml:space="preserve"> </w:t>
      </w:r>
      <w:r w:rsidR="009911C4" w:rsidRPr="005F62F4">
        <w:rPr>
          <w:lang w:eastAsia="en-AU"/>
        </w:rPr>
        <w:t>were</w:t>
      </w:r>
      <w:r w:rsidR="00EB049F" w:rsidRPr="005F62F4">
        <w:rPr>
          <w:lang w:eastAsia="en-AU"/>
        </w:rPr>
        <w:t xml:space="preserve"> no significant difference</w:t>
      </w:r>
      <w:r w:rsidR="009911C4" w:rsidRPr="005F62F4">
        <w:rPr>
          <w:lang w:eastAsia="en-AU"/>
        </w:rPr>
        <w:t>s</w:t>
      </w:r>
      <w:r w:rsidR="00EB049F" w:rsidRPr="005F62F4">
        <w:rPr>
          <w:lang w:eastAsia="en-AU"/>
        </w:rPr>
        <w:t xml:space="preserve"> between the </w:t>
      </w:r>
      <w:r w:rsidR="00A17EFE" w:rsidRPr="005F62F4">
        <w:rPr>
          <w:lang w:eastAsia="en-AU"/>
        </w:rPr>
        <w:t>intervention and comparison</w:t>
      </w:r>
      <w:r w:rsidR="00EB049F" w:rsidRPr="005F62F4">
        <w:rPr>
          <w:lang w:eastAsia="en-AU"/>
        </w:rPr>
        <w:t xml:space="preserve"> groups in terms of </w:t>
      </w:r>
      <w:r w:rsidR="00E1234B" w:rsidRPr="005F62F4">
        <w:rPr>
          <w:lang w:eastAsia="en-AU"/>
        </w:rPr>
        <w:t>operative time</w:t>
      </w:r>
      <w:r w:rsidR="00EB049F" w:rsidRPr="005F62F4">
        <w:rPr>
          <w:lang w:eastAsia="en-AU"/>
        </w:rPr>
        <w:t xml:space="preserve"> (p</w:t>
      </w:r>
      <w:r w:rsidR="005F6896" w:rsidRPr="005F62F4">
        <w:rPr>
          <w:lang w:eastAsia="en-AU"/>
        </w:rPr>
        <w:t> = </w:t>
      </w:r>
      <w:r w:rsidR="00EB049F" w:rsidRPr="005F62F4">
        <w:rPr>
          <w:lang w:eastAsia="en-AU"/>
        </w:rPr>
        <w:t>0.26)</w:t>
      </w:r>
      <w:r w:rsidR="00E1306B" w:rsidRPr="005F62F4">
        <w:rPr>
          <w:lang w:eastAsia="en-AU"/>
        </w:rPr>
        <w:t xml:space="preserve">, </w:t>
      </w:r>
      <w:r w:rsidR="00EB049F" w:rsidRPr="005F62F4">
        <w:rPr>
          <w:lang w:eastAsia="en-AU"/>
        </w:rPr>
        <w:t xml:space="preserve">mechanical </w:t>
      </w:r>
      <w:r w:rsidR="00E1234B" w:rsidRPr="005F62F4">
        <w:rPr>
          <w:lang w:eastAsia="en-AU"/>
        </w:rPr>
        <w:t xml:space="preserve">alignment </w:t>
      </w:r>
      <w:r w:rsidR="00EB049F" w:rsidRPr="005F62F4">
        <w:rPr>
          <w:lang w:eastAsia="en-AU"/>
        </w:rPr>
        <w:t>(p</w:t>
      </w:r>
      <w:r w:rsidR="005F6896" w:rsidRPr="005F62F4">
        <w:rPr>
          <w:lang w:eastAsia="en-AU"/>
        </w:rPr>
        <w:t> = </w:t>
      </w:r>
      <w:r w:rsidR="00EB049F" w:rsidRPr="005F62F4">
        <w:rPr>
          <w:lang w:eastAsia="en-AU"/>
        </w:rPr>
        <w:t>0.96)</w:t>
      </w:r>
      <w:r w:rsidR="007874E2" w:rsidRPr="005F62F4">
        <w:rPr>
          <w:lang w:eastAsia="en-AU"/>
        </w:rPr>
        <w:t xml:space="preserve"> or </w:t>
      </w:r>
      <w:r w:rsidR="00EB049F" w:rsidRPr="005F62F4">
        <w:rPr>
          <w:lang w:eastAsia="en-AU"/>
        </w:rPr>
        <w:t>anatomical alignment (p</w:t>
      </w:r>
      <w:r w:rsidR="005F6896" w:rsidRPr="005F62F4">
        <w:rPr>
          <w:lang w:eastAsia="en-AU"/>
        </w:rPr>
        <w:t> = </w:t>
      </w:r>
      <w:r w:rsidR="00EB049F" w:rsidRPr="005F62F4">
        <w:rPr>
          <w:lang w:eastAsia="en-AU"/>
        </w:rPr>
        <w:t>0.26)</w:t>
      </w:r>
      <w:r w:rsidR="00E1234B" w:rsidRPr="005F62F4">
        <w:rPr>
          <w:lang w:eastAsia="en-AU"/>
        </w:rPr>
        <w:t xml:space="preserve">, </w:t>
      </w:r>
      <w:r w:rsidR="00EB049F" w:rsidRPr="005F62F4">
        <w:rPr>
          <w:lang w:eastAsia="en-AU"/>
        </w:rPr>
        <w:t>changes in mechanical (p</w:t>
      </w:r>
      <w:r w:rsidR="005F6896" w:rsidRPr="005F62F4">
        <w:rPr>
          <w:lang w:eastAsia="en-AU"/>
        </w:rPr>
        <w:t> = </w:t>
      </w:r>
      <w:r w:rsidR="00EB049F" w:rsidRPr="005F62F4">
        <w:rPr>
          <w:lang w:eastAsia="en-AU"/>
        </w:rPr>
        <w:t xml:space="preserve">0.06) </w:t>
      </w:r>
      <w:r w:rsidR="007874E2" w:rsidRPr="005F62F4">
        <w:rPr>
          <w:lang w:eastAsia="en-AU"/>
        </w:rPr>
        <w:t>or</w:t>
      </w:r>
      <w:r w:rsidR="00EB049F" w:rsidRPr="005F62F4">
        <w:rPr>
          <w:lang w:eastAsia="en-AU"/>
        </w:rPr>
        <w:t xml:space="preserve"> anatomical (p</w:t>
      </w:r>
      <w:r w:rsidR="005F6896" w:rsidRPr="005F62F4">
        <w:rPr>
          <w:lang w:eastAsia="en-AU"/>
        </w:rPr>
        <w:t> = </w:t>
      </w:r>
      <w:r w:rsidR="00EB049F" w:rsidRPr="005F62F4">
        <w:rPr>
          <w:lang w:eastAsia="en-AU"/>
        </w:rPr>
        <w:t>0.39) alignment</w:t>
      </w:r>
      <w:r w:rsidR="004F261D" w:rsidRPr="005F62F4">
        <w:rPr>
          <w:lang w:eastAsia="en-AU"/>
        </w:rPr>
        <w:t>, incidence of post-operative wound infection (p</w:t>
      </w:r>
      <w:r w:rsidR="005F6896" w:rsidRPr="005F62F4">
        <w:rPr>
          <w:lang w:eastAsia="en-AU"/>
        </w:rPr>
        <w:t> = </w:t>
      </w:r>
      <w:r w:rsidR="004F261D" w:rsidRPr="005F62F4">
        <w:rPr>
          <w:lang w:eastAsia="en-AU"/>
        </w:rPr>
        <w:t>1.00)</w:t>
      </w:r>
      <w:r w:rsidR="009911C4" w:rsidRPr="005F62F4">
        <w:rPr>
          <w:lang w:eastAsia="en-AU"/>
        </w:rPr>
        <w:t xml:space="preserve">, </w:t>
      </w:r>
      <w:r w:rsidR="004F261D" w:rsidRPr="005F62F4">
        <w:rPr>
          <w:lang w:eastAsia="en-AU"/>
        </w:rPr>
        <w:t>length of inpatient stay (p</w:t>
      </w:r>
      <w:r w:rsidR="005F6896" w:rsidRPr="005F62F4">
        <w:rPr>
          <w:lang w:eastAsia="en-AU"/>
        </w:rPr>
        <w:t> = </w:t>
      </w:r>
      <w:r w:rsidR="004F261D" w:rsidRPr="005F62F4">
        <w:rPr>
          <w:lang w:eastAsia="en-AU"/>
        </w:rPr>
        <w:t>0.66),</w:t>
      </w:r>
      <w:r w:rsidR="009911C4" w:rsidRPr="005F62F4">
        <w:rPr>
          <w:lang w:eastAsia="en-AU"/>
        </w:rPr>
        <w:t xml:space="preserve"> or </w:t>
      </w:r>
      <w:r w:rsidR="004F261D" w:rsidRPr="005F62F4">
        <w:rPr>
          <w:lang w:eastAsia="en-AU"/>
        </w:rPr>
        <w:t>incidence of postoperative superficial wound infection (p</w:t>
      </w:r>
      <w:r w:rsidR="005F6896" w:rsidRPr="005F62F4">
        <w:rPr>
          <w:lang w:eastAsia="en-AU"/>
        </w:rPr>
        <w:t> = </w:t>
      </w:r>
      <w:r w:rsidR="004F261D" w:rsidRPr="005F62F4">
        <w:rPr>
          <w:lang w:eastAsia="en-AU"/>
        </w:rPr>
        <w:t>1.00).</w:t>
      </w:r>
      <w:r w:rsidR="00EB049F" w:rsidRPr="005F62F4">
        <w:rPr>
          <w:lang w:eastAsia="en-AU"/>
        </w:rPr>
        <w:t xml:space="preserve"> There was a greater drop in haemoglobin levels (p</w:t>
      </w:r>
      <w:r w:rsidR="005F6896" w:rsidRPr="005F62F4">
        <w:rPr>
          <w:lang w:eastAsia="en-AU"/>
        </w:rPr>
        <w:t> = </w:t>
      </w:r>
      <w:r w:rsidR="00EB049F" w:rsidRPr="005F62F4">
        <w:rPr>
          <w:lang w:eastAsia="en-AU"/>
        </w:rPr>
        <w:t xml:space="preserve">0.02) for the </w:t>
      </w:r>
      <w:proofErr w:type="spellStart"/>
      <w:r w:rsidR="00804A8D" w:rsidRPr="005F62F4">
        <w:rPr>
          <w:lang w:eastAsia="en-AU"/>
        </w:rPr>
        <w:t>ProPlan</w:t>
      </w:r>
      <w:proofErr w:type="spellEnd"/>
      <w:r w:rsidR="00EB049F" w:rsidRPr="005F62F4">
        <w:rPr>
          <w:lang w:eastAsia="en-AU"/>
        </w:rPr>
        <w:t xml:space="preserve"> Personal Solutions </w:t>
      </w:r>
      <w:r w:rsidR="007874E2" w:rsidRPr="005F62F4">
        <w:rPr>
          <w:lang w:eastAsia="en-AU"/>
        </w:rPr>
        <w:t>group</w:t>
      </w:r>
      <w:r w:rsidR="00E1306B" w:rsidRPr="005F62F4">
        <w:rPr>
          <w:lang w:eastAsia="en-AU"/>
        </w:rPr>
        <w:t xml:space="preserve">, </w:t>
      </w:r>
      <w:r w:rsidR="004F261D" w:rsidRPr="005F62F4">
        <w:rPr>
          <w:lang w:eastAsia="en-AU"/>
        </w:rPr>
        <w:t>and</w:t>
      </w:r>
      <w:r w:rsidR="00E1306B" w:rsidRPr="005F62F4">
        <w:rPr>
          <w:lang w:eastAsia="en-AU"/>
        </w:rPr>
        <w:t xml:space="preserve"> 5 patients requiring</w:t>
      </w:r>
      <w:r w:rsidR="00EB049F" w:rsidRPr="005F62F4">
        <w:rPr>
          <w:lang w:eastAsia="en-AU"/>
        </w:rPr>
        <w:t xml:space="preserve"> transfusions </w:t>
      </w:r>
      <w:r w:rsidR="00E1306B" w:rsidRPr="005F62F4">
        <w:rPr>
          <w:lang w:eastAsia="en-AU"/>
        </w:rPr>
        <w:t>compared to</w:t>
      </w:r>
      <w:r w:rsidR="00EB049F" w:rsidRPr="005F62F4">
        <w:rPr>
          <w:lang w:eastAsia="en-AU"/>
        </w:rPr>
        <w:t xml:space="preserve"> one patient in the conventional group (p</w:t>
      </w:r>
      <w:r w:rsidR="005F6896" w:rsidRPr="005F62F4">
        <w:rPr>
          <w:lang w:eastAsia="en-AU"/>
        </w:rPr>
        <w:t> = </w:t>
      </w:r>
      <w:r w:rsidR="00EB049F" w:rsidRPr="005F62F4">
        <w:rPr>
          <w:lang w:eastAsia="en-AU"/>
        </w:rPr>
        <w:t>0.09).</w:t>
      </w:r>
    </w:p>
    <w:p w14:paraId="58CC1228" w14:textId="77777777" w:rsidR="00D259A2" w:rsidRPr="005F62F4" w:rsidRDefault="00D259A2" w:rsidP="00D05D9A">
      <w:pPr>
        <w:pStyle w:val="Heading5"/>
      </w:pPr>
      <w:r w:rsidRPr="005F62F4">
        <w:t>Limitations</w:t>
      </w:r>
    </w:p>
    <w:p w14:paraId="27E16B10" w14:textId="1A7457A9" w:rsidR="00D259A2" w:rsidRPr="005F62F4" w:rsidRDefault="00B748BE" w:rsidP="00D259A2">
      <w:pPr>
        <w:pStyle w:val="Para"/>
        <w:rPr>
          <w:lang w:eastAsia="en-AU"/>
        </w:rPr>
      </w:pPr>
      <w:r w:rsidRPr="005F62F4">
        <w:rPr>
          <w:lang w:eastAsia="en-AU"/>
        </w:rPr>
        <w:t>While the authors did not explicitly discuss the limitations of the study, they did indicate</w:t>
      </w:r>
      <w:r w:rsidR="00EB049F" w:rsidRPr="005F62F4">
        <w:rPr>
          <w:lang w:eastAsia="en-AU"/>
        </w:rPr>
        <w:t xml:space="preserve"> the need for large-scale </w:t>
      </w:r>
      <w:r w:rsidR="00163027" w:rsidRPr="005F62F4">
        <w:rPr>
          <w:lang w:eastAsia="en-AU"/>
        </w:rPr>
        <w:t>randomised controlled trials</w:t>
      </w:r>
      <w:r w:rsidR="00EB049F" w:rsidRPr="005F62F4">
        <w:rPr>
          <w:lang w:eastAsia="en-AU"/>
        </w:rPr>
        <w:t xml:space="preserve"> to further evaluate the technology. They also suggest</w:t>
      </w:r>
      <w:r w:rsidR="00163027" w:rsidRPr="005F62F4">
        <w:rPr>
          <w:lang w:eastAsia="en-AU"/>
        </w:rPr>
        <w:t>ed</w:t>
      </w:r>
      <w:r w:rsidR="00EB049F" w:rsidRPr="005F62F4">
        <w:rPr>
          <w:lang w:eastAsia="en-AU"/>
        </w:rPr>
        <w:t xml:space="preserve"> that further long-term follow-up is required to investigate long-term benefits as well as implant survival and revision rate.</w:t>
      </w:r>
    </w:p>
    <w:p w14:paraId="0DD5192F" w14:textId="77777777" w:rsidR="00D259A2" w:rsidRPr="005F62F4" w:rsidRDefault="00D259A2" w:rsidP="00D05D9A">
      <w:pPr>
        <w:pStyle w:val="Heading5"/>
      </w:pPr>
      <w:r w:rsidRPr="005F62F4">
        <w:t>Conflicts of interest</w:t>
      </w:r>
    </w:p>
    <w:p w14:paraId="50536A4F" w14:textId="77777777" w:rsidR="00077BF7" w:rsidRDefault="00EB049F" w:rsidP="00AE1D37">
      <w:r w:rsidRPr="005F62F4">
        <w:t>Nil reported.</w:t>
      </w:r>
    </w:p>
    <w:p w14:paraId="56C1EADE" w14:textId="54E41498" w:rsidR="00D259A2" w:rsidRPr="005F62F4" w:rsidRDefault="005B349E" w:rsidP="004F2931">
      <w:pPr>
        <w:pStyle w:val="Heading4"/>
      </w:pPr>
      <w:r w:rsidRPr="005F62F4">
        <w:lastRenderedPageBreak/>
        <w:t>Wang, Fan, et al. (2016)</w:t>
      </w:r>
    </w:p>
    <w:p w14:paraId="6F185D2B" w14:textId="701D2ACA" w:rsidR="00516DF9" w:rsidRPr="005F62F4" w:rsidRDefault="00D259A2" w:rsidP="00D30C12">
      <w:pPr>
        <w:pStyle w:val="Heading5"/>
        <w:spacing w:before="120"/>
        <w:rPr>
          <w:rStyle w:val="Strong"/>
          <w:b/>
          <w:bCs w:val="0"/>
        </w:rPr>
      </w:pPr>
      <w:r w:rsidRPr="005F62F4">
        <w:rPr>
          <w:rStyle w:val="Strong"/>
          <w:b/>
          <w:bCs w:val="0"/>
        </w:rPr>
        <w:t>Study type (level of evidence)</w:t>
      </w:r>
      <w:r w:rsidR="00292195" w:rsidRPr="005F62F4">
        <w:rPr>
          <w:rStyle w:val="Strong"/>
          <w:bCs w:val="0"/>
        </w:rPr>
        <w:t>:</w:t>
      </w:r>
    </w:p>
    <w:p w14:paraId="357BDD5D" w14:textId="5992C83B" w:rsidR="00D259A2" w:rsidRPr="005F62F4" w:rsidRDefault="005B349E" w:rsidP="00516DF9">
      <w:r w:rsidRPr="005F62F4">
        <w:t>Retrospective case-control (III-2)</w:t>
      </w:r>
    </w:p>
    <w:p w14:paraId="6BE7F9AC" w14:textId="77777777" w:rsidR="00D259A2" w:rsidRPr="005F62F4" w:rsidRDefault="00D259A2" w:rsidP="00D05D9A">
      <w:pPr>
        <w:pStyle w:val="Heading5"/>
      </w:pPr>
      <w:r w:rsidRPr="005F62F4">
        <w:t>Country</w:t>
      </w:r>
    </w:p>
    <w:p w14:paraId="3D6220DD" w14:textId="3A5A9EB8" w:rsidR="00D259A2" w:rsidRPr="005F62F4" w:rsidRDefault="005B349E" w:rsidP="00516DF9">
      <w:r w:rsidRPr="005F62F4">
        <w:t>China</w:t>
      </w:r>
    </w:p>
    <w:p w14:paraId="78938EFB" w14:textId="77777777" w:rsidR="00D259A2" w:rsidRPr="005F62F4" w:rsidRDefault="00D259A2" w:rsidP="00D05D9A">
      <w:pPr>
        <w:pStyle w:val="Heading5"/>
      </w:pPr>
      <w:r w:rsidRPr="005F62F4">
        <w:t>Study information</w:t>
      </w:r>
    </w:p>
    <w:p w14:paraId="4FE12513" w14:textId="29FF78DD" w:rsidR="00D259A2" w:rsidRPr="005F62F4" w:rsidRDefault="00F73D52" w:rsidP="00AE1D37">
      <w:pPr>
        <w:pStyle w:val="Para"/>
        <w:ind w:right="-283"/>
        <w:rPr>
          <w:lang w:eastAsia="en-AU"/>
        </w:rPr>
      </w:pPr>
      <w:r w:rsidRPr="005F62F4">
        <w:rPr>
          <w:lang w:eastAsia="en-AU"/>
        </w:rPr>
        <w:t xml:space="preserve">The sample </w:t>
      </w:r>
      <w:r w:rsidR="00163027" w:rsidRPr="005F62F4">
        <w:rPr>
          <w:lang w:eastAsia="en-AU"/>
        </w:rPr>
        <w:t>comprised</w:t>
      </w:r>
      <w:r w:rsidRPr="005F62F4">
        <w:rPr>
          <w:lang w:eastAsia="en-AU"/>
        </w:rPr>
        <w:t xml:space="preserve"> 33 patients who underwent maxillary reconstruction with vasculari</w:t>
      </w:r>
      <w:r w:rsidR="00227F48" w:rsidRPr="005F62F4">
        <w:rPr>
          <w:lang w:eastAsia="en-AU"/>
        </w:rPr>
        <w:t>s</w:t>
      </w:r>
      <w:r w:rsidRPr="005F62F4">
        <w:rPr>
          <w:lang w:eastAsia="en-AU"/>
        </w:rPr>
        <w:t xml:space="preserve">ed fibular graft after tumour ablation between March 2013 and 2015. Of these patients, 18 underwent the reconstruction using the virtual surgical planning software </w:t>
      </w:r>
      <w:proofErr w:type="spellStart"/>
      <w:r w:rsidRPr="005F62F4">
        <w:rPr>
          <w:lang w:eastAsia="en-AU"/>
        </w:rPr>
        <w:t>ProPlan</w:t>
      </w:r>
      <w:proofErr w:type="spellEnd"/>
      <w:r w:rsidRPr="005F62F4">
        <w:rPr>
          <w:lang w:eastAsia="en-AU"/>
        </w:rPr>
        <w:t xml:space="preserve"> CMF. For this virtual planning group, </w:t>
      </w:r>
      <w:proofErr w:type="spellStart"/>
      <w:r w:rsidRPr="005F62F4">
        <w:rPr>
          <w:lang w:eastAsia="en-AU"/>
        </w:rPr>
        <w:t>stereomodels</w:t>
      </w:r>
      <w:proofErr w:type="spellEnd"/>
      <w:r w:rsidRPr="005F62F4">
        <w:rPr>
          <w:lang w:eastAsia="en-AU"/>
        </w:rPr>
        <w:t xml:space="preserve"> including a reconstruction model, maxillary osteotomy guide, fibular osteotomy guide and reconstruction template were made. The surgery was then performed using the prefabricated guides and the titanium miniplates were pre-bent on the reconstruction model. The other 15 patients underwent conventional surgery without virtual surgical planning.</w:t>
      </w:r>
    </w:p>
    <w:p w14:paraId="0B582757" w14:textId="77777777" w:rsidR="00D259A2" w:rsidRPr="005F62F4" w:rsidRDefault="00D259A2" w:rsidP="00D05D9A">
      <w:pPr>
        <w:pStyle w:val="Heading5"/>
      </w:pPr>
      <w:r w:rsidRPr="005F62F4">
        <w:t>Outcomes</w:t>
      </w:r>
    </w:p>
    <w:p w14:paraId="4FE9FB7D" w14:textId="011ABBF6" w:rsidR="00D259A2" w:rsidRPr="005F62F4" w:rsidRDefault="00A80DA0" w:rsidP="00D259A2">
      <w:pPr>
        <w:pStyle w:val="Para"/>
        <w:rPr>
          <w:lang w:eastAsia="en-AU"/>
        </w:rPr>
      </w:pPr>
      <w:r w:rsidRPr="005F62F4">
        <w:rPr>
          <w:lang w:eastAsia="en-AU"/>
        </w:rPr>
        <w:t>Precision of the cutting guides and templates was assessed through the position of the fibular flaps, precise bone-to-bone contact between the maxilla and fibular segments and the contour of the fibular flap segments. Other outcomes included o</w:t>
      </w:r>
      <w:r w:rsidR="00F73D52" w:rsidRPr="005F62F4">
        <w:rPr>
          <w:lang w:eastAsia="en-AU"/>
        </w:rPr>
        <w:t>perative time, post</w:t>
      </w:r>
      <w:r w:rsidR="00C4537C" w:rsidRPr="005F62F4">
        <w:rPr>
          <w:lang w:eastAsia="en-AU"/>
        </w:rPr>
        <w:t>-</w:t>
      </w:r>
      <w:r w:rsidR="00F73D52" w:rsidRPr="005F62F4">
        <w:rPr>
          <w:lang w:eastAsia="en-AU"/>
        </w:rPr>
        <w:t xml:space="preserve">operative facial appearance, occlusal function, </w:t>
      </w:r>
      <w:proofErr w:type="spellStart"/>
      <w:r w:rsidR="00F73D52" w:rsidRPr="005F62F4">
        <w:rPr>
          <w:lang w:eastAsia="en-AU"/>
        </w:rPr>
        <w:t>isch</w:t>
      </w:r>
      <w:r w:rsidR="00465EA1" w:rsidRPr="005F62F4">
        <w:rPr>
          <w:lang w:eastAsia="en-AU"/>
        </w:rPr>
        <w:t>a</w:t>
      </w:r>
      <w:r w:rsidR="00F73D52" w:rsidRPr="005F62F4">
        <w:rPr>
          <w:lang w:eastAsia="en-AU"/>
        </w:rPr>
        <w:t>emia</w:t>
      </w:r>
      <w:proofErr w:type="spellEnd"/>
      <w:r w:rsidR="00F73D52" w:rsidRPr="005F62F4">
        <w:rPr>
          <w:lang w:eastAsia="en-AU"/>
        </w:rPr>
        <w:t xml:space="preserve"> time, intelligible speech, regular diet.</w:t>
      </w:r>
      <w:r w:rsidRPr="005F62F4">
        <w:rPr>
          <w:lang w:eastAsia="en-AU"/>
        </w:rPr>
        <w:t xml:space="preserve"> Postoperative photos and CT scans were taken to evaluate the surgery 6 months postoperatively.</w:t>
      </w:r>
    </w:p>
    <w:p w14:paraId="5E61BDCE" w14:textId="77777777" w:rsidR="00D259A2" w:rsidRPr="005F62F4" w:rsidRDefault="00D259A2" w:rsidP="00D05D9A">
      <w:pPr>
        <w:pStyle w:val="Heading5"/>
      </w:pPr>
      <w:r w:rsidRPr="005F62F4">
        <w:t>Findings</w:t>
      </w:r>
    </w:p>
    <w:p w14:paraId="66BB680B" w14:textId="6A22F4C2" w:rsidR="00D259A2" w:rsidRPr="005F62F4" w:rsidRDefault="00F73D52" w:rsidP="00D259A2">
      <w:pPr>
        <w:pStyle w:val="Para"/>
        <w:rPr>
          <w:lang w:eastAsia="en-AU"/>
        </w:rPr>
      </w:pPr>
      <w:r w:rsidRPr="005F62F4">
        <w:rPr>
          <w:lang w:eastAsia="en-AU"/>
        </w:rPr>
        <w:t xml:space="preserve">Total operative time </w:t>
      </w:r>
      <w:r w:rsidR="008E4182" w:rsidRPr="005F62F4">
        <w:rPr>
          <w:lang w:eastAsia="en-AU"/>
        </w:rPr>
        <w:t>was</w:t>
      </w:r>
      <w:r w:rsidRPr="005F62F4">
        <w:rPr>
          <w:lang w:eastAsia="en-AU"/>
        </w:rPr>
        <w:t xml:space="preserve"> significantly shorter </w:t>
      </w:r>
      <w:r w:rsidR="00B9243F" w:rsidRPr="005F62F4">
        <w:rPr>
          <w:lang w:eastAsia="en-AU"/>
        </w:rPr>
        <w:t>(</w:t>
      </w:r>
      <w:r w:rsidR="00A80DA0" w:rsidRPr="005F62F4">
        <w:rPr>
          <w:lang w:eastAsia="en-AU"/>
        </w:rPr>
        <w:t>p</w:t>
      </w:r>
      <w:r w:rsidR="005F6896" w:rsidRPr="005F62F4">
        <w:rPr>
          <w:lang w:eastAsia="en-AU"/>
        </w:rPr>
        <w:t> = </w:t>
      </w:r>
      <w:r w:rsidR="00A80DA0" w:rsidRPr="005F62F4">
        <w:rPr>
          <w:lang w:eastAsia="en-AU"/>
        </w:rPr>
        <w:t xml:space="preserve">.007) </w:t>
      </w:r>
      <w:r w:rsidRPr="005F62F4">
        <w:rPr>
          <w:lang w:eastAsia="en-AU"/>
        </w:rPr>
        <w:t xml:space="preserve">for the virtual planning group </w:t>
      </w:r>
      <w:r w:rsidR="00A80DA0" w:rsidRPr="005F62F4">
        <w:rPr>
          <w:lang w:eastAsia="en-AU"/>
        </w:rPr>
        <w:t xml:space="preserve">(5.8 hours ±1.1) </w:t>
      </w:r>
      <w:r w:rsidRPr="005F62F4">
        <w:rPr>
          <w:lang w:eastAsia="en-AU"/>
        </w:rPr>
        <w:t>than for the conventional planning group</w:t>
      </w:r>
      <w:r w:rsidR="00B9243F" w:rsidRPr="005F62F4">
        <w:rPr>
          <w:lang w:eastAsia="en-AU"/>
        </w:rPr>
        <w:t xml:space="preserve"> (7.1 hours ±1.4). </w:t>
      </w:r>
      <w:r w:rsidRPr="005F62F4">
        <w:rPr>
          <w:lang w:eastAsia="en-AU"/>
        </w:rPr>
        <w:t xml:space="preserve">The virtual planning group </w:t>
      </w:r>
      <w:r w:rsidR="00B9243F" w:rsidRPr="005F62F4">
        <w:rPr>
          <w:lang w:eastAsia="en-AU"/>
        </w:rPr>
        <w:t xml:space="preserve">also experienced slightly shorter </w:t>
      </w:r>
      <w:proofErr w:type="spellStart"/>
      <w:r w:rsidR="00B9243F" w:rsidRPr="005F62F4">
        <w:rPr>
          <w:lang w:eastAsia="en-AU"/>
        </w:rPr>
        <w:t>ischaemia</w:t>
      </w:r>
      <w:proofErr w:type="spellEnd"/>
      <w:r w:rsidR="00B9243F" w:rsidRPr="005F62F4">
        <w:rPr>
          <w:lang w:eastAsia="en-AU"/>
        </w:rPr>
        <w:t xml:space="preserve"> time on average</w:t>
      </w:r>
      <w:r w:rsidR="008D6B55" w:rsidRPr="005F62F4">
        <w:rPr>
          <w:lang w:eastAsia="en-AU"/>
        </w:rPr>
        <w:t xml:space="preserve">, at </w:t>
      </w:r>
      <w:r w:rsidRPr="005F62F4">
        <w:rPr>
          <w:lang w:eastAsia="en-AU"/>
        </w:rPr>
        <w:t xml:space="preserve">62 minutes </w:t>
      </w:r>
      <w:r w:rsidR="00503990" w:rsidRPr="005F62F4">
        <w:rPr>
          <w:lang w:eastAsia="en-AU"/>
        </w:rPr>
        <w:t>(</w:t>
      </w:r>
      <w:r w:rsidRPr="005F62F4">
        <w:rPr>
          <w:lang w:eastAsia="en-AU"/>
        </w:rPr>
        <w:t>±12</w:t>
      </w:r>
      <w:r w:rsidR="00503990" w:rsidRPr="005F62F4">
        <w:rPr>
          <w:lang w:eastAsia="en-AU"/>
        </w:rPr>
        <w:t>)</w:t>
      </w:r>
      <w:r w:rsidRPr="005F62F4">
        <w:rPr>
          <w:lang w:eastAsia="en-AU"/>
        </w:rPr>
        <w:t xml:space="preserve"> compared to 79 </w:t>
      </w:r>
      <w:r w:rsidR="00503990" w:rsidRPr="005F62F4">
        <w:rPr>
          <w:lang w:eastAsia="en-AU"/>
        </w:rPr>
        <w:t>(</w:t>
      </w:r>
      <w:r w:rsidRPr="005F62F4">
        <w:rPr>
          <w:lang w:eastAsia="en-AU"/>
        </w:rPr>
        <w:t>±16</w:t>
      </w:r>
      <w:r w:rsidR="00503990" w:rsidRPr="005F62F4">
        <w:rPr>
          <w:lang w:eastAsia="en-AU"/>
        </w:rPr>
        <w:t>)</w:t>
      </w:r>
      <w:r w:rsidRPr="005F62F4">
        <w:rPr>
          <w:lang w:eastAsia="en-AU"/>
        </w:rPr>
        <w:t xml:space="preserve"> for the conventional surgery group (p</w:t>
      </w:r>
      <w:r w:rsidR="005F6896" w:rsidRPr="005F62F4">
        <w:rPr>
          <w:lang w:eastAsia="en-AU"/>
        </w:rPr>
        <w:t> = </w:t>
      </w:r>
      <w:r w:rsidRPr="005F62F4">
        <w:rPr>
          <w:lang w:eastAsia="en-AU"/>
        </w:rPr>
        <w:t xml:space="preserve">0.012). </w:t>
      </w:r>
      <w:r w:rsidR="008E4182" w:rsidRPr="005F62F4">
        <w:rPr>
          <w:lang w:eastAsia="en-AU"/>
        </w:rPr>
        <w:t xml:space="preserve">Accuracy was higher in the </w:t>
      </w:r>
      <w:r w:rsidRPr="005F62F4">
        <w:rPr>
          <w:lang w:eastAsia="en-AU"/>
        </w:rPr>
        <w:t>virtual planning group</w:t>
      </w:r>
      <w:r w:rsidR="008E4182" w:rsidRPr="005F62F4">
        <w:rPr>
          <w:lang w:eastAsia="en-AU"/>
        </w:rPr>
        <w:t xml:space="preserve">, evidence by </w:t>
      </w:r>
      <w:r w:rsidR="00F86F75" w:rsidRPr="005F62F4">
        <w:rPr>
          <w:lang w:eastAsia="en-AU"/>
        </w:rPr>
        <w:t xml:space="preserve">a higher proportion of patients </w:t>
      </w:r>
      <w:r w:rsidR="00B748BE" w:rsidRPr="005F62F4">
        <w:rPr>
          <w:lang w:eastAsia="en-AU"/>
        </w:rPr>
        <w:t>with pre</w:t>
      </w:r>
      <w:r w:rsidR="008E4182" w:rsidRPr="005F62F4">
        <w:rPr>
          <w:lang w:eastAsia="en-AU"/>
        </w:rPr>
        <w:t xml:space="preserve">cise bone-to-bone contact between the maxilla and fibular segments </w:t>
      </w:r>
      <w:r w:rsidRPr="005F62F4">
        <w:rPr>
          <w:lang w:eastAsia="en-AU"/>
        </w:rPr>
        <w:t>(</w:t>
      </w:r>
      <w:r w:rsidR="00F9106D" w:rsidRPr="005F62F4">
        <w:rPr>
          <w:lang w:eastAsia="en-AU"/>
        </w:rPr>
        <w:t xml:space="preserve">94% vs 20%; </w:t>
      </w:r>
      <w:r w:rsidRPr="005F62F4">
        <w:rPr>
          <w:lang w:eastAsia="en-AU"/>
        </w:rPr>
        <w:t>p</w:t>
      </w:r>
      <w:r w:rsidR="005F6896" w:rsidRPr="005F62F4">
        <w:rPr>
          <w:lang w:eastAsia="en-AU"/>
        </w:rPr>
        <w:t> = </w:t>
      </w:r>
      <w:r w:rsidRPr="005F62F4">
        <w:rPr>
          <w:lang w:eastAsia="en-AU"/>
        </w:rPr>
        <w:t xml:space="preserve">0.001) </w:t>
      </w:r>
      <w:r w:rsidR="009E0849" w:rsidRPr="005F62F4">
        <w:rPr>
          <w:lang w:eastAsia="en-AU"/>
        </w:rPr>
        <w:t xml:space="preserve">and </w:t>
      </w:r>
      <w:r w:rsidR="00B748BE" w:rsidRPr="005F62F4">
        <w:rPr>
          <w:lang w:eastAsia="en-AU"/>
        </w:rPr>
        <w:t xml:space="preserve">lower rates of horizontal and vertical overextension of </w:t>
      </w:r>
      <w:r w:rsidRPr="005F62F4">
        <w:rPr>
          <w:lang w:eastAsia="en-AU"/>
        </w:rPr>
        <w:t xml:space="preserve">fibular </w:t>
      </w:r>
      <w:r w:rsidR="00B748BE" w:rsidRPr="005F62F4">
        <w:rPr>
          <w:lang w:eastAsia="en-AU"/>
        </w:rPr>
        <w:t>segments</w:t>
      </w:r>
      <w:r w:rsidR="00F9106D" w:rsidRPr="005F62F4">
        <w:rPr>
          <w:lang w:eastAsia="en-AU"/>
        </w:rPr>
        <w:t xml:space="preserve"> </w:t>
      </w:r>
      <w:r w:rsidRPr="005F62F4">
        <w:rPr>
          <w:lang w:eastAsia="en-AU"/>
        </w:rPr>
        <w:t>(p</w:t>
      </w:r>
      <w:r w:rsidR="005F6896" w:rsidRPr="005F62F4">
        <w:rPr>
          <w:lang w:eastAsia="en-AU"/>
        </w:rPr>
        <w:t> = </w:t>
      </w:r>
      <w:r w:rsidRPr="005F62F4">
        <w:rPr>
          <w:lang w:eastAsia="en-AU"/>
        </w:rPr>
        <w:t xml:space="preserve">0.001). </w:t>
      </w:r>
      <w:r w:rsidR="00EA42D4" w:rsidRPr="005F62F4">
        <w:rPr>
          <w:lang w:eastAsia="en-AU"/>
        </w:rPr>
        <w:t>P</w:t>
      </w:r>
      <w:r w:rsidR="00CB7558" w:rsidRPr="005F62F4">
        <w:rPr>
          <w:lang w:eastAsia="en-AU"/>
        </w:rPr>
        <w:t>atients in the virtual planning group were slightly more likely to report good p</w:t>
      </w:r>
      <w:r w:rsidRPr="005F62F4">
        <w:rPr>
          <w:lang w:eastAsia="en-AU"/>
        </w:rPr>
        <w:t>ostoperative midfacial appearance (p</w:t>
      </w:r>
      <w:r w:rsidR="005F6896" w:rsidRPr="005F62F4">
        <w:rPr>
          <w:lang w:eastAsia="en-AU"/>
        </w:rPr>
        <w:t> = </w:t>
      </w:r>
      <w:r w:rsidRPr="005F62F4">
        <w:rPr>
          <w:lang w:eastAsia="en-AU"/>
        </w:rPr>
        <w:t xml:space="preserve">0.043). </w:t>
      </w:r>
      <w:r w:rsidR="00B748BE" w:rsidRPr="005F62F4">
        <w:rPr>
          <w:lang w:eastAsia="en-AU"/>
        </w:rPr>
        <w:t xml:space="preserve">There were no differences in </w:t>
      </w:r>
      <w:r w:rsidRPr="005F62F4">
        <w:rPr>
          <w:lang w:eastAsia="en-AU"/>
        </w:rPr>
        <w:t>functional mandibular range</w:t>
      </w:r>
      <w:r w:rsidR="00B748BE" w:rsidRPr="005F62F4">
        <w:rPr>
          <w:lang w:eastAsia="en-AU"/>
        </w:rPr>
        <w:t xml:space="preserve">, </w:t>
      </w:r>
      <w:r w:rsidRPr="005F62F4">
        <w:rPr>
          <w:lang w:eastAsia="en-AU"/>
        </w:rPr>
        <w:t>occlusion</w:t>
      </w:r>
      <w:r w:rsidR="00B748BE" w:rsidRPr="005F62F4">
        <w:rPr>
          <w:lang w:eastAsia="en-AU"/>
        </w:rPr>
        <w:t xml:space="preserve">, intelligible speech, or return to regular diet </w:t>
      </w:r>
      <w:r w:rsidRPr="005F62F4">
        <w:rPr>
          <w:lang w:eastAsia="en-AU"/>
        </w:rPr>
        <w:t>between the groups</w:t>
      </w:r>
      <w:r w:rsidR="00B748BE" w:rsidRPr="005F62F4">
        <w:rPr>
          <w:lang w:eastAsia="en-AU"/>
        </w:rPr>
        <w:t>.</w:t>
      </w:r>
    </w:p>
    <w:p w14:paraId="3E935087" w14:textId="77777777" w:rsidR="00D259A2" w:rsidRPr="005F62F4" w:rsidRDefault="00D259A2" w:rsidP="00D05D9A">
      <w:pPr>
        <w:pStyle w:val="Heading5"/>
      </w:pPr>
      <w:r w:rsidRPr="005F62F4">
        <w:t>Limitations</w:t>
      </w:r>
    </w:p>
    <w:p w14:paraId="34851F6A" w14:textId="37AE0053" w:rsidR="00D259A2" w:rsidRPr="005F62F4" w:rsidRDefault="00F73D52" w:rsidP="00D259A2">
      <w:pPr>
        <w:pStyle w:val="Para"/>
        <w:rPr>
          <w:lang w:eastAsia="en-AU"/>
        </w:rPr>
      </w:pPr>
      <w:r w:rsidRPr="005F62F4">
        <w:rPr>
          <w:lang w:eastAsia="en-AU"/>
        </w:rPr>
        <w:t>The authors did not identify limitations to the study, nor make recommendations for further research.</w:t>
      </w:r>
    </w:p>
    <w:p w14:paraId="7212ED36" w14:textId="77777777" w:rsidR="00D259A2" w:rsidRPr="005F62F4" w:rsidRDefault="00D259A2" w:rsidP="00D05D9A">
      <w:pPr>
        <w:pStyle w:val="Heading5"/>
      </w:pPr>
      <w:r w:rsidRPr="005F62F4">
        <w:t>Conflicts of interest</w:t>
      </w:r>
    </w:p>
    <w:p w14:paraId="739ACF99" w14:textId="19DB74FC" w:rsidR="003A0ECA" w:rsidRPr="005F62F4" w:rsidRDefault="00F73D52" w:rsidP="00AE1D37">
      <w:r w:rsidRPr="005F62F4">
        <w:t>Nil reported</w:t>
      </w:r>
      <w:r w:rsidR="00B80EE0" w:rsidRPr="005F62F4">
        <w:t>.</w:t>
      </w:r>
      <w:r w:rsidR="003A0ECA" w:rsidRPr="005F62F4">
        <w:br w:type="page"/>
      </w:r>
    </w:p>
    <w:p w14:paraId="5EC5B4A8" w14:textId="1CD984E1" w:rsidR="00D259A2" w:rsidRPr="005F62F4" w:rsidRDefault="00F73D52" w:rsidP="004F2931">
      <w:pPr>
        <w:pStyle w:val="Heading4"/>
      </w:pPr>
      <w:r w:rsidRPr="005F62F4">
        <w:lastRenderedPageBreak/>
        <w:t>Wang, Zhang, et al. (2016)</w:t>
      </w:r>
    </w:p>
    <w:p w14:paraId="61B07EE0" w14:textId="77777777" w:rsidR="00D259A2" w:rsidRPr="005F62F4" w:rsidRDefault="00D259A2" w:rsidP="00D05D9A">
      <w:pPr>
        <w:pStyle w:val="Heading5"/>
        <w:rPr>
          <w:rStyle w:val="Strong"/>
          <w:b/>
          <w:bCs w:val="0"/>
        </w:rPr>
      </w:pPr>
      <w:r w:rsidRPr="005F62F4">
        <w:rPr>
          <w:rStyle w:val="Strong"/>
          <w:b/>
          <w:bCs w:val="0"/>
        </w:rPr>
        <w:t>Study type (level of evidence)</w:t>
      </w:r>
    </w:p>
    <w:p w14:paraId="4B003C27" w14:textId="0C8BA25E" w:rsidR="00D259A2" w:rsidRPr="005F62F4" w:rsidRDefault="00C92675" w:rsidP="00D259A2">
      <w:pPr>
        <w:pStyle w:val="Para"/>
        <w:rPr>
          <w:lang w:eastAsia="en-AU"/>
        </w:rPr>
      </w:pPr>
      <w:r w:rsidRPr="005F62F4">
        <w:t>Prospective case-control (III-2)</w:t>
      </w:r>
    </w:p>
    <w:p w14:paraId="631089C5" w14:textId="77777777" w:rsidR="00D259A2" w:rsidRPr="005F62F4" w:rsidRDefault="00D259A2" w:rsidP="00D05D9A">
      <w:pPr>
        <w:pStyle w:val="Heading5"/>
      </w:pPr>
      <w:r w:rsidRPr="005F62F4">
        <w:t>Country</w:t>
      </w:r>
    </w:p>
    <w:p w14:paraId="0C823019" w14:textId="6EC1EDEF" w:rsidR="00D259A2" w:rsidRPr="005F62F4" w:rsidRDefault="00C92675" w:rsidP="00D259A2">
      <w:pPr>
        <w:pStyle w:val="Para"/>
        <w:rPr>
          <w:lang w:eastAsia="en-AU"/>
        </w:rPr>
      </w:pPr>
      <w:r w:rsidRPr="005F62F4">
        <w:rPr>
          <w:lang w:eastAsia="en-AU"/>
        </w:rPr>
        <w:t>China</w:t>
      </w:r>
    </w:p>
    <w:p w14:paraId="797BE746" w14:textId="77777777" w:rsidR="00D259A2" w:rsidRPr="005F62F4" w:rsidRDefault="00D259A2" w:rsidP="00D05D9A">
      <w:pPr>
        <w:pStyle w:val="Heading5"/>
      </w:pPr>
      <w:r w:rsidRPr="005F62F4">
        <w:t>Study information</w:t>
      </w:r>
    </w:p>
    <w:p w14:paraId="2164717A" w14:textId="3B63D853" w:rsidR="00D259A2" w:rsidRPr="005F62F4" w:rsidRDefault="0052350D" w:rsidP="00D259A2">
      <w:pPr>
        <w:pStyle w:val="Para"/>
        <w:rPr>
          <w:lang w:eastAsia="en-AU"/>
        </w:rPr>
      </w:pPr>
      <w:r w:rsidRPr="005F62F4">
        <w:rPr>
          <w:lang w:eastAsia="en-AU"/>
        </w:rPr>
        <w:t>Twenty-one</w:t>
      </w:r>
      <w:r w:rsidR="00B80EE0" w:rsidRPr="005F62F4">
        <w:rPr>
          <w:lang w:eastAsia="en-AU"/>
        </w:rPr>
        <w:t xml:space="preserve"> patients underwent mandibular reconstruction with vasculari</w:t>
      </w:r>
      <w:r w:rsidR="00227F48" w:rsidRPr="005F62F4">
        <w:rPr>
          <w:lang w:eastAsia="en-AU"/>
        </w:rPr>
        <w:t>s</w:t>
      </w:r>
      <w:r w:rsidR="00B80EE0" w:rsidRPr="005F62F4">
        <w:rPr>
          <w:lang w:eastAsia="en-AU"/>
        </w:rPr>
        <w:t xml:space="preserve">ed fibula grafts using </w:t>
      </w:r>
      <w:proofErr w:type="spellStart"/>
      <w:r w:rsidR="00B80EE0" w:rsidRPr="005F62F4">
        <w:rPr>
          <w:lang w:eastAsia="en-AU"/>
        </w:rPr>
        <w:t>ProPlan</w:t>
      </w:r>
      <w:proofErr w:type="spellEnd"/>
      <w:r w:rsidR="00B80EE0" w:rsidRPr="005F62F4">
        <w:rPr>
          <w:lang w:eastAsia="en-AU"/>
        </w:rPr>
        <w:t xml:space="preserve"> CMF between February 2013 and February 2015</w:t>
      </w:r>
      <w:r w:rsidR="0089063C" w:rsidRPr="005F62F4">
        <w:rPr>
          <w:lang w:eastAsia="en-AU"/>
        </w:rPr>
        <w:t xml:space="preserve">. </w:t>
      </w:r>
      <w:proofErr w:type="spellStart"/>
      <w:r w:rsidR="0089063C" w:rsidRPr="005F62F4">
        <w:rPr>
          <w:lang w:eastAsia="en-AU"/>
        </w:rPr>
        <w:t>Stereomodels</w:t>
      </w:r>
      <w:proofErr w:type="spellEnd"/>
      <w:r w:rsidR="0089063C" w:rsidRPr="005F62F4">
        <w:rPr>
          <w:lang w:eastAsia="en-AU"/>
        </w:rPr>
        <w:t xml:space="preserve"> comprising a reconstruction model, osteotomy guide and reconstruction template were produced, and the surgery was then performed using the prefabricated guides. I</w:t>
      </w:r>
      <w:r w:rsidR="00787091" w:rsidRPr="005F62F4">
        <w:rPr>
          <w:lang w:eastAsia="en-AU"/>
        </w:rPr>
        <w:t xml:space="preserve">n the same </w:t>
      </w:r>
      <w:proofErr w:type="gramStart"/>
      <w:r w:rsidR="00787091" w:rsidRPr="005F62F4">
        <w:rPr>
          <w:lang w:eastAsia="en-AU"/>
        </w:rPr>
        <w:t>time period</w:t>
      </w:r>
      <w:proofErr w:type="gramEnd"/>
      <w:r w:rsidR="0089063C" w:rsidRPr="005F62F4">
        <w:rPr>
          <w:lang w:eastAsia="en-AU"/>
        </w:rPr>
        <w:t>,</w:t>
      </w:r>
      <w:r w:rsidR="00787091" w:rsidRPr="005F62F4">
        <w:rPr>
          <w:lang w:eastAsia="en-AU"/>
        </w:rPr>
        <w:t xml:space="preserve"> </w:t>
      </w:r>
      <w:r w:rsidR="00B80EE0" w:rsidRPr="005F62F4">
        <w:rPr>
          <w:lang w:eastAsia="en-AU"/>
        </w:rPr>
        <w:t>another 35 patients underwent conventional surgery</w:t>
      </w:r>
      <w:r w:rsidR="0089063C" w:rsidRPr="005F62F4">
        <w:rPr>
          <w:lang w:eastAsia="en-AU"/>
        </w:rPr>
        <w:t xml:space="preserve">, </w:t>
      </w:r>
      <w:r w:rsidR="00B80EE0" w:rsidRPr="005F62F4">
        <w:rPr>
          <w:lang w:eastAsia="en-AU"/>
        </w:rPr>
        <w:t>performed based on the surgeon’s experience.</w:t>
      </w:r>
    </w:p>
    <w:p w14:paraId="25621157" w14:textId="77777777" w:rsidR="00D259A2" w:rsidRPr="005F62F4" w:rsidRDefault="00D259A2" w:rsidP="00D05D9A">
      <w:pPr>
        <w:pStyle w:val="Heading5"/>
      </w:pPr>
      <w:r w:rsidRPr="005F62F4">
        <w:t>Outcomes</w:t>
      </w:r>
    </w:p>
    <w:p w14:paraId="3E3FFD0A" w14:textId="1DA28C77" w:rsidR="00D259A2" w:rsidRPr="005F62F4" w:rsidRDefault="00B80EE0" w:rsidP="00D259A2">
      <w:pPr>
        <w:pStyle w:val="Para"/>
        <w:rPr>
          <w:lang w:eastAsia="en-AU"/>
        </w:rPr>
      </w:pPr>
      <w:r w:rsidRPr="005F62F4">
        <w:rPr>
          <w:lang w:eastAsia="en-AU"/>
        </w:rPr>
        <w:t xml:space="preserve">Operative time, postoperative computed tomography scans, facial appearance and occlusal function were the main outcome measures. </w:t>
      </w:r>
      <w:proofErr w:type="spellStart"/>
      <w:r w:rsidRPr="005F62F4">
        <w:rPr>
          <w:lang w:eastAsia="en-AU"/>
        </w:rPr>
        <w:t>Isch</w:t>
      </w:r>
      <w:r w:rsidR="00465EA1" w:rsidRPr="005F62F4">
        <w:rPr>
          <w:lang w:eastAsia="en-AU"/>
        </w:rPr>
        <w:t>a</w:t>
      </w:r>
      <w:r w:rsidRPr="005F62F4">
        <w:rPr>
          <w:lang w:eastAsia="en-AU"/>
        </w:rPr>
        <w:t>emia</w:t>
      </w:r>
      <w:proofErr w:type="spellEnd"/>
      <w:r w:rsidRPr="005F62F4">
        <w:rPr>
          <w:lang w:eastAsia="en-AU"/>
        </w:rPr>
        <w:t xml:space="preserve"> time and precision were also assessed, with precision being evaluated through bone-to-bone contact, condyle position and the position among plate, mandible and fibula segment. Postoperative facial appearance, regular diet and intelligible speech were also assessed.</w:t>
      </w:r>
      <w:r w:rsidR="0089063C" w:rsidRPr="005F62F4">
        <w:rPr>
          <w:lang w:eastAsia="en-AU"/>
        </w:rPr>
        <w:t xml:space="preserve"> </w:t>
      </w:r>
      <w:r w:rsidR="0065381A" w:rsidRPr="005F62F4">
        <w:rPr>
          <w:lang w:eastAsia="en-AU"/>
        </w:rPr>
        <w:t xml:space="preserve">Outcomes at 6 months were assessed using </w:t>
      </w:r>
      <w:r w:rsidR="0089063C" w:rsidRPr="005F62F4">
        <w:rPr>
          <w:lang w:eastAsia="en-AU"/>
        </w:rPr>
        <w:t xml:space="preserve">CT scans </w:t>
      </w:r>
      <w:r w:rsidR="0065381A" w:rsidRPr="005F62F4">
        <w:rPr>
          <w:lang w:eastAsia="en-AU"/>
        </w:rPr>
        <w:t>and patient evaluation</w:t>
      </w:r>
      <w:r w:rsidR="0089063C" w:rsidRPr="005F62F4">
        <w:rPr>
          <w:lang w:eastAsia="en-AU"/>
        </w:rPr>
        <w:t>.</w:t>
      </w:r>
    </w:p>
    <w:p w14:paraId="37DB3895" w14:textId="77777777" w:rsidR="00D259A2" w:rsidRPr="005F62F4" w:rsidRDefault="00D259A2" w:rsidP="00D05D9A">
      <w:pPr>
        <w:pStyle w:val="Heading5"/>
      </w:pPr>
      <w:r w:rsidRPr="005F62F4">
        <w:t>Findings</w:t>
      </w:r>
    </w:p>
    <w:p w14:paraId="70167EB3" w14:textId="6871C7F0" w:rsidR="00D259A2" w:rsidRPr="005F62F4" w:rsidRDefault="00B80EE0" w:rsidP="00D259A2">
      <w:pPr>
        <w:pStyle w:val="Para"/>
        <w:rPr>
          <w:lang w:eastAsia="en-AU"/>
        </w:rPr>
      </w:pPr>
      <w:r w:rsidRPr="005F62F4">
        <w:rPr>
          <w:lang w:eastAsia="en-AU"/>
        </w:rPr>
        <w:t>Both the operation time (p</w:t>
      </w:r>
      <w:r w:rsidR="005F6896" w:rsidRPr="005F62F4">
        <w:rPr>
          <w:lang w:eastAsia="en-AU"/>
        </w:rPr>
        <w:t> = </w:t>
      </w:r>
      <w:r w:rsidRPr="005F62F4">
        <w:rPr>
          <w:lang w:eastAsia="en-AU"/>
        </w:rPr>
        <w:t xml:space="preserve">0.011) and </w:t>
      </w:r>
      <w:proofErr w:type="spellStart"/>
      <w:r w:rsidRPr="005F62F4">
        <w:rPr>
          <w:lang w:eastAsia="en-AU"/>
        </w:rPr>
        <w:t>isch</w:t>
      </w:r>
      <w:r w:rsidR="00465EA1" w:rsidRPr="005F62F4">
        <w:rPr>
          <w:lang w:eastAsia="en-AU"/>
        </w:rPr>
        <w:t>a</w:t>
      </w:r>
      <w:r w:rsidRPr="005F62F4">
        <w:rPr>
          <w:lang w:eastAsia="en-AU"/>
        </w:rPr>
        <w:t>emia</w:t>
      </w:r>
      <w:proofErr w:type="spellEnd"/>
      <w:r w:rsidRPr="005F62F4">
        <w:rPr>
          <w:lang w:eastAsia="en-AU"/>
        </w:rPr>
        <w:t xml:space="preserve"> time (p</w:t>
      </w:r>
      <w:r w:rsidR="005F6896" w:rsidRPr="005F62F4">
        <w:rPr>
          <w:lang w:eastAsia="en-AU"/>
        </w:rPr>
        <w:t> = </w:t>
      </w:r>
      <w:r w:rsidRPr="005F62F4">
        <w:rPr>
          <w:lang w:eastAsia="en-AU"/>
        </w:rPr>
        <w:t xml:space="preserve">0.021) were shorter for the virtual planning group </w:t>
      </w:r>
      <w:r w:rsidR="00A03BDC" w:rsidRPr="005F62F4">
        <w:rPr>
          <w:lang w:eastAsia="en-AU"/>
        </w:rPr>
        <w:t>than</w:t>
      </w:r>
      <w:r w:rsidRPr="005F62F4">
        <w:rPr>
          <w:lang w:eastAsia="en-AU"/>
        </w:rPr>
        <w:t xml:space="preserve"> the conventional surgery group. </w:t>
      </w:r>
      <w:r w:rsidR="0065381A" w:rsidRPr="005F62F4">
        <w:rPr>
          <w:lang w:eastAsia="en-AU"/>
        </w:rPr>
        <w:t>T</w:t>
      </w:r>
      <w:r w:rsidR="00A03BDC" w:rsidRPr="005F62F4">
        <w:rPr>
          <w:lang w:eastAsia="en-AU"/>
        </w:rPr>
        <w:t xml:space="preserve">he virtual planning group were </w:t>
      </w:r>
      <w:r w:rsidR="0065381A" w:rsidRPr="005F62F4">
        <w:rPr>
          <w:lang w:eastAsia="en-AU"/>
        </w:rPr>
        <w:t xml:space="preserve">also </w:t>
      </w:r>
      <w:r w:rsidR="00A03BDC" w:rsidRPr="005F62F4">
        <w:rPr>
          <w:lang w:eastAsia="en-AU"/>
        </w:rPr>
        <w:t xml:space="preserve">more likely to have precise condyle positioning </w:t>
      </w:r>
      <w:r w:rsidRPr="005F62F4">
        <w:rPr>
          <w:lang w:eastAsia="en-AU"/>
        </w:rPr>
        <w:t>(p</w:t>
      </w:r>
      <w:r w:rsidR="005F6896" w:rsidRPr="005F62F4">
        <w:rPr>
          <w:lang w:eastAsia="en-AU"/>
        </w:rPr>
        <w:t> = </w:t>
      </w:r>
      <w:r w:rsidRPr="005F62F4">
        <w:rPr>
          <w:lang w:eastAsia="en-AU"/>
        </w:rPr>
        <w:t>0.007</w:t>
      </w:r>
      <w:r w:rsidR="0065381A" w:rsidRPr="005F62F4">
        <w:rPr>
          <w:lang w:eastAsia="en-AU"/>
        </w:rPr>
        <w:t>),</w:t>
      </w:r>
      <w:r w:rsidRPr="005F62F4">
        <w:rPr>
          <w:lang w:eastAsia="en-AU"/>
        </w:rPr>
        <w:t xml:space="preserve"> bone-to-bone contact between the mandible and fibular segments (p</w:t>
      </w:r>
      <w:r w:rsidR="005F6896" w:rsidRPr="005F62F4">
        <w:rPr>
          <w:lang w:eastAsia="en-AU"/>
        </w:rPr>
        <w:t> = </w:t>
      </w:r>
      <w:r w:rsidRPr="005F62F4">
        <w:rPr>
          <w:lang w:eastAsia="en-AU"/>
        </w:rPr>
        <w:t>0.013)</w:t>
      </w:r>
      <w:r w:rsidR="0065381A" w:rsidRPr="005F62F4">
        <w:rPr>
          <w:lang w:eastAsia="en-AU"/>
        </w:rPr>
        <w:t>, and positioning among</w:t>
      </w:r>
      <w:r w:rsidRPr="005F62F4">
        <w:rPr>
          <w:lang w:eastAsia="en-AU"/>
        </w:rPr>
        <w:t xml:space="preserve"> pre-bent plate, mandible and fibula segments (p</w:t>
      </w:r>
      <w:r w:rsidR="005F6896" w:rsidRPr="005F62F4">
        <w:rPr>
          <w:lang w:eastAsia="en-AU"/>
        </w:rPr>
        <w:t> </w:t>
      </w:r>
      <w:r w:rsidRPr="005F62F4">
        <w:rPr>
          <w:lang w:eastAsia="en-AU"/>
        </w:rPr>
        <w:t>=</w:t>
      </w:r>
      <w:r w:rsidR="005F6896" w:rsidRPr="005F62F4">
        <w:rPr>
          <w:lang w:eastAsia="en-AU"/>
        </w:rPr>
        <w:t> </w:t>
      </w:r>
      <w:r w:rsidRPr="005F62F4">
        <w:rPr>
          <w:lang w:eastAsia="en-AU"/>
        </w:rPr>
        <w:t xml:space="preserve">0.009). </w:t>
      </w:r>
      <w:r w:rsidR="006F4566" w:rsidRPr="005F62F4">
        <w:rPr>
          <w:lang w:eastAsia="en-AU"/>
        </w:rPr>
        <w:t>Compared to conventional surgery,</w:t>
      </w:r>
      <w:r w:rsidR="008B499B" w:rsidRPr="005F62F4">
        <w:rPr>
          <w:lang w:eastAsia="en-AU"/>
        </w:rPr>
        <w:t xml:space="preserve"> virtual planning group </w:t>
      </w:r>
      <w:r w:rsidR="006F4566" w:rsidRPr="005F62F4">
        <w:rPr>
          <w:lang w:eastAsia="en-AU"/>
        </w:rPr>
        <w:t>was associated with a greater likelihood of</w:t>
      </w:r>
      <w:r w:rsidR="008B499B" w:rsidRPr="005F62F4">
        <w:rPr>
          <w:lang w:eastAsia="en-AU"/>
        </w:rPr>
        <w:t xml:space="preserve"> good facial appearance (95% vs 77%, p</w:t>
      </w:r>
      <w:r w:rsidR="005F6896" w:rsidRPr="005F62F4">
        <w:rPr>
          <w:lang w:eastAsia="en-AU"/>
        </w:rPr>
        <w:t> = </w:t>
      </w:r>
      <w:r w:rsidR="008B499B" w:rsidRPr="005F62F4">
        <w:rPr>
          <w:lang w:eastAsia="en-AU"/>
        </w:rPr>
        <w:t>0.0</w:t>
      </w:r>
      <w:r w:rsidR="006F4566" w:rsidRPr="005F62F4">
        <w:rPr>
          <w:lang w:eastAsia="en-AU"/>
        </w:rPr>
        <w:t xml:space="preserve">41). A high and comparable proportion of patients in both groups demonstrated excellent </w:t>
      </w:r>
      <w:r w:rsidRPr="005F62F4">
        <w:rPr>
          <w:lang w:eastAsia="en-AU"/>
        </w:rPr>
        <w:t>functional mandibular range</w:t>
      </w:r>
      <w:r w:rsidR="006F4566" w:rsidRPr="005F62F4">
        <w:rPr>
          <w:lang w:eastAsia="en-AU"/>
        </w:rPr>
        <w:t xml:space="preserve">, </w:t>
      </w:r>
      <w:r w:rsidRPr="005F62F4">
        <w:rPr>
          <w:lang w:eastAsia="en-AU"/>
        </w:rPr>
        <w:t>intelligible speech</w:t>
      </w:r>
      <w:r w:rsidR="006F4566" w:rsidRPr="005F62F4">
        <w:rPr>
          <w:lang w:eastAsia="en-AU"/>
        </w:rPr>
        <w:t>,</w:t>
      </w:r>
      <w:r w:rsidRPr="005F62F4">
        <w:rPr>
          <w:lang w:eastAsia="en-AU"/>
        </w:rPr>
        <w:t xml:space="preserve"> and a regular diet </w:t>
      </w:r>
      <w:r w:rsidR="006F4566" w:rsidRPr="005F62F4">
        <w:rPr>
          <w:lang w:eastAsia="en-AU"/>
        </w:rPr>
        <w:t>at follow-up</w:t>
      </w:r>
      <w:r w:rsidRPr="005F62F4">
        <w:rPr>
          <w:lang w:eastAsia="en-AU"/>
        </w:rPr>
        <w:t>.</w:t>
      </w:r>
    </w:p>
    <w:p w14:paraId="2A077950" w14:textId="77777777" w:rsidR="00D259A2" w:rsidRPr="005F62F4" w:rsidRDefault="00D259A2" w:rsidP="00D05D9A">
      <w:pPr>
        <w:pStyle w:val="Heading5"/>
      </w:pPr>
      <w:r w:rsidRPr="005F62F4">
        <w:t>Limitations</w:t>
      </w:r>
    </w:p>
    <w:p w14:paraId="7BC5B545" w14:textId="580EED69" w:rsidR="00D259A2" w:rsidRPr="005F62F4" w:rsidRDefault="00B80EE0" w:rsidP="00D259A2">
      <w:pPr>
        <w:pStyle w:val="Para"/>
        <w:rPr>
          <w:lang w:eastAsia="en-AU"/>
        </w:rPr>
      </w:pPr>
      <w:r w:rsidRPr="005F62F4">
        <w:rPr>
          <w:lang w:eastAsia="en-AU"/>
        </w:rPr>
        <w:t>The authors did not identify limitations to the study, nor did they make recommendations for further research.</w:t>
      </w:r>
    </w:p>
    <w:p w14:paraId="6AC815A5" w14:textId="77777777" w:rsidR="00D259A2" w:rsidRPr="005F62F4" w:rsidRDefault="00D259A2" w:rsidP="00D05D9A">
      <w:pPr>
        <w:pStyle w:val="Heading5"/>
      </w:pPr>
      <w:r w:rsidRPr="005F62F4">
        <w:t>Conflicts of interest</w:t>
      </w:r>
    </w:p>
    <w:p w14:paraId="7BE0AF3C" w14:textId="7379693C" w:rsidR="00B80EE0" w:rsidRPr="005F62F4" w:rsidRDefault="00B80EE0" w:rsidP="00B80EE0">
      <w:pPr>
        <w:pStyle w:val="Para"/>
        <w:rPr>
          <w:lang w:eastAsia="en-AU"/>
        </w:rPr>
      </w:pPr>
      <w:r w:rsidRPr="005F62F4">
        <w:rPr>
          <w:lang w:eastAsia="en-AU"/>
        </w:rPr>
        <w:t>Nil reported.</w:t>
      </w:r>
    </w:p>
    <w:p w14:paraId="637C97E8" w14:textId="77777777" w:rsidR="003A0ECA" w:rsidRPr="005F62F4" w:rsidRDefault="003A0ECA" w:rsidP="00334DC3">
      <w:r w:rsidRPr="005F62F4">
        <w:br w:type="page"/>
      </w:r>
    </w:p>
    <w:p w14:paraId="3CBD9816" w14:textId="6D9C4E2E" w:rsidR="00D259A2" w:rsidRPr="005F62F4" w:rsidRDefault="00B80EE0" w:rsidP="004F2931">
      <w:pPr>
        <w:pStyle w:val="Heading4"/>
      </w:pPr>
      <w:r w:rsidRPr="005F62F4">
        <w:lastRenderedPageBreak/>
        <w:t>Weitz et al. (2016)</w:t>
      </w:r>
    </w:p>
    <w:p w14:paraId="50806B05" w14:textId="77777777" w:rsidR="00D259A2" w:rsidRPr="005F62F4" w:rsidRDefault="00D259A2" w:rsidP="00D05D9A">
      <w:pPr>
        <w:pStyle w:val="Heading5"/>
        <w:rPr>
          <w:rStyle w:val="Strong"/>
          <w:b/>
          <w:bCs w:val="0"/>
        </w:rPr>
      </w:pPr>
      <w:r w:rsidRPr="005F62F4">
        <w:rPr>
          <w:rStyle w:val="Strong"/>
          <w:b/>
          <w:bCs w:val="0"/>
        </w:rPr>
        <w:t>Study type (level of evidence)</w:t>
      </w:r>
    </w:p>
    <w:p w14:paraId="69966F4A" w14:textId="4B08748B" w:rsidR="00D259A2" w:rsidRPr="005F62F4" w:rsidRDefault="00B80EE0" w:rsidP="00D259A2">
      <w:pPr>
        <w:pStyle w:val="Para"/>
        <w:rPr>
          <w:lang w:eastAsia="en-AU"/>
        </w:rPr>
      </w:pPr>
      <w:r w:rsidRPr="005F62F4">
        <w:rPr>
          <w:lang w:eastAsia="en-AU"/>
        </w:rPr>
        <w:t>Retrospective case-control (III-2)</w:t>
      </w:r>
    </w:p>
    <w:p w14:paraId="4B3846DE" w14:textId="77777777" w:rsidR="00D259A2" w:rsidRPr="005F62F4" w:rsidRDefault="00D259A2" w:rsidP="00D05D9A">
      <w:pPr>
        <w:pStyle w:val="Heading5"/>
      </w:pPr>
      <w:r w:rsidRPr="005F62F4">
        <w:t>Country</w:t>
      </w:r>
    </w:p>
    <w:p w14:paraId="49039C72" w14:textId="53237E70" w:rsidR="00D259A2" w:rsidRPr="005F62F4" w:rsidRDefault="00B80EE0" w:rsidP="00D259A2">
      <w:pPr>
        <w:pStyle w:val="Para"/>
        <w:rPr>
          <w:lang w:eastAsia="en-AU"/>
        </w:rPr>
      </w:pPr>
      <w:r w:rsidRPr="005F62F4">
        <w:rPr>
          <w:lang w:eastAsia="en-AU"/>
        </w:rPr>
        <w:t>Germany</w:t>
      </w:r>
    </w:p>
    <w:p w14:paraId="2A95AD8A" w14:textId="77777777" w:rsidR="00D259A2" w:rsidRPr="005F62F4" w:rsidRDefault="00D259A2" w:rsidP="00D05D9A">
      <w:pPr>
        <w:pStyle w:val="Heading5"/>
      </w:pPr>
      <w:r w:rsidRPr="005F62F4">
        <w:t>Study information</w:t>
      </w:r>
    </w:p>
    <w:p w14:paraId="1F1BF9D1" w14:textId="4CBBD2C7" w:rsidR="00B55632" w:rsidRPr="005F62F4" w:rsidRDefault="006347B0" w:rsidP="00B55632">
      <w:pPr>
        <w:pStyle w:val="Para"/>
        <w:rPr>
          <w:lang w:eastAsia="en-AU"/>
        </w:rPr>
      </w:pPr>
      <w:r w:rsidRPr="005F62F4">
        <w:rPr>
          <w:lang w:eastAsia="en-AU"/>
        </w:rPr>
        <w:t xml:space="preserve">The sample comprised 50 </w:t>
      </w:r>
      <w:r w:rsidR="00B55632" w:rsidRPr="005F62F4">
        <w:rPr>
          <w:lang w:eastAsia="en-AU"/>
        </w:rPr>
        <w:t xml:space="preserve">patients who had undergone mandibular reconstruction after segmental mandibulectomy </w:t>
      </w:r>
      <w:r w:rsidR="00C909C1" w:rsidRPr="005F62F4">
        <w:rPr>
          <w:lang w:eastAsia="en-AU"/>
        </w:rPr>
        <w:t>between 2012 and 2</w:t>
      </w:r>
      <w:r w:rsidR="001E6A77" w:rsidRPr="005F62F4">
        <w:rPr>
          <w:lang w:eastAsia="en-AU"/>
        </w:rPr>
        <w:t>0</w:t>
      </w:r>
      <w:r w:rsidR="00C909C1" w:rsidRPr="005F62F4">
        <w:rPr>
          <w:lang w:eastAsia="en-AU"/>
        </w:rPr>
        <w:t>14</w:t>
      </w:r>
      <w:r w:rsidR="00B55632" w:rsidRPr="005F62F4">
        <w:rPr>
          <w:lang w:eastAsia="en-AU"/>
        </w:rPr>
        <w:t xml:space="preserve">. This included 24 patients who underwent surgery </w:t>
      </w:r>
      <w:r w:rsidRPr="005F62F4">
        <w:rPr>
          <w:lang w:eastAsia="en-AU"/>
        </w:rPr>
        <w:t>that</w:t>
      </w:r>
      <w:r w:rsidR="00B55632" w:rsidRPr="005F62F4">
        <w:rPr>
          <w:lang w:eastAsia="en-AU"/>
        </w:rPr>
        <w:t xml:space="preserve"> was virtually planned </w:t>
      </w:r>
      <w:r w:rsidR="002D2317" w:rsidRPr="005F62F4">
        <w:rPr>
          <w:lang w:eastAsia="en-AU"/>
        </w:rPr>
        <w:t xml:space="preserve">between </w:t>
      </w:r>
      <w:r w:rsidR="00B55632" w:rsidRPr="005F62F4">
        <w:rPr>
          <w:lang w:eastAsia="en-AU"/>
        </w:rPr>
        <w:t xml:space="preserve">using </w:t>
      </w:r>
      <w:proofErr w:type="spellStart"/>
      <w:r w:rsidR="00B55632" w:rsidRPr="005F62F4">
        <w:rPr>
          <w:lang w:eastAsia="en-AU"/>
        </w:rPr>
        <w:t>ProPlan</w:t>
      </w:r>
      <w:proofErr w:type="spellEnd"/>
      <w:r w:rsidR="00B55632" w:rsidRPr="005F62F4">
        <w:rPr>
          <w:lang w:eastAsia="en-AU"/>
        </w:rPr>
        <w:t xml:space="preserve"> CMF. For this group, cutting guides and reconstruction guides were created to transfer the virtual plan to the clinical setting. The </w:t>
      </w:r>
      <w:r w:rsidRPr="005F62F4">
        <w:rPr>
          <w:lang w:eastAsia="en-AU"/>
        </w:rPr>
        <w:t>comparison</w:t>
      </w:r>
      <w:r w:rsidR="00B55632" w:rsidRPr="005F62F4">
        <w:rPr>
          <w:lang w:eastAsia="en-AU"/>
        </w:rPr>
        <w:t xml:space="preserve"> group included 26 patients who </w:t>
      </w:r>
      <w:r w:rsidRPr="005F62F4">
        <w:rPr>
          <w:lang w:eastAsia="en-AU"/>
        </w:rPr>
        <w:t>received</w:t>
      </w:r>
      <w:r w:rsidR="00B55632" w:rsidRPr="005F62F4">
        <w:rPr>
          <w:lang w:eastAsia="en-AU"/>
        </w:rPr>
        <w:t xml:space="preserve"> conventional surgical planning.</w:t>
      </w:r>
    </w:p>
    <w:p w14:paraId="6E865D3A" w14:textId="77777777" w:rsidR="00D259A2" w:rsidRPr="005F62F4" w:rsidRDefault="00D259A2" w:rsidP="00D05D9A">
      <w:pPr>
        <w:pStyle w:val="Heading5"/>
      </w:pPr>
      <w:r w:rsidRPr="005F62F4">
        <w:t>Outcomes</w:t>
      </w:r>
    </w:p>
    <w:p w14:paraId="07DC7BCE" w14:textId="70102085" w:rsidR="00D259A2" w:rsidRPr="005F62F4" w:rsidRDefault="00871471" w:rsidP="00871471">
      <w:pPr>
        <w:pStyle w:val="Para"/>
      </w:pPr>
      <w:r w:rsidRPr="005F62F4">
        <w:rPr>
          <w:lang w:eastAsia="en-AU"/>
        </w:rPr>
        <w:t>Accuracy, bony consolidation, complications, and operating time</w:t>
      </w:r>
      <w:r w:rsidR="001E6A77" w:rsidRPr="005F62F4">
        <w:rPr>
          <w:lang w:eastAsia="en-AU"/>
        </w:rPr>
        <w:t>.</w:t>
      </w:r>
    </w:p>
    <w:p w14:paraId="08B917D6" w14:textId="77777777" w:rsidR="000C76C4" w:rsidRPr="005F62F4" w:rsidRDefault="00871471" w:rsidP="00D05D9A">
      <w:pPr>
        <w:pStyle w:val="Heading5"/>
      </w:pPr>
      <w:r w:rsidRPr="005F62F4">
        <w:t>Findings</w:t>
      </w:r>
    </w:p>
    <w:p w14:paraId="3086315A" w14:textId="35BC8275" w:rsidR="00D259A2" w:rsidRPr="005F62F4" w:rsidRDefault="00C03969" w:rsidP="000C76C4">
      <w:pPr>
        <w:pStyle w:val="Para"/>
        <w:rPr>
          <w:lang w:eastAsia="en-AU"/>
        </w:rPr>
      </w:pPr>
      <w:r w:rsidRPr="005F62F4">
        <w:rPr>
          <w:lang w:eastAsia="en-AU"/>
        </w:rPr>
        <w:t>The</w:t>
      </w:r>
      <w:r w:rsidR="00222F36" w:rsidRPr="005F62F4">
        <w:rPr>
          <w:lang w:eastAsia="en-AU"/>
        </w:rPr>
        <w:t xml:space="preserve"> change </w:t>
      </w:r>
      <w:r w:rsidRPr="005F62F4">
        <w:rPr>
          <w:lang w:eastAsia="en-AU"/>
        </w:rPr>
        <w:t xml:space="preserve">the angle of the mandible from pre- to </w:t>
      </w:r>
      <w:proofErr w:type="spellStart"/>
      <w:r w:rsidRPr="005F62F4">
        <w:rPr>
          <w:lang w:eastAsia="en-AU"/>
        </w:rPr>
        <w:t>postoperation</w:t>
      </w:r>
      <w:proofErr w:type="spellEnd"/>
      <w:r w:rsidRPr="005F62F4">
        <w:rPr>
          <w:lang w:eastAsia="en-AU"/>
        </w:rPr>
        <w:t xml:space="preserve"> was significant</w:t>
      </w:r>
      <w:r w:rsidR="00222F36" w:rsidRPr="005F62F4">
        <w:rPr>
          <w:lang w:eastAsia="en-AU"/>
        </w:rPr>
        <w:t xml:space="preserve">ly different between </w:t>
      </w:r>
      <w:r w:rsidRPr="005F62F4">
        <w:rPr>
          <w:lang w:eastAsia="en-AU"/>
        </w:rPr>
        <w:t>groups</w:t>
      </w:r>
      <w:r w:rsidR="00222F36" w:rsidRPr="005F62F4">
        <w:rPr>
          <w:lang w:eastAsia="en-AU"/>
        </w:rPr>
        <w:t>,</w:t>
      </w:r>
      <w:r w:rsidRPr="005F62F4">
        <w:rPr>
          <w:lang w:eastAsia="en-AU"/>
        </w:rPr>
        <w:t xml:space="preserve"> with a median of 11.5° in the conventional group and 4.5° in the virtually planned group </w:t>
      </w:r>
      <w:r w:rsidR="00222F36" w:rsidRPr="005F62F4">
        <w:rPr>
          <w:lang w:eastAsia="en-AU"/>
        </w:rPr>
        <w:t>(p</w:t>
      </w:r>
      <w:r w:rsidR="005F6896" w:rsidRPr="005F62F4">
        <w:rPr>
          <w:lang w:eastAsia="en-AU"/>
        </w:rPr>
        <w:t> = </w:t>
      </w:r>
      <w:r w:rsidR="00222F36" w:rsidRPr="005F62F4">
        <w:rPr>
          <w:lang w:eastAsia="en-AU"/>
        </w:rPr>
        <w:t>.001)</w:t>
      </w:r>
      <w:r w:rsidRPr="005F62F4">
        <w:rPr>
          <w:lang w:eastAsia="en-AU"/>
        </w:rPr>
        <w:t xml:space="preserve">. </w:t>
      </w:r>
      <w:r w:rsidR="00222F36" w:rsidRPr="005F62F4">
        <w:t>However</w:t>
      </w:r>
      <w:r w:rsidR="00FB5A14" w:rsidRPr="005F62F4">
        <w:t>,</w:t>
      </w:r>
      <w:r w:rsidR="00222F36" w:rsidRPr="005F62F4">
        <w:t xml:space="preserve"> t</w:t>
      </w:r>
      <w:r w:rsidR="000C76C4" w:rsidRPr="005F62F4">
        <w:t>he</w:t>
      </w:r>
      <w:r w:rsidRPr="005F62F4">
        <w:t>re was no significant difference between the two groups in</w:t>
      </w:r>
      <w:r w:rsidR="000C76C4" w:rsidRPr="005F62F4">
        <w:t xml:space="preserve"> </w:t>
      </w:r>
      <w:r w:rsidR="000C76C4" w:rsidRPr="005F62F4">
        <w:rPr>
          <w:lang w:eastAsia="en-AU"/>
        </w:rPr>
        <w:t xml:space="preserve">change </w:t>
      </w:r>
      <w:r w:rsidR="006D248E" w:rsidRPr="005F62F4">
        <w:rPr>
          <w:lang w:eastAsia="en-AU"/>
        </w:rPr>
        <w:t xml:space="preserve">in </w:t>
      </w:r>
      <w:r w:rsidR="000C76C4" w:rsidRPr="005F62F4">
        <w:t xml:space="preserve">distance from the </w:t>
      </w:r>
      <w:r w:rsidR="00222F36" w:rsidRPr="005F62F4">
        <w:rPr>
          <w:lang w:eastAsia="en-AU"/>
        </w:rPr>
        <w:t>mandible</w:t>
      </w:r>
      <w:r w:rsidR="006D248E" w:rsidRPr="005F62F4">
        <w:rPr>
          <w:lang w:eastAsia="en-AU"/>
        </w:rPr>
        <w:t xml:space="preserve"> </w:t>
      </w:r>
      <w:r w:rsidR="00871471" w:rsidRPr="005F62F4">
        <w:rPr>
          <w:lang w:eastAsia="en-AU"/>
        </w:rPr>
        <w:t>to the anterior nasal spine (p</w:t>
      </w:r>
      <w:r w:rsidR="005F6896" w:rsidRPr="005F62F4">
        <w:rPr>
          <w:lang w:eastAsia="en-AU"/>
        </w:rPr>
        <w:t> = </w:t>
      </w:r>
      <w:r w:rsidR="00871471" w:rsidRPr="005F62F4">
        <w:rPr>
          <w:lang w:eastAsia="en-AU"/>
        </w:rPr>
        <w:t xml:space="preserve">0.095). There was a significantly higher </w:t>
      </w:r>
      <w:r w:rsidR="00222F36" w:rsidRPr="005F62F4">
        <w:rPr>
          <w:lang w:eastAsia="en-AU"/>
        </w:rPr>
        <w:t xml:space="preserve">rate of bony consolidation </w:t>
      </w:r>
      <w:r w:rsidR="00871471" w:rsidRPr="005F62F4">
        <w:rPr>
          <w:lang w:eastAsia="en-AU"/>
        </w:rPr>
        <w:t>rate for the virtual group (84%) compared to the conventional group (62%) (p</w:t>
      </w:r>
      <w:r w:rsidR="005F6896" w:rsidRPr="005F62F4">
        <w:rPr>
          <w:lang w:eastAsia="en-AU"/>
        </w:rPr>
        <w:t> = </w:t>
      </w:r>
      <w:r w:rsidR="00871471" w:rsidRPr="005F62F4">
        <w:rPr>
          <w:lang w:eastAsia="en-AU"/>
        </w:rPr>
        <w:t>0.002).</w:t>
      </w:r>
      <w:r w:rsidR="000C094B" w:rsidRPr="005F62F4">
        <w:rPr>
          <w:lang w:eastAsia="en-AU"/>
        </w:rPr>
        <w:t xml:space="preserve"> </w:t>
      </w:r>
      <w:r w:rsidR="007A2501" w:rsidRPr="005F62F4">
        <w:rPr>
          <w:lang w:eastAsia="en-AU"/>
        </w:rPr>
        <w:t xml:space="preserve">There </w:t>
      </w:r>
      <w:r w:rsidR="00ED2750" w:rsidRPr="005F62F4">
        <w:rPr>
          <w:lang w:eastAsia="en-AU"/>
        </w:rPr>
        <w:t>were</w:t>
      </w:r>
      <w:r w:rsidR="007A2501" w:rsidRPr="005F62F4">
        <w:rPr>
          <w:lang w:eastAsia="en-AU"/>
        </w:rPr>
        <w:t xml:space="preserve"> no </w:t>
      </w:r>
      <w:r w:rsidR="00ED2750" w:rsidRPr="005F62F4">
        <w:rPr>
          <w:lang w:eastAsia="en-AU"/>
        </w:rPr>
        <w:t>significant</w:t>
      </w:r>
      <w:r w:rsidR="007A2501" w:rsidRPr="005F62F4">
        <w:rPr>
          <w:lang w:eastAsia="en-AU"/>
        </w:rPr>
        <w:t xml:space="preserve"> difference</w:t>
      </w:r>
      <w:r w:rsidR="00ED2750" w:rsidRPr="005F62F4">
        <w:rPr>
          <w:lang w:eastAsia="en-AU"/>
        </w:rPr>
        <w:t>s</w:t>
      </w:r>
      <w:r w:rsidR="007A2501" w:rsidRPr="005F62F4">
        <w:rPr>
          <w:lang w:eastAsia="en-AU"/>
        </w:rPr>
        <w:t xml:space="preserve"> in </w:t>
      </w:r>
      <w:r w:rsidR="00346144" w:rsidRPr="005F62F4">
        <w:rPr>
          <w:lang w:eastAsia="en-AU"/>
        </w:rPr>
        <w:t xml:space="preserve">the number of comorbidities, postoperative </w:t>
      </w:r>
      <w:r w:rsidR="00ED2750" w:rsidRPr="005F62F4">
        <w:rPr>
          <w:lang w:eastAsia="en-AU"/>
        </w:rPr>
        <w:t>complications</w:t>
      </w:r>
      <w:r w:rsidR="00346144" w:rsidRPr="005F62F4">
        <w:rPr>
          <w:lang w:eastAsia="en-AU"/>
        </w:rPr>
        <w:t>, or total operating time.</w:t>
      </w:r>
    </w:p>
    <w:p w14:paraId="27202748" w14:textId="77777777" w:rsidR="00D259A2" w:rsidRPr="005F62F4" w:rsidRDefault="00D259A2" w:rsidP="00D05D9A">
      <w:pPr>
        <w:pStyle w:val="Heading5"/>
      </w:pPr>
      <w:r w:rsidRPr="005F62F4">
        <w:t>Limitations</w:t>
      </w:r>
    </w:p>
    <w:p w14:paraId="178FC9FA" w14:textId="76405252" w:rsidR="00D259A2" w:rsidRPr="005F62F4" w:rsidRDefault="00332F58" w:rsidP="00D259A2">
      <w:pPr>
        <w:pStyle w:val="Para"/>
        <w:rPr>
          <w:lang w:eastAsia="en-AU"/>
        </w:rPr>
      </w:pPr>
      <w:r w:rsidRPr="005F62F4">
        <w:rPr>
          <w:lang w:eastAsia="en-AU"/>
        </w:rPr>
        <w:t xml:space="preserve">The number of patients who required 2 or more osteotomies was higher in the virtually planned group, </w:t>
      </w:r>
      <w:r w:rsidR="0037143C" w:rsidRPr="005F62F4">
        <w:rPr>
          <w:lang w:eastAsia="en-AU"/>
        </w:rPr>
        <w:t>making it difficult to compare average operating time. A</w:t>
      </w:r>
      <w:r w:rsidR="00871471" w:rsidRPr="005F62F4">
        <w:rPr>
          <w:lang w:eastAsia="en-AU"/>
        </w:rPr>
        <w:t xml:space="preserve">ccuracy was analysed solely by a 2-dimensional radiograph. Not all operations were done by the same surgeon which could potentially introduce bias based on variations in experience or skills. </w:t>
      </w:r>
      <w:r w:rsidR="0037143C" w:rsidRPr="005F62F4">
        <w:rPr>
          <w:lang w:eastAsia="en-AU"/>
        </w:rPr>
        <w:t>Finally, the costs of the different techniques were</w:t>
      </w:r>
      <w:r w:rsidR="00871471" w:rsidRPr="005F62F4">
        <w:rPr>
          <w:lang w:eastAsia="en-AU"/>
        </w:rPr>
        <w:t xml:space="preserve"> not considered.</w:t>
      </w:r>
    </w:p>
    <w:p w14:paraId="024446FA" w14:textId="77777777" w:rsidR="00D259A2" w:rsidRPr="005F62F4" w:rsidRDefault="00D259A2" w:rsidP="00D05D9A">
      <w:pPr>
        <w:pStyle w:val="Heading5"/>
      </w:pPr>
      <w:r w:rsidRPr="005F62F4">
        <w:t>Conflicts of interest</w:t>
      </w:r>
    </w:p>
    <w:p w14:paraId="1A32858E" w14:textId="5657E31A" w:rsidR="00871471" w:rsidRPr="005F62F4" w:rsidRDefault="00871471" w:rsidP="00871471">
      <w:pPr>
        <w:pStyle w:val="Para"/>
        <w:rPr>
          <w:lang w:eastAsia="en-AU"/>
        </w:rPr>
      </w:pPr>
      <w:r w:rsidRPr="005F62F4">
        <w:rPr>
          <w:lang w:eastAsia="en-AU"/>
        </w:rPr>
        <w:t>Nil reported.</w:t>
      </w:r>
    </w:p>
    <w:p w14:paraId="2AB2E721" w14:textId="77777777" w:rsidR="003A0ECA" w:rsidRPr="005F62F4" w:rsidRDefault="003A0ECA" w:rsidP="00334DC3">
      <w:r w:rsidRPr="005F62F4">
        <w:br w:type="page"/>
      </w:r>
    </w:p>
    <w:p w14:paraId="1C53150E" w14:textId="5EBD3142" w:rsidR="00D259A2" w:rsidRPr="005F62F4" w:rsidRDefault="00871471" w:rsidP="004F2931">
      <w:pPr>
        <w:pStyle w:val="Heading4"/>
      </w:pPr>
      <w:r w:rsidRPr="005F62F4">
        <w:lastRenderedPageBreak/>
        <w:t>Zhang et al. (2015)</w:t>
      </w:r>
    </w:p>
    <w:p w14:paraId="3A5B84DD" w14:textId="77777777" w:rsidR="00D259A2" w:rsidRPr="005F62F4" w:rsidRDefault="00D259A2" w:rsidP="00D05D9A">
      <w:pPr>
        <w:pStyle w:val="Heading5"/>
        <w:rPr>
          <w:rStyle w:val="Strong"/>
          <w:b/>
          <w:bCs w:val="0"/>
        </w:rPr>
      </w:pPr>
      <w:r w:rsidRPr="005F62F4">
        <w:rPr>
          <w:rStyle w:val="Strong"/>
          <w:b/>
          <w:bCs w:val="0"/>
        </w:rPr>
        <w:t>Study type (level of evidence)</w:t>
      </w:r>
    </w:p>
    <w:p w14:paraId="6404F6C3" w14:textId="7BF92A4C" w:rsidR="00D259A2" w:rsidRPr="005F62F4" w:rsidRDefault="00871471" w:rsidP="00D259A2">
      <w:pPr>
        <w:pStyle w:val="Para"/>
        <w:rPr>
          <w:lang w:eastAsia="en-AU"/>
        </w:rPr>
      </w:pPr>
      <w:r w:rsidRPr="005F62F4">
        <w:rPr>
          <w:lang w:eastAsia="en-AU"/>
        </w:rPr>
        <w:t>Case</w:t>
      </w:r>
      <w:r w:rsidR="00395F5C" w:rsidRPr="005F62F4">
        <w:rPr>
          <w:lang w:eastAsia="en-AU"/>
        </w:rPr>
        <w:t>-</w:t>
      </w:r>
      <w:r w:rsidRPr="005F62F4">
        <w:rPr>
          <w:lang w:eastAsia="en-AU"/>
        </w:rPr>
        <w:t>control (III-2)</w:t>
      </w:r>
    </w:p>
    <w:p w14:paraId="2D7B86EF" w14:textId="77777777" w:rsidR="00D259A2" w:rsidRPr="005F62F4" w:rsidRDefault="00D259A2" w:rsidP="00D05D9A">
      <w:pPr>
        <w:pStyle w:val="Heading5"/>
      </w:pPr>
      <w:r w:rsidRPr="005F62F4">
        <w:t>Country</w:t>
      </w:r>
    </w:p>
    <w:p w14:paraId="76F44E78" w14:textId="151DB201" w:rsidR="00D259A2" w:rsidRPr="005F62F4" w:rsidRDefault="00871471" w:rsidP="00D259A2">
      <w:pPr>
        <w:pStyle w:val="Para"/>
        <w:rPr>
          <w:lang w:eastAsia="en-AU"/>
        </w:rPr>
      </w:pPr>
      <w:r w:rsidRPr="005F62F4">
        <w:rPr>
          <w:lang w:eastAsia="en-AU"/>
        </w:rPr>
        <w:t>China</w:t>
      </w:r>
    </w:p>
    <w:p w14:paraId="15735505" w14:textId="77777777" w:rsidR="00D259A2" w:rsidRPr="005F62F4" w:rsidRDefault="00D259A2" w:rsidP="00D05D9A">
      <w:pPr>
        <w:pStyle w:val="Heading5"/>
      </w:pPr>
      <w:r w:rsidRPr="005F62F4">
        <w:t>Study information</w:t>
      </w:r>
    </w:p>
    <w:p w14:paraId="04916B60" w14:textId="2E842884" w:rsidR="00D259A2" w:rsidRPr="005F62F4" w:rsidRDefault="00604953" w:rsidP="00D259A2">
      <w:pPr>
        <w:pStyle w:val="Para"/>
        <w:rPr>
          <w:lang w:eastAsia="en-AU"/>
        </w:rPr>
      </w:pPr>
      <w:r w:rsidRPr="005F62F4">
        <w:rPr>
          <w:lang w:eastAsia="en-AU"/>
        </w:rPr>
        <w:t xml:space="preserve">The study sampled included </w:t>
      </w:r>
      <w:r w:rsidR="00B55632" w:rsidRPr="005F62F4">
        <w:rPr>
          <w:lang w:eastAsia="en-AU"/>
        </w:rPr>
        <w:t>27 patients with maxillary tumours who underwent maxillectomy and free fibula flap reconstruction between January 2011 and May 2013. These patients were divided into two groups</w:t>
      </w:r>
      <w:r w:rsidR="00FD2FCD" w:rsidRPr="005F62F4">
        <w:rPr>
          <w:lang w:eastAsia="en-AU"/>
        </w:rPr>
        <w:t>. T</w:t>
      </w:r>
      <w:r w:rsidR="00B55632" w:rsidRPr="005F62F4">
        <w:rPr>
          <w:lang w:eastAsia="en-AU"/>
        </w:rPr>
        <w:t>he first (n</w:t>
      </w:r>
      <w:r w:rsidR="005F6896" w:rsidRPr="005F62F4">
        <w:rPr>
          <w:lang w:eastAsia="en-AU"/>
        </w:rPr>
        <w:t> = </w:t>
      </w:r>
      <w:r w:rsidR="00B55632" w:rsidRPr="005F62F4">
        <w:rPr>
          <w:lang w:eastAsia="en-AU"/>
        </w:rPr>
        <w:t xml:space="preserve">8) </w:t>
      </w:r>
      <w:r w:rsidRPr="005F62F4">
        <w:rPr>
          <w:lang w:eastAsia="en-AU"/>
        </w:rPr>
        <w:t>had undergone surgery with</w:t>
      </w:r>
      <w:r w:rsidR="00B55632" w:rsidRPr="005F62F4">
        <w:rPr>
          <w:lang w:eastAsia="en-AU"/>
        </w:rPr>
        <w:t xml:space="preserve"> computer-assisted surgical planning and surgical navigation. This included the use of </w:t>
      </w:r>
      <w:proofErr w:type="spellStart"/>
      <w:r w:rsidR="00B55632" w:rsidRPr="005F62F4">
        <w:rPr>
          <w:lang w:eastAsia="en-AU"/>
        </w:rPr>
        <w:t>ProPlan</w:t>
      </w:r>
      <w:proofErr w:type="spellEnd"/>
      <w:r w:rsidR="00B55632" w:rsidRPr="005F62F4">
        <w:rPr>
          <w:lang w:eastAsia="en-AU"/>
        </w:rPr>
        <w:t xml:space="preserve"> to perform a virtual maxillectomy and for printing a resin </w:t>
      </w:r>
      <w:proofErr w:type="spellStart"/>
      <w:r w:rsidR="00B55632" w:rsidRPr="005F62F4">
        <w:rPr>
          <w:lang w:eastAsia="en-AU"/>
        </w:rPr>
        <w:t>stereomodel</w:t>
      </w:r>
      <w:proofErr w:type="spellEnd"/>
      <w:r w:rsidR="00B55632" w:rsidRPr="005F62F4">
        <w:rPr>
          <w:lang w:eastAsia="en-AU"/>
        </w:rPr>
        <w:t xml:space="preserve"> which was used to pre-bend the titanium mesh for restoring the maxillary contour. The comparator group (n</w:t>
      </w:r>
      <w:r w:rsidR="005F6896" w:rsidRPr="005F62F4">
        <w:rPr>
          <w:lang w:eastAsia="en-AU"/>
        </w:rPr>
        <w:t> = </w:t>
      </w:r>
      <w:r w:rsidR="00B55632" w:rsidRPr="005F62F4">
        <w:rPr>
          <w:lang w:eastAsia="en-AU"/>
        </w:rPr>
        <w:t xml:space="preserve">19) underwent traditional surgery without preoperative virtual </w:t>
      </w:r>
      <w:r w:rsidR="005A0B06" w:rsidRPr="005F62F4">
        <w:rPr>
          <w:lang w:eastAsia="en-AU"/>
        </w:rPr>
        <w:t xml:space="preserve">surgical </w:t>
      </w:r>
      <w:r w:rsidR="00B55632" w:rsidRPr="005F62F4">
        <w:rPr>
          <w:lang w:eastAsia="en-AU"/>
        </w:rPr>
        <w:t>planning.</w:t>
      </w:r>
    </w:p>
    <w:p w14:paraId="59D0EB16" w14:textId="77777777" w:rsidR="00D259A2" w:rsidRPr="005F62F4" w:rsidRDefault="00D259A2" w:rsidP="00D05D9A">
      <w:pPr>
        <w:pStyle w:val="Heading5"/>
      </w:pPr>
      <w:r w:rsidRPr="005F62F4">
        <w:t>Outcomes</w:t>
      </w:r>
    </w:p>
    <w:p w14:paraId="1DA2E4EB" w14:textId="46C2B046" w:rsidR="00880A5B" w:rsidRPr="005F62F4" w:rsidRDefault="00D64074" w:rsidP="00D259A2">
      <w:pPr>
        <w:pStyle w:val="Para"/>
        <w:rPr>
          <w:lang w:eastAsia="en-AU"/>
        </w:rPr>
      </w:pPr>
      <w:r w:rsidRPr="005F62F4">
        <w:rPr>
          <w:lang w:eastAsia="en-AU"/>
        </w:rPr>
        <w:t>V</w:t>
      </w:r>
      <w:r w:rsidR="00880A5B" w:rsidRPr="005F62F4">
        <w:rPr>
          <w:lang w:eastAsia="en-AU"/>
        </w:rPr>
        <w:t>ertical distance between the maxilla and mandible, horizontal shift of the fibula segments and position of its posterior end.</w:t>
      </w:r>
      <w:r w:rsidR="00BF074D" w:rsidRPr="005F62F4">
        <w:rPr>
          <w:lang w:eastAsia="en-AU"/>
        </w:rPr>
        <w:t xml:space="preserve"> All outcomes were assessed via CT at 6</w:t>
      </w:r>
      <w:r w:rsidR="001228FE" w:rsidRPr="005F62F4">
        <w:rPr>
          <w:lang w:eastAsia="en-AU"/>
        </w:rPr>
        <w:t>-</w:t>
      </w:r>
      <w:r w:rsidR="00BF074D" w:rsidRPr="005F62F4">
        <w:rPr>
          <w:lang w:eastAsia="en-AU"/>
        </w:rPr>
        <w:t>month follow-up.</w:t>
      </w:r>
    </w:p>
    <w:p w14:paraId="6C7FF784" w14:textId="77777777" w:rsidR="00D259A2" w:rsidRPr="005F62F4" w:rsidRDefault="00D259A2" w:rsidP="00D05D9A">
      <w:pPr>
        <w:pStyle w:val="Heading5"/>
      </w:pPr>
      <w:r w:rsidRPr="005F62F4">
        <w:t>Findings</w:t>
      </w:r>
    </w:p>
    <w:p w14:paraId="04476A95" w14:textId="51E4C706" w:rsidR="00D259A2" w:rsidRPr="005F62F4" w:rsidRDefault="00880A5B" w:rsidP="00D259A2">
      <w:pPr>
        <w:pStyle w:val="Para"/>
        <w:rPr>
          <w:lang w:eastAsia="en-AU"/>
        </w:rPr>
      </w:pPr>
      <w:r w:rsidRPr="005F62F4">
        <w:rPr>
          <w:lang w:eastAsia="en-AU"/>
        </w:rPr>
        <w:t xml:space="preserve">The difference </w:t>
      </w:r>
      <w:r w:rsidR="00503990" w:rsidRPr="005F62F4">
        <w:rPr>
          <w:lang w:eastAsia="en-AU"/>
        </w:rPr>
        <w:t>in</w:t>
      </w:r>
      <w:r w:rsidRPr="005F62F4">
        <w:rPr>
          <w:lang w:eastAsia="en-AU"/>
        </w:rPr>
        <w:t xml:space="preserve"> the vertical distance </w:t>
      </w:r>
      <w:r w:rsidR="00503990" w:rsidRPr="005F62F4">
        <w:rPr>
          <w:lang w:eastAsia="en-AU"/>
        </w:rPr>
        <w:t>from</w:t>
      </w:r>
      <w:r w:rsidRPr="005F62F4">
        <w:rPr>
          <w:lang w:eastAsia="en-AU"/>
        </w:rPr>
        <w:t xml:space="preserve"> the canine </w:t>
      </w:r>
      <w:r w:rsidR="00503990" w:rsidRPr="005F62F4">
        <w:rPr>
          <w:lang w:eastAsia="en-AU"/>
        </w:rPr>
        <w:t>to</w:t>
      </w:r>
      <w:r w:rsidRPr="005F62F4">
        <w:rPr>
          <w:lang w:eastAsia="en-AU"/>
        </w:rPr>
        <w:t xml:space="preserve"> the first molar between the operated side and </w:t>
      </w:r>
      <w:r w:rsidR="00503990" w:rsidRPr="005F62F4">
        <w:rPr>
          <w:lang w:eastAsia="en-AU"/>
        </w:rPr>
        <w:t>un</w:t>
      </w:r>
      <w:r w:rsidRPr="005F62F4">
        <w:rPr>
          <w:lang w:eastAsia="en-AU"/>
        </w:rPr>
        <w:t xml:space="preserve">operated </w:t>
      </w:r>
      <w:r w:rsidR="00503990" w:rsidRPr="005F62F4">
        <w:rPr>
          <w:lang w:eastAsia="en-AU"/>
        </w:rPr>
        <w:t xml:space="preserve">sides </w:t>
      </w:r>
      <w:r w:rsidRPr="005F62F4">
        <w:rPr>
          <w:lang w:eastAsia="en-AU"/>
        </w:rPr>
        <w:t xml:space="preserve">was significantly </w:t>
      </w:r>
      <w:r w:rsidR="00503990" w:rsidRPr="005F62F4">
        <w:rPr>
          <w:lang w:eastAsia="en-AU"/>
        </w:rPr>
        <w:t>smaller</w:t>
      </w:r>
      <w:r w:rsidRPr="005F62F4">
        <w:rPr>
          <w:lang w:eastAsia="en-AU"/>
        </w:rPr>
        <w:t xml:space="preserve"> </w:t>
      </w:r>
      <w:r w:rsidR="00503990" w:rsidRPr="005F62F4">
        <w:rPr>
          <w:lang w:eastAsia="en-AU"/>
        </w:rPr>
        <w:t>in the virtual surgical planning group (2.82mm ±</w:t>
      </w:r>
      <w:r w:rsidR="00F13D6E" w:rsidRPr="005F62F4">
        <w:rPr>
          <w:lang w:eastAsia="en-AU"/>
        </w:rPr>
        <w:t xml:space="preserve">1.22) than in </w:t>
      </w:r>
      <w:r w:rsidRPr="005F62F4">
        <w:rPr>
          <w:lang w:eastAsia="en-AU"/>
        </w:rPr>
        <w:t>the conventional surgical group (</w:t>
      </w:r>
      <w:r w:rsidR="00F13D6E" w:rsidRPr="005F62F4">
        <w:rPr>
          <w:lang w:eastAsia="en-AU"/>
        </w:rPr>
        <w:t xml:space="preserve">6.13 ±3.12; </w:t>
      </w:r>
      <w:r w:rsidRPr="005F62F4">
        <w:rPr>
          <w:lang w:eastAsia="en-AU"/>
        </w:rPr>
        <w:t>p</w:t>
      </w:r>
      <w:r w:rsidR="005F6896" w:rsidRPr="005F62F4">
        <w:rPr>
          <w:lang w:eastAsia="en-AU"/>
        </w:rPr>
        <w:t> = </w:t>
      </w:r>
      <w:r w:rsidRPr="005F62F4">
        <w:rPr>
          <w:lang w:eastAsia="en-AU"/>
        </w:rPr>
        <w:t xml:space="preserve">0.013). </w:t>
      </w:r>
      <w:r w:rsidR="00F13D6E" w:rsidRPr="005F62F4">
        <w:rPr>
          <w:lang w:eastAsia="en-AU"/>
        </w:rPr>
        <w:t xml:space="preserve">The virtual surgical planning group also had lower rates of horizontal shift (25% vs 74%; </w:t>
      </w:r>
      <w:r w:rsidR="004E0891" w:rsidRPr="005F62F4">
        <w:rPr>
          <w:lang w:eastAsia="en-AU"/>
        </w:rPr>
        <w:t>p</w:t>
      </w:r>
      <w:r w:rsidR="005F6896" w:rsidRPr="005F62F4">
        <w:rPr>
          <w:lang w:eastAsia="en-AU"/>
        </w:rPr>
        <w:t> = </w:t>
      </w:r>
      <w:r w:rsidRPr="005F62F4">
        <w:rPr>
          <w:lang w:eastAsia="en-AU"/>
        </w:rPr>
        <w:t xml:space="preserve">0.019) and fibular overextension </w:t>
      </w:r>
      <w:r w:rsidR="00F32102" w:rsidRPr="005F62F4">
        <w:rPr>
          <w:lang w:eastAsia="en-AU"/>
        </w:rPr>
        <w:t xml:space="preserve">(13% vs 53%; </w:t>
      </w:r>
      <w:r w:rsidR="004E0891" w:rsidRPr="005F62F4">
        <w:rPr>
          <w:lang w:eastAsia="en-AU"/>
        </w:rPr>
        <w:t>p</w:t>
      </w:r>
      <w:r w:rsidR="005F6896" w:rsidRPr="005F62F4">
        <w:rPr>
          <w:lang w:eastAsia="en-AU"/>
        </w:rPr>
        <w:t> = </w:t>
      </w:r>
      <w:r w:rsidRPr="005F62F4">
        <w:rPr>
          <w:lang w:eastAsia="en-AU"/>
        </w:rPr>
        <w:t>0.041).</w:t>
      </w:r>
    </w:p>
    <w:p w14:paraId="42D091B2" w14:textId="77777777" w:rsidR="00D259A2" w:rsidRPr="005F62F4" w:rsidRDefault="00D259A2" w:rsidP="00D05D9A">
      <w:pPr>
        <w:pStyle w:val="Heading5"/>
      </w:pPr>
      <w:r w:rsidRPr="005F62F4">
        <w:t>Limitations</w:t>
      </w:r>
    </w:p>
    <w:p w14:paraId="56724303" w14:textId="695327C3" w:rsidR="00D259A2" w:rsidRPr="005F62F4" w:rsidRDefault="00121529" w:rsidP="009270AE">
      <w:pPr>
        <w:pStyle w:val="Para"/>
        <w:rPr>
          <w:lang w:eastAsia="en-AU"/>
        </w:rPr>
      </w:pPr>
      <w:r w:rsidRPr="005F62F4">
        <w:rPr>
          <w:lang w:eastAsia="en-AU"/>
        </w:rPr>
        <w:t xml:space="preserve">The computer-assisted techniques used in the virtual planning group were also employed for outcome evaluation, and there is the potential for systematic and cumulative error. </w:t>
      </w:r>
      <w:r w:rsidR="009270AE" w:rsidRPr="005F62F4">
        <w:rPr>
          <w:lang w:eastAsia="en-AU"/>
        </w:rPr>
        <w:t>For example, t</w:t>
      </w:r>
      <w:r w:rsidRPr="005F62F4">
        <w:rPr>
          <w:lang w:eastAsia="en-AU"/>
        </w:rPr>
        <w:t xml:space="preserve">he </w:t>
      </w:r>
      <w:r w:rsidR="009270AE" w:rsidRPr="005F62F4">
        <w:rPr>
          <w:lang w:eastAsia="en-AU"/>
        </w:rPr>
        <w:t>authors note that t</w:t>
      </w:r>
      <w:r w:rsidR="00880A5B" w:rsidRPr="005F62F4">
        <w:rPr>
          <w:lang w:eastAsia="en-AU"/>
        </w:rPr>
        <w:t>he virtual plans</w:t>
      </w:r>
      <w:r w:rsidR="009270AE" w:rsidRPr="005F62F4">
        <w:rPr>
          <w:lang w:eastAsia="en-AU"/>
        </w:rPr>
        <w:t xml:space="preserve"> (and outcome measures) </w:t>
      </w:r>
      <w:r w:rsidR="00880A5B" w:rsidRPr="005F62F4">
        <w:rPr>
          <w:lang w:eastAsia="en-AU"/>
        </w:rPr>
        <w:t>were based on bony tissues in CT scans</w:t>
      </w:r>
      <w:r w:rsidR="0013237F" w:rsidRPr="005F62F4">
        <w:rPr>
          <w:lang w:eastAsia="en-AU"/>
        </w:rPr>
        <w:t>;</w:t>
      </w:r>
      <w:r w:rsidR="00880A5B" w:rsidRPr="005F62F4">
        <w:rPr>
          <w:lang w:eastAsia="en-AU"/>
        </w:rPr>
        <w:t xml:space="preserve"> </w:t>
      </w:r>
      <w:r w:rsidR="009640C0" w:rsidRPr="005F62F4">
        <w:rPr>
          <w:lang w:eastAsia="en-AU"/>
        </w:rPr>
        <w:t>however</w:t>
      </w:r>
      <w:r w:rsidR="0013237F" w:rsidRPr="005F62F4">
        <w:rPr>
          <w:lang w:eastAsia="en-AU"/>
        </w:rPr>
        <w:t>,</w:t>
      </w:r>
      <w:r w:rsidR="00880A5B" w:rsidRPr="005F62F4">
        <w:rPr>
          <w:lang w:eastAsia="en-AU"/>
        </w:rPr>
        <w:t xml:space="preserve"> soft tissues also </w:t>
      </w:r>
      <w:r w:rsidR="009640C0" w:rsidRPr="005F62F4">
        <w:rPr>
          <w:lang w:eastAsia="en-AU"/>
        </w:rPr>
        <w:t xml:space="preserve">need to </w:t>
      </w:r>
      <w:r w:rsidR="00880A5B" w:rsidRPr="005F62F4">
        <w:rPr>
          <w:lang w:eastAsia="en-AU"/>
        </w:rPr>
        <w:t>be considered during surgery</w:t>
      </w:r>
      <w:r w:rsidRPr="005F62F4">
        <w:rPr>
          <w:lang w:eastAsia="en-AU"/>
        </w:rPr>
        <w:t>.</w:t>
      </w:r>
    </w:p>
    <w:p w14:paraId="7881B2C3" w14:textId="77777777" w:rsidR="00D259A2" w:rsidRPr="005F62F4" w:rsidRDefault="00D259A2" w:rsidP="00D05D9A">
      <w:pPr>
        <w:pStyle w:val="Heading5"/>
      </w:pPr>
      <w:r w:rsidRPr="005F62F4">
        <w:t>Conflicts of interest</w:t>
      </w:r>
    </w:p>
    <w:p w14:paraId="26AEE58A" w14:textId="6DFCCF07" w:rsidR="00880A5B" w:rsidRPr="005F62F4" w:rsidRDefault="00880A5B" w:rsidP="00880A5B">
      <w:pPr>
        <w:pStyle w:val="Para"/>
        <w:rPr>
          <w:lang w:eastAsia="en-AU"/>
        </w:rPr>
      </w:pPr>
      <w:r w:rsidRPr="005F62F4">
        <w:rPr>
          <w:lang w:eastAsia="en-AU"/>
        </w:rPr>
        <w:t>Nil reported.</w:t>
      </w:r>
    </w:p>
    <w:p w14:paraId="44B403E8" w14:textId="77777777" w:rsidR="003A0ECA" w:rsidRPr="005F62F4" w:rsidRDefault="003A0ECA" w:rsidP="00334DC3">
      <w:r w:rsidRPr="005F62F4">
        <w:br w:type="page"/>
      </w:r>
    </w:p>
    <w:p w14:paraId="74FEF691" w14:textId="1A16270B" w:rsidR="00D259A2" w:rsidRPr="005F62F4" w:rsidRDefault="00880A5B" w:rsidP="004F2931">
      <w:pPr>
        <w:pStyle w:val="Heading4"/>
      </w:pPr>
      <w:r w:rsidRPr="005F62F4">
        <w:lastRenderedPageBreak/>
        <w:t>Zha</w:t>
      </w:r>
      <w:r w:rsidR="00D259A2" w:rsidRPr="005F62F4">
        <w:t>n</w:t>
      </w:r>
      <w:r w:rsidRPr="005F62F4">
        <w:t>g et al. (2016)</w:t>
      </w:r>
    </w:p>
    <w:p w14:paraId="74460C23" w14:textId="77777777" w:rsidR="00D259A2" w:rsidRPr="005F62F4" w:rsidRDefault="00D259A2" w:rsidP="00D05D9A">
      <w:pPr>
        <w:pStyle w:val="Heading5"/>
        <w:rPr>
          <w:rStyle w:val="Strong"/>
          <w:b/>
          <w:bCs w:val="0"/>
        </w:rPr>
      </w:pPr>
      <w:r w:rsidRPr="005F62F4">
        <w:rPr>
          <w:rStyle w:val="Strong"/>
          <w:b/>
          <w:bCs w:val="0"/>
        </w:rPr>
        <w:t>Study type (level of evidence)</w:t>
      </w:r>
    </w:p>
    <w:p w14:paraId="3E4C9779" w14:textId="65F6210B" w:rsidR="00D259A2" w:rsidRPr="005F62F4" w:rsidRDefault="00880A5B" w:rsidP="00D259A2">
      <w:pPr>
        <w:pStyle w:val="Para"/>
        <w:rPr>
          <w:lang w:eastAsia="en-AU"/>
        </w:rPr>
      </w:pPr>
      <w:r w:rsidRPr="005F62F4">
        <w:rPr>
          <w:lang w:eastAsia="en-AU"/>
        </w:rPr>
        <w:t>Retrospective case-control (III-2)</w:t>
      </w:r>
    </w:p>
    <w:p w14:paraId="1B5BC112" w14:textId="77777777" w:rsidR="00D259A2" w:rsidRPr="005F62F4" w:rsidRDefault="00D259A2" w:rsidP="00D05D9A">
      <w:pPr>
        <w:pStyle w:val="Heading5"/>
      </w:pPr>
      <w:r w:rsidRPr="005F62F4">
        <w:t>Country</w:t>
      </w:r>
    </w:p>
    <w:p w14:paraId="2A0A874A" w14:textId="21B245CA" w:rsidR="00D259A2" w:rsidRPr="005F62F4" w:rsidRDefault="00880A5B" w:rsidP="00D259A2">
      <w:pPr>
        <w:pStyle w:val="Para"/>
        <w:rPr>
          <w:lang w:eastAsia="en-AU"/>
        </w:rPr>
      </w:pPr>
      <w:r w:rsidRPr="005F62F4">
        <w:rPr>
          <w:lang w:eastAsia="en-AU"/>
        </w:rPr>
        <w:t>China</w:t>
      </w:r>
    </w:p>
    <w:p w14:paraId="70F4DAC0" w14:textId="77777777" w:rsidR="00D259A2" w:rsidRPr="005F62F4" w:rsidRDefault="00D259A2" w:rsidP="00D05D9A">
      <w:pPr>
        <w:pStyle w:val="Heading5"/>
      </w:pPr>
      <w:r w:rsidRPr="005F62F4">
        <w:t>Study information</w:t>
      </w:r>
    </w:p>
    <w:p w14:paraId="4706C663" w14:textId="4CAE04A8" w:rsidR="00D259A2" w:rsidRPr="005F62F4" w:rsidRDefault="00790915" w:rsidP="005776D0">
      <w:pPr>
        <w:pStyle w:val="Para"/>
      </w:pPr>
      <w:r w:rsidRPr="005F62F4">
        <w:rPr>
          <w:lang w:eastAsia="en-AU"/>
        </w:rPr>
        <w:t>Forty-five</w:t>
      </w:r>
      <w:r w:rsidR="005776D0" w:rsidRPr="005F62F4">
        <w:rPr>
          <w:lang w:eastAsia="en-AU"/>
        </w:rPr>
        <w:t xml:space="preserve"> patients who underwent mandibulectomy and simultaneous reconstruction with free iliac crest flaps between January 2008 and June 2015 were divided into two groups: those who had undergone reconstruction through conventional surgery based on the surgeon’s experience (n</w:t>
      </w:r>
      <w:r w:rsidR="005F6896" w:rsidRPr="005F62F4">
        <w:rPr>
          <w:lang w:eastAsia="en-AU"/>
        </w:rPr>
        <w:t> = </w:t>
      </w:r>
      <w:r w:rsidR="005776D0" w:rsidRPr="005F62F4">
        <w:rPr>
          <w:lang w:eastAsia="en-AU"/>
        </w:rPr>
        <w:t>30) and those w</w:t>
      </w:r>
      <w:r w:rsidR="00F06137" w:rsidRPr="005F62F4">
        <w:rPr>
          <w:lang w:eastAsia="en-AU"/>
        </w:rPr>
        <w:t>ho received virtual surgical planning</w:t>
      </w:r>
      <w:r w:rsidR="005776D0" w:rsidRPr="005F62F4">
        <w:rPr>
          <w:lang w:eastAsia="en-AU"/>
        </w:rPr>
        <w:t xml:space="preserve"> (n</w:t>
      </w:r>
      <w:r w:rsidR="005F6896" w:rsidRPr="005F62F4">
        <w:rPr>
          <w:lang w:eastAsia="en-AU"/>
        </w:rPr>
        <w:t> = </w:t>
      </w:r>
      <w:r w:rsidR="005776D0" w:rsidRPr="005F62F4">
        <w:rPr>
          <w:lang w:eastAsia="en-AU"/>
        </w:rPr>
        <w:t xml:space="preserve">15). The </w:t>
      </w:r>
      <w:r w:rsidR="00F06137" w:rsidRPr="005F62F4">
        <w:rPr>
          <w:lang w:eastAsia="en-AU"/>
        </w:rPr>
        <w:t>virtual surgical planning</w:t>
      </w:r>
      <w:r w:rsidR="005776D0" w:rsidRPr="005F62F4">
        <w:rPr>
          <w:lang w:eastAsia="en-AU"/>
        </w:rPr>
        <w:t xml:space="preserve"> technique involved a virtual plan, </w:t>
      </w:r>
      <w:proofErr w:type="spellStart"/>
      <w:r w:rsidR="005776D0" w:rsidRPr="005F62F4">
        <w:rPr>
          <w:lang w:eastAsia="en-AU"/>
        </w:rPr>
        <w:t>stereomodel</w:t>
      </w:r>
      <w:proofErr w:type="spellEnd"/>
      <w:r w:rsidR="005776D0" w:rsidRPr="005F62F4">
        <w:rPr>
          <w:lang w:eastAsia="en-AU"/>
        </w:rPr>
        <w:t xml:space="preserve">, pre-bending </w:t>
      </w:r>
      <w:r w:rsidR="001B42DD" w:rsidRPr="005F62F4">
        <w:rPr>
          <w:lang w:eastAsia="en-AU"/>
        </w:rPr>
        <w:t>o</w:t>
      </w:r>
      <w:r w:rsidR="003735EF" w:rsidRPr="005F62F4">
        <w:rPr>
          <w:lang w:eastAsia="en-AU"/>
        </w:rPr>
        <w:t xml:space="preserve">f an </w:t>
      </w:r>
      <w:r w:rsidR="005776D0" w:rsidRPr="005F62F4">
        <w:rPr>
          <w:lang w:eastAsia="en-AU"/>
        </w:rPr>
        <w:t>individual reconstruction plate and surgical navigation.</w:t>
      </w:r>
      <w:r w:rsidR="005776D0" w:rsidRPr="005F62F4">
        <w:rPr>
          <w:lang w:eastAsia="en-AU"/>
        </w:rPr>
        <w:tab/>
      </w:r>
    </w:p>
    <w:p w14:paraId="6C2DE8DA" w14:textId="396B00B9" w:rsidR="005776D0" w:rsidRPr="005F62F4" w:rsidRDefault="005776D0" w:rsidP="00D05D9A">
      <w:pPr>
        <w:pStyle w:val="Heading5"/>
      </w:pPr>
      <w:r w:rsidRPr="005F62F4">
        <w:t>Outcomes</w:t>
      </w:r>
    </w:p>
    <w:p w14:paraId="3F060AC6" w14:textId="1BE58AF6" w:rsidR="008C3BFE" w:rsidRPr="005F62F4" w:rsidRDefault="005776D0" w:rsidP="0009427C">
      <w:pPr>
        <w:pStyle w:val="Para"/>
        <w:rPr>
          <w:lang w:eastAsia="en-AU"/>
        </w:rPr>
      </w:pPr>
      <w:r w:rsidRPr="005F62F4">
        <w:rPr>
          <w:lang w:eastAsia="en-AU"/>
        </w:rPr>
        <w:t>Condyle position, reconstructed mandible contour and complications, receipt of dental restoration</w:t>
      </w:r>
      <w:r w:rsidR="006C6299" w:rsidRPr="005F62F4">
        <w:rPr>
          <w:lang w:eastAsia="en-AU"/>
        </w:rPr>
        <w:t>,</w:t>
      </w:r>
      <w:r w:rsidRPr="005F62F4">
        <w:rPr>
          <w:lang w:eastAsia="en-AU"/>
        </w:rPr>
        <w:t xml:space="preserve"> and post-surgery facial symmetry and appearance.</w:t>
      </w:r>
    </w:p>
    <w:p w14:paraId="0D5AC908" w14:textId="77777777" w:rsidR="00D259A2" w:rsidRPr="005F62F4" w:rsidRDefault="00D259A2" w:rsidP="00D05D9A">
      <w:pPr>
        <w:pStyle w:val="Heading5"/>
      </w:pPr>
      <w:r w:rsidRPr="005F62F4">
        <w:t>Findings</w:t>
      </w:r>
    </w:p>
    <w:p w14:paraId="6EDEE6BC" w14:textId="39F90C07" w:rsidR="00D259A2" w:rsidRPr="005F62F4" w:rsidRDefault="007473D8" w:rsidP="00D259A2">
      <w:pPr>
        <w:pStyle w:val="Para"/>
        <w:rPr>
          <w:lang w:eastAsia="en-AU"/>
        </w:rPr>
      </w:pPr>
      <w:r w:rsidRPr="005F62F4">
        <w:rPr>
          <w:lang w:eastAsia="en-AU"/>
        </w:rPr>
        <w:t xml:space="preserve">Overall success was high (95.6%) and there were no differences in </w:t>
      </w:r>
      <w:r w:rsidR="005111A4" w:rsidRPr="005F62F4">
        <w:rPr>
          <w:lang w:eastAsia="en-AU"/>
        </w:rPr>
        <w:t xml:space="preserve">the incidence of </w:t>
      </w:r>
      <w:r w:rsidRPr="005F62F4">
        <w:rPr>
          <w:lang w:eastAsia="en-AU"/>
        </w:rPr>
        <w:t>failure</w:t>
      </w:r>
      <w:r w:rsidR="005111A4" w:rsidRPr="005F62F4">
        <w:rPr>
          <w:lang w:eastAsia="en-AU"/>
        </w:rPr>
        <w:t xml:space="preserve"> or complications </w:t>
      </w:r>
      <w:r w:rsidRPr="005F62F4">
        <w:rPr>
          <w:lang w:eastAsia="en-AU"/>
        </w:rPr>
        <w:t xml:space="preserve">between groups. Patients in the virtual planning group had a smaller </w:t>
      </w:r>
      <w:r w:rsidR="00952B5F" w:rsidRPr="005F62F4">
        <w:rPr>
          <w:lang w:eastAsia="en-AU"/>
        </w:rPr>
        <w:t xml:space="preserve">average </w:t>
      </w:r>
      <w:r w:rsidRPr="005F62F4">
        <w:rPr>
          <w:lang w:eastAsia="en-AU"/>
        </w:rPr>
        <w:t>condyl</w:t>
      </w:r>
      <w:r w:rsidR="007F5D7D" w:rsidRPr="005F62F4">
        <w:rPr>
          <w:lang w:eastAsia="en-AU"/>
        </w:rPr>
        <w:t>e</w:t>
      </w:r>
      <w:r w:rsidRPr="005F62F4">
        <w:rPr>
          <w:lang w:eastAsia="en-AU"/>
        </w:rPr>
        <w:t xml:space="preserve"> </w:t>
      </w:r>
      <w:r w:rsidR="00952B5F" w:rsidRPr="005F62F4">
        <w:rPr>
          <w:lang w:eastAsia="en-AU"/>
        </w:rPr>
        <w:t>shift</w:t>
      </w:r>
      <w:r w:rsidRPr="005F62F4">
        <w:rPr>
          <w:lang w:eastAsia="en-AU"/>
        </w:rPr>
        <w:t xml:space="preserve"> </w:t>
      </w:r>
      <w:r w:rsidR="00952B5F" w:rsidRPr="005F62F4">
        <w:rPr>
          <w:lang w:eastAsia="en-AU"/>
        </w:rPr>
        <w:t>(2.0mm vs 2.5mm; p</w:t>
      </w:r>
      <w:r w:rsidR="005F6896" w:rsidRPr="005F62F4">
        <w:rPr>
          <w:lang w:eastAsia="en-AU"/>
        </w:rPr>
        <w:t> = </w:t>
      </w:r>
      <w:r w:rsidR="00952B5F" w:rsidRPr="005F62F4">
        <w:rPr>
          <w:lang w:eastAsia="en-AU"/>
        </w:rPr>
        <w:t>0.026) and smaller average difference in lower mandible border (3.7mm vs 5.1mm; p &lt;</w:t>
      </w:r>
      <w:r w:rsidR="005F6896" w:rsidRPr="005F62F4">
        <w:rPr>
          <w:lang w:eastAsia="en-AU"/>
        </w:rPr>
        <w:t> 0</w:t>
      </w:r>
      <w:r w:rsidR="00952B5F" w:rsidRPr="005F62F4">
        <w:rPr>
          <w:lang w:eastAsia="en-AU"/>
        </w:rPr>
        <w:t xml:space="preserve">.01) than those in the conventional surgical group, although there was no difference in the average length of defects. </w:t>
      </w:r>
      <w:r w:rsidR="0008471C" w:rsidRPr="005F62F4">
        <w:rPr>
          <w:lang w:eastAsia="en-AU"/>
        </w:rPr>
        <w:t xml:space="preserve">At follow-up, 80% </w:t>
      </w:r>
      <w:r w:rsidR="005776D0" w:rsidRPr="005F62F4">
        <w:rPr>
          <w:lang w:eastAsia="en-AU"/>
        </w:rPr>
        <w:t xml:space="preserve">of patients in the </w:t>
      </w:r>
      <w:r w:rsidR="0008471C" w:rsidRPr="005F62F4">
        <w:rPr>
          <w:lang w:eastAsia="en-AU"/>
        </w:rPr>
        <w:t>virtual planning group</w:t>
      </w:r>
      <w:r w:rsidR="005776D0" w:rsidRPr="005F62F4">
        <w:rPr>
          <w:lang w:eastAsia="en-AU"/>
        </w:rPr>
        <w:t xml:space="preserve"> </w:t>
      </w:r>
      <w:r w:rsidR="0008471C" w:rsidRPr="005F62F4">
        <w:rPr>
          <w:lang w:eastAsia="en-AU"/>
        </w:rPr>
        <w:t>had received</w:t>
      </w:r>
      <w:r w:rsidR="005776D0" w:rsidRPr="005F62F4">
        <w:rPr>
          <w:lang w:eastAsia="en-AU"/>
        </w:rPr>
        <w:t xml:space="preserve"> dental restoration compared to </w:t>
      </w:r>
      <w:r w:rsidR="0008471C" w:rsidRPr="005F62F4">
        <w:rPr>
          <w:lang w:eastAsia="en-AU"/>
        </w:rPr>
        <w:t xml:space="preserve">40% of the conventional surgery group </w:t>
      </w:r>
      <w:r w:rsidR="005776D0" w:rsidRPr="005F62F4">
        <w:rPr>
          <w:lang w:eastAsia="en-AU"/>
        </w:rPr>
        <w:t>(p</w:t>
      </w:r>
      <w:r w:rsidR="005F6896" w:rsidRPr="005F62F4">
        <w:rPr>
          <w:lang w:eastAsia="en-AU"/>
        </w:rPr>
        <w:t> = </w:t>
      </w:r>
      <w:r w:rsidR="005776D0" w:rsidRPr="005F62F4">
        <w:rPr>
          <w:lang w:eastAsia="en-AU"/>
        </w:rPr>
        <w:t>0.011).</w:t>
      </w:r>
      <w:r w:rsidR="005111A4" w:rsidRPr="005F62F4">
        <w:rPr>
          <w:lang w:eastAsia="en-AU"/>
        </w:rPr>
        <w:t xml:space="preserve"> </w:t>
      </w:r>
      <w:proofErr w:type="gramStart"/>
      <w:r w:rsidR="00B524DC" w:rsidRPr="005F62F4">
        <w:rPr>
          <w:lang w:eastAsia="en-AU"/>
        </w:rPr>
        <w:t>All of</w:t>
      </w:r>
      <w:proofErr w:type="gramEnd"/>
      <w:r w:rsidR="00B524DC" w:rsidRPr="005F62F4">
        <w:rPr>
          <w:lang w:eastAsia="en-AU"/>
        </w:rPr>
        <w:t xml:space="preserve"> the patients in the computer-assisted group indicated satisfaction with their post-surgical appearance and symmetry, while only half in the conventional surgery group did so (p</w:t>
      </w:r>
      <w:r w:rsidR="005F6896" w:rsidRPr="005F62F4">
        <w:rPr>
          <w:lang w:eastAsia="en-AU"/>
        </w:rPr>
        <w:t> = </w:t>
      </w:r>
      <w:r w:rsidR="00B524DC" w:rsidRPr="005F62F4">
        <w:rPr>
          <w:lang w:eastAsia="en-AU"/>
        </w:rPr>
        <w:t>0.028).</w:t>
      </w:r>
    </w:p>
    <w:p w14:paraId="7846A84A" w14:textId="77777777" w:rsidR="00D259A2" w:rsidRPr="005F62F4" w:rsidRDefault="00D259A2" w:rsidP="00D05D9A">
      <w:pPr>
        <w:pStyle w:val="Heading5"/>
      </w:pPr>
      <w:r w:rsidRPr="005F62F4">
        <w:t>Limitations</w:t>
      </w:r>
    </w:p>
    <w:p w14:paraId="49B31199" w14:textId="78734B3A" w:rsidR="00D259A2" w:rsidRPr="005F62F4" w:rsidRDefault="005776D0" w:rsidP="00D259A2">
      <w:pPr>
        <w:pStyle w:val="Para"/>
        <w:rPr>
          <w:lang w:eastAsia="en-AU"/>
        </w:rPr>
      </w:pPr>
      <w:r w:rsidRPr="005F62F4">
        <w:rPr>
          <w:lang w:eastAsia="en-AU"/>
        </w:rPr>
        <w:t>The</w:t>
      </w:r>
      <w:r w:rsidR="00B524DC" w:rsidRPr="005F62F4">
        <w:rPr>
          <w:lang w:eastAsia="en-AU"/>
        </w:rPr>
        <w:t xml:space="preserve"> computer-assisted techniques used in the virtual planning group were also employed for outcome evaluation, </w:t>
      </w:r>
      <w:r w:rsidR="00E8478E" w:rsidRPr="005F62F4">
        <w:rPr>
          <w:lang w:eastAsia="en-AU"/>
        </w:rPr>
        <w:t>and there is the potential for systematic and cumulative error.</w:t>
      </w:r>
      <w:r w:rsidR="009270AE" w:rsidRPr="005F62F4">
        <w:rPr>
          <w:lang w:eastAsia="en-AU"/>
        </w:rPr>
        <w:t xml:space="preserve"> For example, the authors note that the virtual plans (and outcome measures) were based on bony tissues in CT scans</w:t>
      </w:r>
      <w:r w:rsidR="0013237F" w:rsidRPr="005F62F4">
        <w:rPr>
          <w:lang w:eastAsia="en-AU"/>
        </w:rPr>
        <w:t>;</w:t>
      </w:r>
      <w:r w:rsidR="009270AE" w:rsidRPr="005F62F4">
        <w:rPr>
          <w:lang w:eastAsia="en-AU"/>
        </w:rPr>
        <w:t xml:space="preserve"> however</w:t>
      </w:r>
      <w:r w:rsidR="0013237F" w:rsidRPr="005F62F4">
        <w:rPr>
          <w:lang w:eastAsia="en-AU"/>
        </w:rPr>
        <w:t>,</w:t>
      </w:r>
      <w:r w:rsidR="009270AE" w:rsidRPr="005F62F4">
        <w:rPr>
          <w:lang w:eastAsia="en-AU"/>
        </w:rPr>
        <w:t xml:space="preserve"> soft tissues also need to be considered during surgery.</w:t>
      </w:r>
    </w:p>
    <w:p w14:paraId="75B6F804" w14:textId="77777777" w:rsidR="00D259A2" w:rsidRPr="005F62F4" w:rsidRDefault="00D259A2" w:rsidP="00D05D9A">
      <w:pPr>
        <w:pStyle w:val="Heading5"/>
      </w:pPr>
      <w:r w:rsidRPr="005F62F4">
        <w:t>Conflicts of interest</w:t>
      </w:r>
    </w:p>
    <w:p w14:paraId="3D69C3A1" w14:textId="06F34E58" w:rsidR="005776D0" w:rsidRPr="005F62F4" w:rsidRDefault="005776D0" w:rsidP="005776D0">
      <w:pPr>
        <w:pStyle w:val="Para"/>
        <w:rPr>
          <w:lang w:eastAsia="en-AU"/>
        </w:rPr>
      </w:pPr>
      <w:r w:rsidRPr="005F62F4">
        <w:rPr>
          <w:lang w:eastAsia="en-AU"/>
        </w:rPr>
        <w:t>Nil reported.</w:t>
      </w:r>
    </w:p>
    <w:p w14:paraId="02D42972" w14:textId="77777777" w:rsidR="003A0ECA" w:rsidRPr="005F62F4" w:rsidRDefault="003A0ECA" w:rsidP="00334DC3">
      <w:r w:rsidRPr="005F62F4">
        <w:br w:type="page"/>
      </w:r>
    </w:p>
    <w:p w14:paraId="712C40D9" w14:textId="06CD3EE3" w:rsidR="00D259A2" w:rsidRPr="005F62F4" w:rsidRDefault="005776D0" w:rsidP="004F2931">
      <w:pPr>
        <w:pStyle w:val="Heading4"/>
      </w:pPr>
      <w:proofErr w:type="spellStart"/>
      <w:r w:rsidRPr="005F62F4">
        <w:lastRenderedPageBreak/>
        <w:t>Zweifel</w:t>
      </w:r>
      <w:proofErr w:type="spellEnd"/>
      <w:r w:rsidRPr="005F62F4">
        <w:t xml:space="preserve"> et al. (2015)</w:t>
      </w:r>
    </w:p>
    <w:p w14:paraId="49C0B7B2" w14:textId="77777777" w:rsidR="00D259A2" w:rsidRPr="005F62F4" w:rsidRDefault="00D259A2" w:rsidP="00D05D9A">
      <w:pPr>
        <w:pStyle w:val="Heading5"/>
        <w:rPr>
          <w:rStyle w:val="Strong"/>
          <w:b/>
          <w:bCs w:val="0"/>
        </w:rPr>
      </w:pPr>
      <w:r w:rsidRPr="005F62F4">
        <w:rPr>
          <w:rStyle w:val="Strong"/>
          <w:b/>
          <w:bCs w:val="0"/>
        </w:rPr>
        <w:t>Study type (level of evidence)</w:t>
      </w:r>
    </w:p>
    <w:p w14:paraId="0154130A" w14:textId="39826308" w:rsidR="00D259A2" w:rsidRPr="005F62F4" w:rsidRDefault="005776D0" w:rsidP="00D259A2">
      <w:pPr>
        <w:pStyle w:val="Para"/>
        <w:rPr>
          <w:lang w:eastAsia="en-AU"/>
        </w:rPr>
      </w:pPr>
      <w:r w:rsidRPr="005F62F4">
        <w:rPr>
          <w:lang w:eastAsia="en-AU"/>
        </w:rPr>
        <w:t>Prospective case-control (III-2)</w:t>
      </w:r>
    </w:p>
    <w:p w14:paraId="116B2547" w14:textId="77777777" w:rsidR="00D259A2" w:rsidRPr="005F62F4" w:rsidRDefault="00D259A2" w:rsidP="00D05D9A">
      <w:pPr>
        <w:pStyle w:val="Heading5"/>
      </w:pPr>
      <w:r w:rsidRPr="005F62F4">
        <w:t>Country</w:t>
      </w:r>
    </w:p>
    <w:p w14:paraId="5681C293" w14:textId="4AA990D6" w:rsidR="00D259A2" w:rsidRPr="005F62F4" w:rsidRDefault="005776D0" w:rsidP="00D259A2">
      <w:pPr>
        <w:pStyle w:val="Para"/>
        <w:rPr>
          <w:lang w:eastAsia="en-AU"/>
        </w:rPr>
      </w:pPr>
      <w:r w:rsidRPr="005F62F4">
        <w:rPr>
          <w:lang w:eastAsia="en-AU"/>
        </w:rPr>
        <w:t>Switzerland</w:t>
      </w:r>
    </w:p>
    <w:p w14:paraId="4B126611" w14:textId="77777777" w:rsidR="00D259A2" w:rsidRPr="005F62F4" w:rsidRDefault="00D259A2" w:rsidP="00D05D9A">
      <w:pPr>
        <w:pStyle w:val="Heading5"/>
      </w:pPr>
      <w:r w:rsidRPr="005F62F4">
        <w:t>Study information</w:t>
      </w:r>
    </w:p>
    <w:p w14:paraId="1BE28879" w14:textId="0224A3DE" w:rsidR="00D259A2" w:rsidRPr="005F62F4" w:rsidRDefault="00991477" w:rsidP="00D259A2">
      <w:pPr>
        <w:pStyle w:val="Para"/>
        <w:rPr>
          <w:lang w:eastAsia="en-AU"/>
        </w:rPr>
      </w:pPr>
      <w:r w:rsidRPr="005F62F4">
        <w:rPr>
          <w:lang w:eastAsia="en-AU"/>
        </w:rPr>
        <w:t>Twenty p</w:t>
      </w:r>
      <w:r w:rsidR="00262AC0" w:rsidRPr="005F62F4">
        <w:rPr>
          <w:lang w:eastAsia="en-AU"/>
        </w:rPr>
        <w:t>atients undergoing mandibular resections with fibular reconstructions between 2012 and 2013 were included in the study.</w:t>
      </w:r>
      <w:r w:rsidRPr="005F62F4">
        <w:rPr>
          <w:lang w:eastAsia="en-AU"/>
        </w:rPr>
        <w:t xml:space="preserve"> Nine of these</w:t>
      </w:r>
      <w:r w:rsidR="00262AC0" w:rsidRPr="005F62F4">
        <w:rPr>
          <w:lang w:eastAsia="en-AU"/>
        </w:rPr>
        <w:t xml:space="preserve"> had virtual planning and guided surgery</w:t>
      </w:r>
      <w:r w:rsidRPr="005F62F4">
        <w:rPr>
          <w:lang w:eastAsia="en-AU"/>
        </w:rPr>
        <w:t>,</w:t>
      </w:r>
      <w:r w:rsidR="00262AC0" w:rsidRPr="005F62F4">
        <w:rPr>
          <w:lang w:eastAsia="en-AU"/>
        </w:rPr>
        <w:t xml:space="preserve"> and 11 underwent freehand surgery. The virtual planning involved the use of 3D models to construct cutting guides</w:t>
      </w:r>
      <w:r w:rsidR="00F71F0C" w:rsidRPr="005F62F4">
        <w:rPr>
          <w:lang w:eastAsia="en-AU"/>
        </w:rPr>
        <w:t>, and p</w:t>
      </w:r>
      <w:r w:rsidR="00262AC0" w:rsidRPr="005F62F4">
        <w:rPr>
          <w:lang w:eastAsia="en-AU"/>
        </w:rPr>
        <w:t>re</w:t>
      </w:r>
      <w:r w:rsidR="001A2934" w:rsidRPr="005F62F4">
        <w:rPr>
          <w:lang w:eastAsia="en-AU"/>
        </w:rPr>
        <w:t>-</w:t>
      </w:r>
      <w:r w:rsidR="00262AC0" w:rsidRPr="005F62F4">
        <w:rPr>
          <w:lang w:eastAsia="en-AU"/>
        </w:rPr>
        <w:t>bent or milled plates.</w:t>
      </w:r>
    </w:p>
    <w:p w14:paraId="5C9A4BD1" w14:textId="77777777" w:rsidR="00D259A2" w:rsidRPr="005F62F4" w:rsidRDefault="00D259A2" w:rsidP="00D05D9A">
      <w:pPr>
        <w:pStyle w:val="Heading5"/>
      </w:pPr>
      <w:r w:rsidRPr="005F62F4">
        <w:t>Outcomes</w:t>
      </w:r>
    </w:p>
    <w:p w14:paraId="6CF193C2" w14:textId="1EF1C67B" w:rsidR="000451CB" w:rsidRPr="005F62F4" w:rsidRDefault="00F71F0C" w:rsidP="000451CB">
      <w:pPr>
        <w:pStyle w:val="Para"/>
        <w:rPr>
          <w:lang w:eastAsia="en-AU"/>
        </w:rPr>
      </w:pPr>
      <w:r w:rsidRPr="005F62F4">
        <w:rPr>
          <w:lang w:eastAsia="en-AU"/>
        </w:rPr>
        <w:t xml:space="preserve">Total </w:t>
      </w:r>
      <w:r w:rsidR="00F11F6C" w:rsidRPr="005F62F4">
        <w:rPr>
          <w:lang w:eastAsia="en-AU"/>
        </w:rPr>
        <w:t>operative time and cost.</w:t>
      </w:r>
    </w:p>
    <w:p w14:paraId="1FEA2709" w14:textId="77777777" w:rsidR="006A3F36" w:rsidRPr="005F62F4" w:rsidRDefault="00D259A2" w:rsidP="00D05D9A">
      <w:pPr>
        <w:pStyle w:val="Heading5"/>
      </w:pPr>
      <w:r w:rsidRPr="005F62F4">
        <w:t>Findings</w:t>
      </w:r>
    </w:p>
    <w:p w14:paraId="74E84DB2" w14:textId="20998DB3" w:rsidR="00D259A2" w:rsidRPr="005F62F4" w:rsidRDefault="006A3F36" w:rsidP="006A3F36">
      <w:pPr>
        <w:pStyle w:val="Para"/>
        <w:rPr>
          <w:lang w:eastAsia="en-AU"/>
        </w:rPr>
      </w:pPr>
      <w:r w:rsidRPr="005F62F4">
        <w:t xml:space="preserve">The virtual planning group experienced a total operative time of 67.4 minutes less than the freehand surgery group (20.8 minutes </w:t>
      </w:r>
      <w:r w:rsidR="00EC74E2" w:rsidRPr="005F62F4">
        <w:t>vs</w:t>
      </w:r>
      <w:r w:rsidRPr="005F62F4">
        <w:rPr>
          <w:lang w:eastAsia="en-AU"/>
        </w:rPr>
        <w:t xml:space="preserve"> </w:t>
      </w:r>
      <w:r w:rsidR="000451CB" w:rsidRPr="005F62F4">
        <w:rPr>
          <w:lang w:eastAsia="en-AU"/>
        </w:rPr>
        <w:t>88.2 minutes</w:t>
      </w:r>
      <w:r w:rsidR="00EC74E2" w:rsidRPr="005F62F4">
        <w:rPr>
          <w:lang w:eastAsia="en-AU"/>
        </w:rPr>
        <w:t xml:space="preserve">). </w:t>
      </w:r>
      <w:r w:rsidR="000451CB" w:rsidRPr="005F62F4">
        <w:rPr>
          <w:lang w:eastAsia="en-AU"/>
        </w:rPr>
        <w:t xml:space="preserve">One minute of operative time was </w:t>
      </w:r>
      <w:r w:rsidR="00EC74E2" w:rsidRPr="005F62F4">
        <w:rPr>
          <w:lang w:eastAsia="en-AU"/>
        </w:rPr>
        <w:t xml:space="preserve">costed at </w:t>
      </w:r>
      <w:r w:rsidR="00947612" w:rsidRPr="005F62F4">
        <w:rPr>
          <w:lang w:eastAsia="en-AU"/>
        </w:rPr>
        <w:t>US</w:t>
      </w:r>
      <w:r w:rsidR="000451CB" w:rsidRPr="005F62F4">
        <w:rPr>
          <w:lang w:eastAsia="en-AU"/>
        </w:rPr>
        <w:t>$47.50</w:t>
      </w:r>
      <w:r w:rsidR="00EC74E2" w:rsidRPr="005F62F4">
        <w:rPr>
          <w:lang w:eastAsia="en-AU"/>
        </w:rPr>
        <w:t xml:space="preserve">; multiplying this by </w:t>
      </w:r>
      <w:r w:rsidR="000451CB" w:rsidRPr="005F62F4">
        <w:rPr>
          <w:lang w:eastAsia="en-AU"/>
        </w:rPr>
        <w:t xml:space="preserve">the </w:t>
      </w:r>
      <w:r w:rsidR="00C00C00" w:rsidRPr="005F62F4">
        <w:rPr>
          <w:lang w:eastAsia="en-AU"/>
        </w:rPr>
        <w:t>difference in operative time</w:t>
      </w:r>
      <w:r w:rsidR="000451CB" w:rsidRPr="005F62F4">
        <w:rPr>
          <w:lang w:eastAsia="en-AU"/>
        </w:rPr>
        <w:t xml:space="preserve"> </w:t>
      </w:r>
      <w:r w:rsidR="00EC74E2" w:rsidRPr="005F62F4">
        <w:rPr>
          <w:lang w:eastAsia="en-AU"/>
        </w:rPr>
        <w:t>resulted in a</w:t>
      </w:r>
      <w:r w:rsidR="00C00C00" w:rsidRPr="005F62F4">
        <w:rPr>
          <w:lang w:eastAsia="en-AU"/>
        </w:rPr>
        <w:t xml:space="preserve">n average saving of </w:t>
      </w:r>
      <w:r w:rsidR="00947612" w:rsidRPr="005F62F4">
        <w:rPr>
          <w:lang w:eastAsia="en-AU"/>
        </w:rPr>
        <w:t>US</w:t>
      </w:r>
      <w:r w:rsidR="00C00C00" w:rsidRPr="005F62F4">
        <w:rPr>
          <w:lang w:eastAsia="en-AU"/>
        </w:rPr>
        <w:t xml:space="preserve">$3,201.50 on average. </w:t>
      </w:r>
      <w:r w:rsidR="005E521D" w:rsidRPr="005F62F4">
        <w:rPr>
          <w:lang w:eastAsia="en-AU"/>
        </w:rPr>
        <w:t xml:space="preserve">Deducting this saving from the total cost of planning and materials, </w:t>
      </w:r>
      <w:r w:rsidR="00947612" w:rsidRPr="005F62F4">
        <w:rPr>
          <w:lang w:eastAsia="en-AU"/>
        </w:rPr>
        <w:t>procedures using a pre</w:t>
      </w:r>
      <w:r w:rsidR="001A2934" w:rsidRPr="005F62F4">
        <w:rPr>
          <w:lang w:eastAsia="en-AU"/>
        </w:rPr>
        <w:t>-</w:t>
      </w:r>
      <w:r w:rsidR="00947612" w:rsidRPr="005F62F4">
        <w:rPr>
          <w:lang w:eastAsia="en-AU"/>
        </w:rPr>
        <w:t xml:space="preserve">bent plate reduced </w:t>
      </w:r>
      <w:r w:rsidR="000451CB" w:rsidRPr="005F62F4">
        <w:rPr>
          <w:lang w:eastAsia="en-AU"/>
        </w:rPr>
        <w:t>from US$5,098 to US$1,23</w:t>
      </w:r>
      <w:r w:rsidR="00947612" w:rsidRPr="005F62F4">
        <w:rPr>
          <w:lang w:eastAsia="en-AU"/>
        </w:rPr>
        <w:t>2</w:t>
      </w:r>
      <w:r w:rsidR="000451CB" w:rsidRPr="005F62F4">
        <w:rPr>
          <w:lang w:eastAsia="en-AU"/>
        </w:rPr>
        <w:t xml:space="preserve"> </w:t>
      </w:r>
      <w:r w:rsidR="00947612" w:rsidRPr="005F62F4">
        <w:rPr>
          <w:lang w:eastAsia="en-AU"/>
        </w:rPr>
        <w:t>on average, and those using a milled plate reduced from</w:t>
      </w:r>
      <w:r w:rsidR="000451CB" w:rsidRPr="005F62F4">
        <w:rPr>
          <w:lang w:eastAsia="en-AU"/>
        </w:rPr>
        <w:t xml:space="preserve"> $6,980 to US$3,11</w:t>
      </w:r>
      <w:r w:rsidR="00947612" w:rsidRPr="005F62F4">
        <w:rPr>
          <w:lang w:eastAsia="en-AU"/>
        </w:rPr>
        <w:t>4.</w:t>
      </w:r>
    </w:p>
    <w:p w14:paraId="0EF9A62B" w14:textId="77777777" w:rsidR="00D259A2" w:rsidRPr="005F62F4" w:rsidRDefault="00D259A2" w:rsidP="00D05D9A">
      <w:pPr>
        <w:pStyle w:val="Heading5"/>
      </w:pPr>
      <w:r w:rsidRPr="005F62F4">
        <w:t>Limitations</w:t>
      </w:r>
    </w:p>
    <w:p w14:paraId="5427F0D2" w14:textId="5010CBA5" w:rsidR="00991477" w:rsidRPr="005F62F4" w:rsidRDefault="000451CB" w:rsidP="00915C02">
      <w:pPr>
        <w:pStyle w:val="Para"/>
        <w:rPr>
          <w:lang w:eastAsia="en-AU"/>
        </w:rPr>
      </w:pPr>
      <w:r w:rsidRPr="005F62F4">
        <w:rPr>
          <w:lang w:eastAsia="en-AU"/>
        </w:rPr>
        <w:t>The authors did not identify limitations to the study, nor did they make recommendations for further research.</w:t>
      </w:r>
    </w:p>
    <w:p w14:paraId="370B359D" w14:textId="7C8D4F4B" w:rsidR="00D259A2" w:rsidRPr="005F62F4" w:rsidRDefault="00D259A2" w:rsidP="00D05D9A">
      <w:pPr>
        <w:pStyle w:val="Heading5"/>
      </w:pPr>
      <w:r w:rsidRPr="005F62F4">
        <w:t>Conflicts of interest</w:t>
      </w:r>
    </w:p>
    <w:p w14:paraId="6E0CACD6" w14:textId="060E3B7A" w:rsidR="008B134C" w:rsidRPr="005F62F4" w:rsidRDefault="000451CB" w:rsidP="00991477">
      <w:pPr>
        <w:pStyle w:val="Para"/>
      </w:pPr>
      <w:r w:rsidRPr="005F62F4">
        <w:rPr>
          <w:lang w:eastAsia="en-AU"/>
        </w:rPr>
        <w:t xml:space="preserve">One of the authors participate on the speaker’s bureau for </w:t>
      </w:r>
      <w:proofErr w:type="spellStart"/>
      <w:r w:rsidRPr="005F62F4">
        <w:rPr>
          <w:lang w:eastAsia="en-AU"/>
        </w:rPr>
        <w:t>DePuy</w:t>
      </w:r>
      <w:proofErr w:type="spellEnd"/>
      <w:r w:rsidRPr="005F62F4">
        <w:rPr>
          <w:lang w:eastAsia="en-AU"/>
        </w:rPr>
        <w:t xml:space="preserve"> Synthes. There were no other relevant conflicts to declare.</w:t>
      </w:r>
    </w:p>
    <w:p w14:paraId="3C858441" w14:textId="77777777" w:rsidR="00943175" w:rsidRPr="005F62F4" w:rsidRDefault="00943175" w:rsidP="00943175">
      <w:r w:rsidRPr="005F62F4">
        <w:br w:type="page"/>
      </w:r>
    </w:p>
    <w:p w14:paraId="1C7B9E2E" w14:textId="3B621327" w:rsidR="00EC70AA" w:rsidRPr="005F62F4" w:rsidRDefault="00EC70AA" w:rsidP="004F2931">
      <w:pPr>
        <w:pStyle w:val="HeadingA2"/>
        <w:rPr>
          <w:lang w:eastAsia="en-US"/>
        </w:rPr>
      </w:pPr>
      <w:bookmarkStart w:id="296" w:name="_Toc120178358"/>
      <w:r w:rsidRPr="005F62F4">
        <w:rPr>
          <w:lang w:eastAsia="en-US"/>
        </w:rPr>
        <w:lastRenderedPageBreak/>
        <w:t>Quality of evidence and risk of bias</w:t>
      </w:r>
      <w:bookmarkEnd w:id="296"/>
    </w:p>
    <w:p w14:paraId="0AF60B80" w14:textId="2F614F56" w:rsidR="00536A67" w:rsidRPr="005F62F4" w:rsidRDefault="00597107" w:rsidP="00536A67">
      <w:pPr>
        <w:pStyle w:val="Para"/>
      </w:pPr>
      <w:r w:rsidRPr="005F62F4">
        <w:t xml:space="preserve">All </w:t>
      </w:r>
      <w:r w:rsidR="00536A67" w:rsidRPr="005F62F4">
        <w:t xml:space="preserve">13 studies </w:t>
      </w:r>
      <w:r w:rsidR="00BE167E" w:rsidRPr="005F62F4">
        <w:t xml:space="preserve">included in the systematic review </w:t>
      </w:r>
      <w:r w:rsidR="00536A67" w:rsidRPr="005F62F4">
        <w:t>were non-randomised, case-control studies. Case-control designs for intervention studies are classified as level III-2 evidence.</w:t>
      </w:r>
    </w:p>
    <w:p w14:paraId="0801F4FB" w14:textId="73629D60" w:rsidR="00597107" w:rsidRPr="005F62F4" w:rsidRDefault="00597107" w:rsidP="00597107">
      <w:pPr>
        <w:pStyle w:val="Para"/>
      </w:pPr>
      <w:r w:rsidRPr="005F62F4">
        <w:t>For the 13 studies in this review, total scores on the NOS ranged from 5 to 9 (</w:t>
      </w:r>
      <w:r w:rsidR="00D732BC" w:rsidRPr="005F62F4">
        <w:fldChar w:fldCharType="begin"/>
      </w:r>
      <w:r w:rsidR="00D732BC" w:rsidRPr="005F62F4">
        <w:instrText xml:space="preserve"> REF _Ref119870954 \h </w:instrText>
      </w:r>
      <w:r w:rsidR="005F62F4">
        <w:instrText xml:space="preserve"> \* MERGEFORMAT </w:instrText>
      </w:r>
      <w:r w:rsidR="00D732BC" w:rsidRPr="005F62F4">
        <w:fldChar w:fldCharType="separate"/>
      </w:r>
      <w:r w:rsidR="005606BF" w:rsidRPr="005F62F4">
        <w:t>Table </w:t>
      </w:r>
      <w:r w:rsidR="005606BF">
        <w:t>26</w:t>
      </w:r>
      <w:r w:rsidR="00D732BC" w:rsidRPr="005F62F4">
        <w:fldChar w:fldCharType="end"/>
      </w:r>
      <w:r w:rsidRPr="005F62F4">
        <w:t xml:space="preserve">). Just over three-quarters (10/13) of studies received a score of 6 or 7. Only the cost-analysis study by </w:t>
      </w:r>
      <w:r w:rsidR="00001A88" w:rsidRPr="005F62F4">
        <w:t xml:space="preserve">Resnick et al. (2016) </w:t>
      </w:r>
      <w:r w:rsidRPr="005F62F4">
        <w:t xml:space="preserve">received the highest possible score of 9, while the study by </w:t>
      </w:r>
      <w:r w:rsidR="004A5228" w:rsidRPr="005F62F4">
        <w:t xml:space="preserve">Silva et al. (2020) </w:t>
      </w:r>
      <w:r w:rsidRPr="005F62F4">
        <w:t xml:space="preserve">received a score of 8. The higher scores </w:t>
      </w:r>
      <w:r w:rsidR="00C322F7" w:rsidRPr="005F62F4">
        <w:t>achieved by</w:t>
      </w:r>
      <w:r w:rsidRPr="005F62F4">
        <w:t xml:space="preserve"> these studies </w:t>
      </w:r>
      <w:r w:rsidR="00C322F7" w:rsidRPr="005F62F4">
        <w:t xml:space="preserve">reflect the fact that </w:t>
      </w:r>
      <w:r w:rsidRPr="005F62F4">
        <w:t xml:space="preserve">patients in the intervention group </w:t>
      </w:r>
      <w:r w:rsidR="00C322F7" w:rsidRPr="005F62F4">
        <w:t>(</w:t>
      </w:r>
      <w:proofErr w:type="gramStart"/>
      <w:r w:rsidRPr="005F62F4">
        <w:t>i.e.</w:t>
      </w:r>
      <w:proofErr w:type="gramEnd"/>
      <w:r w:rsidRPr="005F62F4">
        <w:t xml:space="preserve"> the group </w:t>
      </w:r>
      <w:r w:rsidR="004F6FFC" w:rsidRPr="005F62F4">
        <w:t>that</w:t>
      </w:r>
      <w:r w:rsidRPr="005F62F4">
        <w:t xml:space="preserve"> underwent </w:t>
      </w:r>
      <w:r w:rsidR="00830160" w:rsidRPr="005F62F4">
        <w:t>virtually planned surgery</w:t>
      </w:r>
      <w:r w:rsidR="00C322F7" w:rsidRPr="005F62F4">
        <w:t>)</w:t>
      </w:r>
      <w:r w:rsidRPr="005F62F4" w:rsidDel="000A288B">
        <w:t xml:space="preserve"> </w:t>
      </w:r>
      <w:r w:rsidRPr="005F62F4">
        <w:t xml:space="preserve">were matched with patients in the </w:t>
      </w:r>
      <w:r w:rsidR="00C322F7" w:rsidRPr="005F62F4">
        <w:t>comparison (i.e. traditional surgery) group</w:t>
      </w:r>
      <w:r w:rsidRPr="005F62F4">
        <w:t xml:space="preserve"> on key variables, thus increasing the comparability between groups. Silva et al. (2020) matched patients on age, gender and surgical complexity, while Resnick et al. (2016) matched each patient with themselves.</w:t>
      </w:r>
      <w:r w:rsidR="0001317E" w:rsidRPr="005F62F4">
        <w:t xml:space="preserve"> </w:t>
      </w:r>
      <w:r w:rsidR="000A288B" w:rsidRPr="005F62F4">
        <w:t xml:space="preserve">There was one study </w:t>
      </w:r>
      <w:r w:rsidR="00C81661" w:rsidRPr="005F62F4">
        <w:t>(Johal et al. 2022)</w:t>
      </w:r>
      <w:r w:rsidR="000A288B" w:rsidRPr="005F62F4">
        <w:t xml:space="preserve"> which received a score of 5.</w:t>
      </w:r>
    </w:p>
    <w:p w14:paraId="514CEF9E" w14:textId="1DB0585A" w:rsidR="008F4DC6" w:rsidRPr="005F62F4" w:rsidRDefault="00E56C05" w:rsidP="0019516A">
      <w:pPr>
        <w:pStyle w:val="Para"/>
      </w:pPr>
      <w:bookmarkStart w:id="297" w:name="_Ref119870954"/>
      <w:bookmarkStart w:id="298" w:name="_Toc129954663"/>
      <w:r w:rsidRPr="005F62F4">
        <w:t>Table </w:t>
      </w:r>
      <w:r w:rsidRPr="005F62F4">
        <w:fldChar w:fldCharType="begin"/>
      </w:r>
      <w:r w:rsidRPr="005F62F4">
        <w:instrText>SEQ Table \* ARABIC</w:instrText>
      </w:r>
      <w:r w:rsidRPr="005F62F4">
        <w:fldChar w:fldCharType="separate"/>
      </w:r>
      <w:r w:rsidR="005606BF">
        <w:rPr>
          <w:noProof/>
        </w:rPr>
        <w:t>26</w:t>
      </w:r>
      <w:r w:rsidRPr="005F62F4">
        <w:fldChar w:fldCharType="end"/>
      </w:r>
      <w:bookmarkEnd w:id="297"/>
      <w:r w:rsidR="008F4DC6" w:rsidRPr="005F62F4">
        <w:t>: Newcastle-Ottawa Scale scores assessing the quality of included studies</w:t>
      </w:r>
      <w:bookmarkEnd w:id="298"/>
    </w:p>
    <w:tbl>
      <w:tblPr>
        <w:tblStyle w:val="SGB"/>
        <w:tblW w:w="9356" w:type="dxa"/>
        <w:tblLook w:val="0520" w:firstRow="1" w:lastRow="0" w:firstColumn="0" w:lastColumn="1" w:noHBand="0" w:noVBand="1"/>
      </w:tblPr>
      <w:tblGrid>
        <w:gridCol w:w="2720"/>
        <w:gridCol w:w="1659"/>
        <w:gridCol w:w="1659"/>
        <w:gridCol w:w="1659"/>
        <w:gridCol w:w="1659"/>
      </w:tblGrid>
      <w:tr w:rsidR="009069CF" w:rsidRPr="005F62F4" w14:paraId="7B391D0E" w14:textId="77777777" w:rsidTr="00D710C0">
        <w:trPr>
          <w:cnfStyle w:val="100000000000" w:firstRow="1" w:lastRow="0" w:firstColumn="0" w:lastColumn="0" w:oddVBand="0" w:evenVBand="0" w:oddHBand="0" w:evenHBand="0" w:firstRowFirstColumn="0" w:firstRowLastColumn="0" w:lastRowFirstColumn="0" w:lastRowLastColumn="0"/>
        </w:trPr>
        <w:tc>
          <w:tcPr>
            <w:tcW w:w="2720" w:type="dxa"/>
          </w:tcPr>
          <w:p w14:paraId="70E3FFF5" w14:textId="77777777" w:rsidR="009069CF" w:rsidRPr="005F62F4" w:rsidRDefault="009069CF" w:rsidP="00D710C0">
            <w:pPr>
              <w:pStyle w:val="TableText"/>
            </w:pPr>
            <w:bookmarkStart w:id="299" w:name="Title_28" w:colFirst="0" w:colLast="0"/>
            <w:r w:rsidRPr="005F62F4">
              <w:t>Citation</w:t>
            </w:r>
          </w:p>
        </w:tc>
        <w:tc>
          <w:tcPr>
            <w:tcW w:w="1659" w:type="dxa"/>
          </w:tcPr>
          <w:p w14:paraId="75DF3D35" w14:textId="77777777" w:rsidR="009069CF" w:rsidRPr="005F62F4" w:rsidRDefault="009069CF" w:rsidP="00D710C0">
            <w:pPr>
              <w:pStyle w:val="TableTextRight"/>
              <w:rPr>
                <w:lang w:val="en-AU"/>
              </w:rPr>
            </w:pPr>
            <w:r w:rsidRPr="005F62F4">
              <w:rPr>
                <w:lang w:val="en-AU"/>
              </w:rPr>
              <w:t xml:space="preserve">Selection score (max 4) </w:t>
            </w:r>
          </w:p>
        </w:tc>
        <w:tc>
          <w:tcPr>
            <w:tcW w:w="1659" w:type="dxa"/>
          </w:tcPr>
          <w:p w14:paraId="103C06FA" w14:textId="77777777" w:rsidR="009069CF" w:rsidRPr="005F62F4" w:rsidRDefault="009069CF" w:rsidP="00D710C0">
            <w:pPr>
              <w:pStyle w:val="TableTextRight"/>
              <w:rPr>
                <w:lang w:val="en-AU"/>
              </w:rPr>
            </w:pPr>
            <w:r w:rsidRPr="005F62F4">
              <w:rPr>
                <w:lang w:val="en-AU"/>
              </w:rPr>
              <w:t>Comparability score (max 2)</w:t>
            </w:r>
          </w:p>
        </w:tc>
        <w:tc>
          <w:tcPr>
            <w:tcW w:w="1659" w:type="dxa"/>
          </w:tcPr>
          <w:p w14:paraId="69E46DE0" w14:textId="77777777" w:rsidR="009069CF" w:rsidRPr="005F62F4" w:rsidRDefault="009069CF" w:rsidP="00D710C0">
            <w:pPr>
              <w:pStyle w:val="TableTextRight"/>
              <w:rPr>
                <w:lang w:val="en-AU"/>
              </w:rPr>
            </w:pPr>
            <w:r w:rsidRPr="005F62F4">
              <w:rPr>
                <w:lang w:val="en-AU"/>
              </w:rPr>
              <w:t>Exposure score (max 3)</w:t>
            </w:r>
          </w:p>
        </w:tc>
        <w:tc>
          <w:tcPr>
            <w:cnfStyle w:val="000100000000" w:firstRow="0" w:lastRow="0" w:firstColumn="0" w:lastColumn="1" w:oddVBand="0" w:evenVBand="0" w:oddHBand="0" w:evenHBand="0" w:firstRowFirstColumn="0" w:firstRowLastColumn="0" w:lastRowFirstColumn="0" w:lastRowLastColumn="0"/>
            <w:tcW w:w="1659" w:type="dxa"/>
          </w:tcPr>
          <w:p w14:paraId="7B580808" w14:textId="77777777" w:rsidR="009069CF" w:rsidRPr="005F62F4" w:rsidRDefault="009069CF" w:rsidP="00D710C0">
            <w:pPr>
              <w:pStyle w:val="TableTextRight"/>
              <w:rPr>
                <w:lang w:val="en-AU"/>
              </w:rPr>
            </w:pPr>
            <w:r w:rsidRPr="005F62F4">
              <w:rPr>
                <w:lang w:val="en-AU"/>
              </w:rPr>
              <w:t>Total score (max 9)</w:t>
            </w:r>
          </w:p>
        </w:tc>
      </w:tr>
      <w:bookmarkEnd w:id="299"/>
      <w:tr w:rsidR="009069CF" w:rsidRPr="005F62F4" w14:paraId="4F1C0C45" w14:textId="77777777" w:rsidTr="00D710C0">
        <w:tc>
          <w:tcPr>
            <w:tcW w:w="2720" w:type="dxa"/>
          </w:tcPr>
          <w:p w14:paraId="591C8F8E" w14:textId="77777777" w:rsidR="009069CF" w:rsidRPr="005F62F4" w:rsidRDefault="009069CF" w:rsidP="00D710C0">
            <w:pPr>
              <w:pStyle w:val="TableText"/>
            </w:pPr>
            <w:r w:rsidRPr="005F62F4">
              <w:t xml:space="preserve">De </w:t>
            </w:r>
            <w:proofErr w:type="spellStart"/>
            <w:r w:rsidRPr="005F62F4">
              <w:t>Maesschalk</w:t>
            </w:r>
            <w:proofErr w:type="spellEnd"/>
            <w:r w:rsidRPr="005F62F4">
              <w:t xml:space="preserve"> et al. (2017)</w:t>
            </w:r>
          </w:p>
        </w:tc>
        <w:tc>
          <w:tcPr>
            <w:tcW w:w="1659" w:type="dxa"/>
          </w:tcPr>
          <w:p w14:paraId="37BC22F6" w14:textId="77777777" w:rsidR="009069CF" w:rsidRPr="005F62F4" w:rsidRDefault="009069CF" w:rsidP="00D710C0">
            <w:pPr>
              <w:pStyle w:val="TableTextRight"/>
              <w:rPr>
                <w:lang w:val="en-AU"/>
              </w:rPr>
            </w:pPr>
            <w:r w:rsidRPr="005F62F4">
              <w:rPr>
                <w:lang w:val="en-AU"/>
              </w:rPr>
              <w:t>3</w:t>
            </w:r>
          </w:p>
        </w:tc>
        <w:tc>
          <w:tcPr>
            <w:tcW w:w="1659" w:type="dxa"/>
          </w:tcPr>
          <w:p w14:paraId="4796122E" w14:textId="77777777" w:rsidR="009069CF" w:rsidRPr="005F62F4" w:rsidRDefault="009069CF" w:rsidP="00D710C0">
            <w:pPr>
              <w:pStyle w:val="TableTextRight"/>
              <w:rPr>
                <w:lang w:val="en-AU"/>
              </w:rPr>
            </w:pPr>
            <w:r w:rsidRPr="005F62F4">
              <w:rPr>
                <w:lang w:val="en-AU"/>
              </w:rPr>
              <w:t>0</w:t>
            </w:r>
          </w:p>
        </w:tc>
        <w:tc>
          <w:tcPr>
            <w:tcW w:w="1659" w:type="dxa"/>
          </w:tcPr>
          <w:p w14:paraId="63444E3E" w14:textId="77777777" w:rsidR="009069CF" w:rsidRPr="005F62F4" w:rsidRDefault="009069CF" w:rsidP="00D710C0">
            <w:pPr>
              <w:pStyle w:val="TableTextRight"/>
              <w:rPr>
                <w:lang w:val="en-AU"/>
              </w:rPr>
            </w:pPr>
            <w:r w:rsidRPr="005F62F4">
              <w:rPr>
                <w:lang w:val="en-AU"/>
              </w:rPr>
              <w:t>3</w:t>
            </w:r>
          </w:p>
        </w:tc>
        <w:tc>
          <w:tcPr>
            <w:cnfStyle w:val="000100000000" w:firstRow="0" w:lastRow="0" w:firstColumn="0" w:lastColumn="1" w:oddVBand="0" w:evenVBand="0" w:oddHBand="0" w:evenHBand="0" w:firstRowFirstColumn="0" w:firstRowLastColumn="0" w:lastRowFirstColumn="0" w:lastRowLastColumn="0"/>
            <w:tcW w:w="1659" w:type="dxa"/>
          </w:tcPr>
          <w:p w14:paraId="4E7A9111" w14:textId="77777777" w:rsidR="009069CF" w:rsidRPr="005F62F4" w:rsidRDefault="009069CF" w:rsidP="00D710C0">
            <w:pPr>
              <w:pStyle w:val="TableTextRight"/>
              <w:rPr>
                <w:lang w:val="en-AU"/>
              </w:rPr>
            </w:pPr>
            <w:r w:rsidRPr="005F62F4">
              <w:rPr>
                <w:lang w:val="en-AU"/>
              </w:rPr>
              <w:t>6</w:t>
            </w:r>
          </w:p>
        </w:tc>
      </w:tr>
      <w:tr w:rsidR="009069CF" w:rsidRPr="005F62F4" w14:paraId="3F3D923E" w14:textId="77777777" w:rsidTr="00D710C0">
        <w:trPr>
          <w:cnfStyle w:val="000000010000" w:firstRow="0" w:lastRow="0" w:firstColumn="0" w:lastColumn="0" w:oddVBand="0" w:evenVBand="0" w:oddHBand="0" w:evenHBand="1" w:firstRowFirstColumn="0" w:firstRowLastColumn="0" w:lastRowFirstColumn="0" w:lastRowLastColumn="0"/>
        </w:trPr>
        <w:tc>
          <w:tcPr>
            <w:tcW w:w="2720" w:type="dxa"/>
          </w:tcPr>
          <w:p w14:paraId="020F9DC5" w14:textId="77777777" w:rsidR="009069CF" w:rsidRPr="005F62F4" w:rsidRDefault="009069CF" w:rsidP="00D710C0">
            <w:pPr>
              <w:pStyle w:val="TableText"/>
            </w:pPr>
            <w:r w:rsidRPr="005F62F4">
              <w:t>Johal et al. (2022)</w:t>
            </w:r>
          </w:p>
        </w:tc>
        <w:tc>
          <w:tcPr>
            <w:tcW w:w="1659" w:type="dxa"/>
          </w:tcPr>
          <w:p w14:paraId="2C2434DB" w14:textId="77777777" w:rsidR="009069CF" w:rsidRPr="005F62F4" w:rsidRDefault="009069CF" w:rsidP="00D710C0">
            <w:pPr>
              <w:pStyle w:val="TableTextRight"/>
              <w:rPr>
                <w:lang w:val="en-AU"/>
              </w:rPr>
            </w:pPr>
            <w:r w:rsidRPr="005F62F4">
              <w:rPr>
                <w:lang w:val="en-AU"/>
              </w:rPr>
              <w:t>2</w:t>
            </w:r>
          </w:p>
        </w:tc>
        <w:tc>
          <w:tcPr>
            <w:tcW w:w="1659" w:type="dxa"/>
          </w:tcPr>
          <w:p w14:paraId="040C8870" w14:textId="77777777" w:rsidR="009069CF" w:rsidRPr="005F62F4" w:rsidRDefault="009069CF" w:rsidP="00D710C0">
            <w:pPr>
              <w:pStyle w:val="TableTextRight"/>
              <w:rPr>
                <w:lang w:val="en-AU"/>
              </w:rPr>
            </w:pPr>
            <w:r w:rsidRPr="005F62F4">
              <w:rPr>
                <w:lang w:val="en-AU"/>
              </w:rPr>
              <w:t>0</w:t>
            </w:r>
          </w:p>
        </w:tc>
        <w:tc>
          <w:tcPr>
            <w:tcW w:w="1659" w:type="dxa"/>
          </w:tcPr>
          <w:p w14:paraId="6FDAD0C1" w14:textId="77777777" w:rsidR="009069CF" w:rsidRPr="005F62F4" w:rsidRDefault="009069CF" w:rsidP="00D710C0">
            <w:pPr>
              <w:pStyle w:val="TableTextRight"/>
              <w:rPr>
                <w:lang w:val="en-AU"/>
              </w:rPr>
            </w:pPr>
            <w:r w:rsidRPr="005F62F4">
              <w:rPr>
                <w:lang w:val="en-AU"/>
              </w:rPr>
              <w:t>3</w:t>
            </w:r>
          </w:p>
        </w:tc>
        <w:tc>
          <w:tcPr>
            <w:cnfStyle w:val="000100000000" w:firstRow="0" w:lastRow="0" w:firstColumn="0" w:lastColumn="1" w:oddVBand="0" w:evenVBand="0" w:oddHBand="0" w:evenHBand="0" w:firstRowFirstColumn="0" w:firstRowLastColumn="0" w:lastRowFirstColumn="0" w:lastRowLastColumn="0"/>
            <w:tcW w:w="1659" w:type="dxa"/>
          </w:tcPr>
          <w:p w14:paraId="3887726D" w14:textId="77777777" w:rsidR="009069CF" w:rsidRPr="005F62F4" w:rsidRDefault="009069CF" w:rsidP="00D710C0">
            <w:pPr>
              <w:pStyle w:val="TableTextRight"/>
              <w:rPr>
                <w:lang w:val="en-AU"/>
              </w:rPr>
            </w:pPr>
            <w:r w:rsidRPr="005F62F4">
              <w:rPr>
                <w:lang w:val="en-AU"/>
              </w:rPr>
              <w:t>5</w:t>
            </w:r>
          </w:p>
        </w:tc>
      </w:tr>
      <w:tr w:rsidR="009069CF" w:rsidRPr="005F62F4" w14:paraId="34E9F582" w14:textId="77777777" w:rsidTr="00D710C0">
        <w:tc>
          <w:tcPr>
            <w:tcW w:w="2720" w:type="dxa"/>
          </w:tcPr>
          <w:p w14:paraId="38203BC7" w14:textId="77777777" w:rsidR="009069CF" w:rsidRPr="005F62F4" w:rsidRDefault="009069CF" w:rsidP="00D710C0">
            <w:pPr>
              <w:pStyle w:val="TableText"/>
            </w:pPr>
            <w:r w:rsidRPr="005F62F4">
              <w:t>Mazzola et al. (2020)</w:t>
            </w:r>
          </w:p>
        </w:tc>
        <w:tc>
          <w:tcPr>
            <w:tcW w:w="1659" w:type="dxa"/>
          </w:tcPr>
          <w:p w14:paraId="47A2004F" w14:textId="77777777" w:rsidR="009069CF" w:rsidRPr="005F62F4" w:rsidRDefault="009069CF" w:rsidP="00D710C0">
            <w:pPr>
              <w:pStyle w:val="TableTextRight"/>
              <w:rPr>
                <w:lang w:val="en-AU"/>
              </w:rPr>
            </w:pPr>
            <w:r w:rsidRPr="005F62F4">
              <w:rPr>
                <w:lang w:val="en-AU"/>
              </w:rPr>
              <w:t>2</w:t>
            </w:r>
          </w:p>
        </w:tc>
        <w:tc>
          <w:tcPr>
            <w:tcW w:w="1659" w:type="dxa"/>
          </w:tcPr>
          <w:p w14:paraId="2CF2A753" w14:textId="77777777" w:rsidR="009069CF" w:rsidRPr="005F62F4" w:rsidRDefault="009069CF" w:rsidP="00D710C0">
            <w:pPr>
              <w:pStyle w:val="TableTextRight"/>
              <w:rPr>
                <w:lang w:val="en-AU"/>
              </w:rPr>
            </w:pPr>
            <w:r w:rsidRPr="005F62F4">
              <w:rPr>
                <w:lang w:val="en-AU"/>
              </w:rPr>
              <w:t>2</w:t>
            </w:r>
          </w:p>
        </w:tc>
        <w:tc>
          <w:tcPr>
            <w:tcW w:w="1659" w:type="dxa"/>
          </w:tcPr>
          <w:p w14:paraId="7409DFB5" w14:textId="77777777" w:rsidR="009069CF" w:rsidRPr="005F62F4" w:rsidRDefault="009069CF" w:rsidP="00D710C0">
            <w:pPr>
              <w:pStyle w:val="TableTextRight"/>
              <w:rPr>
                <w:lang w:val="en-AU"/>
              </w:rPr>
            </w:pPr>
            <w:r w:rsidRPr="005F62F4">
              <w:rPr>
                <w:lang w:val="en-AU"/>
              </w:rPr>
              <w:t>3</w:t>
            </w:r>
          </w:p>
        </w:tc>
        <w:tc>
          <w:tcPr>
            <w:cnfStyle w:val="000100000000" w:firstRow="0" w:lastRow="0" w:firstColumn="0" w:lastColumn="1" w:oddVBand="0" w:evenVBand="0" w:oddHBand="0" w:evenHBand="0" w:firstRowFirstColumn="0" w:firstRowLastColumn="0" w:lastRowFirstColumn="0" w:lastRowLastColumn="0"/>
            <w:tcW w:w="1659" w:type="dxa"/>
          </w:tcPr>
          <w:p w14:paraId="39D82AAD" w14:textId="77777777" w:rsidR="009069CF" w:rsidRPr="005F62F4" w:rsidRDefault="009069CF" w:rsidP="00D710C0">
            <w:pPr>
              <w:pStyle w:val="TableTextRight"/>
              <w:rPr>
                <w:lang w:val="en-AU"/>
              </w:rPr>
            </w:pPr>
            <w:r w:rsidRPr="005F62F4">
              <w:rPr>
                <w:lang w:val="en-AU"/>
              </w:rPr>
              <w:t>7</w:t>
            </w:r>
          </w:p>
        </w:tc>
      </w:tr>
      <w:tr w:rsidR="009069CF" w:rsidRPr="005F62F4" w14:paraId="2C6CB9E5" w14:textId="77777777" w:rsidTr="00D710C0">
        <w:trPr>
          <w:cnfStyle w:val="000000010000" w:firstRow="0" w:lastRow="0" w:firstColumn="0" w:lastColumn="0" w:oddVBand="0" w:evenVBand="0" w:oddHBand="0" w:evenHBand="1" w:firstRowFirstColumn="0" w:firstRowLastColumn="0" w:lastRowFirstColumn="0" w:lastRowLastColumn="0"/>
        </w:trPr>
        <w:tc>
          <w:tcPr>
            <w:tcW w:w="2720" w:type="dxa"/>
          </w:tcPr>
          <w:p w14:paraId="0E7C3AB8" w14:textId="77777777" w:rsidR="009069CF" w:rsidRPr="005F62F4" w:rsidRDefault="009069CF" w:rsidP="00D710C0">
            <w:pPr>
              <w:pStyle w:val="TableText"/>
            </w:pPr>
            <w:r w:rsidRPr="005F62F4">
              <w:t>Resnick et al. (2016)</w:t>
            </w:r>
          </w:p>
        </w:tc>
        <w:tc>
          <w:tcPr>
            <w:tcW w:w="1659" w:type="dxa"/>
          </w:tcPr>
          <w:p w14:paraId="4EE56B0D" w14:textId="77777777" w:rsidR="009069CF" w:rsidRPr="005F62F4" w:rsidRDefault="009069CF" w:rsidP="00D710C0">
            <w:pPr>
              <w:pStyle w:val="TableTextRight"/>
              <w:rPr>
                <w:lang w:val="en-AU"/>
              </w:rPr>
            </w:pPr>
            <w:r w:rsidRPr="005F62F4">
              <w:rPr>
                <w:lang w:val="en-AU"/>
              </w:rPr>
              <w:t>4</w:t>
            </w:r>
          </w:p>
        </w:tc>
        <w:tc>
          <w:tcPr>
            <w:tcW w:w="1659" w:type="dxa"/>
          </w:tcPr>
          <w:p w14:paraId="5248B321" w14:textId="77777777" w:rsidR="009069CF" w:rsidRPr="005F62F4" w:rsidRDefault="009069CF" w:rsidP="00D710C0">
            <w:pPr>
              <w:pStyle w:val="TableTextRight"/>
              <w:rPr>
                <w:lang w:val="en-AU"/>
              </w:rPr>
            </w:pPr>
            <w:r w:rsidRPr="005F62F4">
              <w:rPr>
                <w:lang w:val="en-AU"/>
              </w:rPr>
              <w:t>2</w:t>
            </w:r>
          </w:p>
        </w:tc>
        <w:tc>
          <w:tcPr>
            <w:tcW w:w="1659" w:type="dxa"/>
          </w:tcPr>
          <w:p w14:paraId="4A0CD7EC" w14:textId="77777777" w:rsidR="009069CF" w:rsidRPr="005F62F4" w:rsidRDefault="009069CF" w:rsidP="00D710C0">
            <w:pPr>
              <w:pStyle w:val="TableTextRight"/>
              <w:rPr>
                <w:lang w:val="en-AU"/>
              </w:rPr>
            </w:pPr>
            <w:r w:rsidRPr="005F62F4">
              <w:rPr>
                <w:lang w:val="en-AU"/>
              </w:rPr>
              <w:t>3</w:t>
            </w:r>
          </w:p>
        </w:tc>
        <w:tc>
          <w:tcPr>
            <w:cnfStyle w:val="000100000000" w:firstRow="0" w:lastRow="0" w:firstColumn="0" w:lastColumn="1" w:oddVBand="0" w:evenVBand="0" w:oddHBand="0" w:evenHBand="0" w:firstRowFirstColumn="0" w:firstRowLastColumn="0" w:lastRowFirstColumn="0" w:lastRowLastColumn="0"/>
            <w:tcW w:w="1659" w:type="dxa"/>
          </w:tcPr>
          <w:p w14:paraId="69C457E4" w14:textId="77777777" w:rsidR="009069CF" w:rsidRPr="005F62F4" w:rsidRDefault="009069CF" w:rsidP="00D710C0">
            <w:pPr>
              <w:pStyle w:val="TableTextRight"/>
              <w:rPr>
                <w:lang w:val="en-AU"/>
              </w:rPr>
            </w:pPr>
            <w:r w:rsidRPr="005F62F4">
              <w:rPr>
                <w:lang w:val="en-AU"/>
              </w:rPr>
              <w:t>9</w:t>
            </w:r>
          </w:p>
        </w:tc>
      </w:tr>
      <w:tr w:rsidR="009069CF" w:rsidRPr="005F62F4" w14:paraId="425F4601" w14:textId="77777777" w:rsidTr="00D710C0">
        <w:tc>
          <w:tcPr>
            <w:tcW w:w="2720" w:type="dxa"/>
          </w:tcPr>
          <w:p w14:paraId="62244787" w14:textId="77777777" w:rsidR="009069CF" w:rsidRPr="005F62F4" w:rsidRDefault="009069CF" w:rsidP="00D710C0">
            <w:pPr>
              <w:pStyle w:val="TableText"/>
            </w:pPr>
            <w:r w:rsidRPr="005F62F4">
              <w:t>Rommel et al. (2017)</w:t>
            </w:r>
          </w:p>
        </w:tc>
        <w:tc>
          <w:tcPr>
            <w:tcW w:w="1659" w:type="dxa"/>
          </w:tcPr>
          <w:p w14:paraId="24D8EEDF" w14:textId="77777777" w:rsidR="009069CF" w:rsidRPr="005F62F4" w:rsidRDefault="009069CF" w:rsidP="00D710C0">
            <w:pPr>
              <w:pStyle w:val="TableTextRight"/>
              <w:rPr>
                <w:lang w:val="en-AU"/>
              </w:rPr>
            </w:pPr>
            <w:r w:rsidRPr="005F62F4">
              <w:rPr>
                <w:lang w:val="en-AU"/>
              </w:rPr>
              <w:t>2</w:t>
            </w:r>
          </w:p>
        </w:tc>
        <w:tc>
          <w:tcPr>
            <w:tcW w:w="1659" w:type="dxa"/>
          </w:tcPr>
          <w:p w14:paraId="315098E9" w14:textId="77777777" w:rsidR="009069CF" w:rsidRPr="005F62F4" w:rsidRDefault="009069CF" w:rsidP="00D710C0">
            <w:pPr>
              <w:pStyle w:val="TableTextRight"/>
              <w:rPr>
                <w:lang w:val="en-AU"/>
              </w:rPr>
            </w:pPr>
            <w:r w:rsidRPr="005F62F4">
              <w:rPr>
                <w:lang w:val="en-AU"/>
              </w:rPr>
              <w:t>2</w:t>
            </w:r>
          </w:p>
        </w:tc>
        <w:tc>
          <w:tcPr>
            <w:tcW w:w="1659" w:type="dxa"/>
          </w:tcPr>
          <w:p w14:paraId="7C06E973" w14:textId="77777777" w:rsidR="009069CF" w:rsidRPr="005F62F4" w:rsidRDefault="009069CF" w:rsidP="00D710C0">
            <w:pPr>
              <w:pStyle w:val="TableTextRight"/>
              <w:rPr>
                <w:lang w:val="en-AU"/>
              </w:rPr>
            </w:pPr>
            <w:r w:rsidRPr="005F62F4">
              <w:rPr>
                <w:lang w:val="en-AU"/>
              </w:rPr>
              <w:t>3</w:t>
            </w:r>
          </w:p>
        </w:tc>
        <w:tc>
          <w:tcPr>
            <w:cnfStyle w:val="000100000000" w:firstRow="0" w:lastRow="0" w:firstColumn="0" w:lastColumn="1" w:oddVBand="0" w:evenVBand="0" w:oddHBand="0" w:evenHBand="0" w:firstRowFirstColumn="0" w:firstRowLastColumn="0" w:lastRowFirstColumn="0" w:lastRowLastColumn="0"/>
            <w:tcW w:w="1659" w:type="dxa"/>
          </w:tcPr>
          <w:p w14:paraId="3036D392" w14:textId="77777777" w:rsidR="009069CF" w:rsidRPr="005F62F4" w:rsidRDefault="009069CF" w:rsidP="00D710C0">
            <w:pPr>
              <w:pStyle w:val="TableTextRight"/>
              <w:rPr>
                <w:lang w:val="en-AU"/>
              </w:rPr>
            </w:pPr>
            <w:r w:rsidRPr="005F62F4">
              <w:rPr>
                <w:lang w:val="en-AU"/>
              </w:rPr>
              <w:t>7</w:t>
            </w:r>
          </w:p>
        </w:tc>
      </w:tr>
      <w:tr w:rsidR="009069CF" w:rsidRPr="005F62F4" w14:paraId="72682DC2" w14:textId="77777777" w:rsidTr="00D710C0">
        <w:trPr>
          <w:cnfStyle w:val="000000010000" w:firstRow="0" w:lastRow="0" w:firstColumn="0" w:lastColumn="0" w:oddVBand="0" w:evenVBand="0" w:oddHBand="0" w:evenHBand="1" w:firstRowFirstColumn="0" w:firstRowLastColumn="0" w:lastRowFirstColumn="0" w:lastRowLastColumn="0"/>
        </w:trPr>
        <w:tc>
          <w:tcPr>
            <w:tcW w:w="2720" w:type="dxa"/>
          </w:tcPr>
          <w:p w14:paraId="5C0D7685" w14:textId="77777777" w:rsidR="009069CF" w:rsidRPr="005F62F4" w:rsidRDefault="009069CF" w:rsidP="00D710C0">
            <w:pPr>
              <w:pStyle w:val="TableText"/>
            </w:pPr>
            <w:proofErr w:type="spellStart"/>
            <w:r w:rsidRPr="005F62F4">
              <w:t>Seruya</w:t>
            </w:r>
            <w:proofErr w:type="spellEnd"/>
            <w:r w:rsidRPr="005F62F4">
              <w:t xml:space="preserve"> et al. (2013)</w:t>
            </w:r>
          </w:p>
        </w:tc>
        <w:tc>
          <w:tcPr>
            <w:tcW w:w="1659" w:type="dxa"/>
          </w:tcPr>
          <w:p w14:paraId="0B88A436" w14:textId="77777777" w:rsidR="009069CF" w:rsidRPr="005F62F4" w:rsidRDefault="009069CF" w:rsidP="00D710C0">
            <w:pPr>
              <w:pStyle w:val="TableTextRight"/>
              <w:rPr>
                <w:lang w:val="en-AU"/>
              </w:rPr>
            </w:pPr>
            <w:r w:rsidRPr="005F62F4">
              <w:rPr>
                <w:lang w:val="en-AU"/>
              </w:rPr>
              <w:t>3</w:t>
            </w:r>
          </w:p>
        </w:tc>
        <w:tc>
          <w:tcPr>
            <w:tcW w:w="1659" w:type="dxa"/>
          </w:tcPr>
          <w:p w14:paraId="14106192" w14:textId="77777777" w:rsidR="009069CF" w:rsidRPr="005F62F4" w:rsidRDefault="009069CF" w:rsidP="00D710C0">
            <w:pPr>
              <w:pStyle w:val="TableTextRight"/>
              <w:rPr>
                <w:lang w:val="en-AU"/>
              </w:rPr>
            </w:pPr>
            <w:r w:rsidRPr="005F62F4">
              <w:rPr>
                <w:lang w:val="en-AU"/>
              </w:rPr>
              <w:t>1</w:t>
            </w:r>
          </w:p>
        </w:tc>
        <w:tc>
          <w:tcPr>
            <w:tcW w:w="1659" w:type="dxa"/>
          </w:tcPr>
          <w:p w14:paraId="537BC91F" w14:textId="77777777" w:rsidR="009069CF" w:rsidRPr="005F62F4" w:rsidRDefault="009069CF" w:rsidP="00D710C0">
            <w:pPr>
              <w:pStyle w:val="TableTextRight"/>
              <w:rPr>
                <w:lang w:val="en-AU"/>
              </w:rPr>
            </w:pPr>
            <w:r w:rsidRPr="005F62F4">
              <w:rPr>
                <w:lang w:val="en-AU"/>
              </w:rPr>
              <w:t>3</w:t>
            </w:r>
          </w:p>
        </w:tc>
        <w:tc>
          <w:tcPr>
            <w:cnfStyle w:val="000100000000" w:firstRow="0" w:lastRow="0" w:firstColumn="0" w:lastColumn="1" w:oddVBand="0" w:evenVBand="0" w:oddHBand="0" w:evenHBand="0" w:firstRowFirstColumn="0" w:firstRowLastColumn="0" w:lastRowFirstColumn="0" w:lastRowLastColumn="0"/>
            <w:tcW w:w="1659" w:type="dxa"/>
          </w:tcPr>
          <w:p w14:paraId="4EDF951C" w14:textId="77777777" w:rsidR="009069CF" w:rsidRPr="005F62F4" w:rsidRDefault="009069CF" w:rsidP="00D710C0">
            <w:pPr>
              <w:pStyle w:val="TableTextRight"/>
              <w:rPr>
                <w:lang w:val="en-AU"/>
              </w:rPr>
            </w:pPr>
            <w:r w:rsidRPr="005F62F4">
              <w:rPr>
                <w:lang w:val="en-AU"/>
              </w:rPr>
              <w:t>7</w:t>
            </w:r>
          </w:p>
        </w:tc>
      </w:tr>
      <w:tr w:rsidR="009069CF" w:rsidRPr="005F62F4" w14:paraId="11F05F16" w14:textId="77777777" w:rsidTr="00D710C0">
        <w:tc>
          <w:tcPr>
            <w:tcW w:w="2720" w:type="dxa"/>
          </w:tcPr>
          <w:p w14:paraId="21B05C78" w14:textId="77777777" w:rsidR="009069CF" w:rsidRPr="005F62F4" w:rsidRDefault="009069CF" w:rsidP="00D710C0">
            <w:pPr>
              <w:pStyle w:val="TableText"/>
            </w:pPr>
            <w:r w:rsidRPr="005F62F4">
              <w:t>Silva et al. (2020)</w:t>
            </w:r>
          </w:p>
        </w:tc>
        <w:tc>
          <w:tcPr>
            <w:tcW w:w="1659" w:type="dxa"/>
          </w:tcPr>
          <w:p w14:paraId="05D83E24" w14:textId="77777777" w:rsidR="009069CF" w:rsidRPr="005F62F4" w:rsidRDefault="009069CF" w:rsidP="00D710C0">
            <w:pPr>
              <w:pStyle w:val="TableTextRight"/>
              <w:rPr>
                <w:lang w:val="en-AU"/>
              </w:rPr>
            </w:pPr>
            <w:r w:rsidRPr="005F62F4">
              <w:rPr>
                <w:lang w:val="en-AU"/>
              </w:rPr>
              <w:t>3</w:t>
            </w:r>
          </w:p>
        </w:tc>
        <w:tc>
          <w:tcPr>
            <w:tcW w:w="1659" w:type="dxa"/>
          </w:tcPr>
          <w:p w14:paraId="53D496AF" w14:textId="77777777" w:rsidR="009069CF" w:rsidRPr="005F62F4" w:rsidRDefault="009069CF" w:rsidP="00D710C0">
            <w:pPr>
              <w:pStyle w:val="TableTextRight"/>
              <w:rPr>
                <w:lang w:val="en-AU"/>
              </w:rPr>
            </w:pPr>
            <w:r w:rsidRPr="005F62F4">
              <w:rPr>
                <w:lang w:val="en-AU"/>
              </w:rPr>
              <w:t>2</w:t>
            </w:r>
          </w:p>
        </w:tc>
        <w:tc>
          <w:tcPr>
            <w:tcW w:w="1659" w:type="dxa"/>
          </w:tcPr>
          <w:p w14:paraId="1DA5ACD7" w14:textId="77777777" w:rsidR="009069CF" w:rsidRPr="005F62F4" w:rsidRDefault="009069CF" w:rsidP="00D710C0">
            <w:pPr>
              <w:pStyle w:val="TableTextRight"/>
              <w:rPr>
                <w:lang w:val="en-AU"/>
              </w:rPr>
            </w:pPr>
            <w:r w:rsidRPr="005F62F4">
              <w:rPr>
                <w:lang w:val="en-AU"/>
              </w:rPr>
              <w:t>3</w:t>
            </w:r>
          </w:p>
        </w:tc>
        <w:tc>
          <w:tcPr>
            <w:cnfStyle w:val="000100000000" w:firstRow="0" w:lastRow="0" w:firstColumn="0" w:lastColumn="1" w:oddVBand="0" w:evenVBand="0" w:oddHBand="0" w:evenHBand="0" w:firstRowFirstColumn="0" w:firstRowLastColumn="0" w:lastRowFirstColumn="0" w:lastRowLastColumn="0"/>
            <w:tcW w:w="1659" w:type="dxa"/>
          </w:tcPr>
          <w:p w14:paraId="77E471D8" w14:textId="77777777" w:rsidR="009069CF" w:rsidRPr="005F62F4" w:rsidRDefault="009069CF" w:rsidP="00D710C0">
            <w:pPr>
              <w:pStyle w:val="TableTextRight"/>
              <w:rPr>
                <w:lang w:val="en-AU"/>
              </w:rPr>
            </w:pPr>
            <w:r w:rsidRPr="005F62F4">
              <w:rPr>
                <w:lang w:val="en-AU"/>
              </w:rPr>
              <w:t>8</w:t>
            </w:r>
          </w:p>
        </w:tc>
      </w:tr>
      <w:tr w:rsidR="009069CF" w:rsidRPr="005F62F4" w14:paraId="46ED7500" w14:textId="77777777" w:rsidTr="00D710C0">
        <w:trPr>
          <w:cnfStyle w:val="000000010000" w:firstRow="0" w:lastRow="0" w:firstColumn="0" w:lastColumn="0" w:oddVBand="0" w:evenVBand="0" w:oddHBand="0" w:evenHBand="1" w:firstRowFirstColumn="0" w:firstRowLastColumn="0" w:lastRowFirstColumn="0" w:lastRowLastColumn="0"/>
        </w:trPr>
        <w:tc>
          <w:tcPr>
            <w:tcW w:w="2720" w:type="dxa"/>
          </w:tcPr>
          <w:p w14:paraId="4D7C8CF5" w14:textId="77777777" w:rsidR="009069CF" w:rsidRPr="005F62F4" w:rsidRDefault="009069CF" w:rsidP="00D710C0">
            <w:pPr>
              <w:pStyle w:val="TableText"/>
            </w:pPr>
            <w:r w:rsidRPr="005F62F4">
              <w:t>Wang, Fan, et al. (2016)</w:t>
            </w:r>
          </w:p>
        </w:tc>
        <w:tc>
          <w:tcPr>
            <w:tcW w:w="1659" w:type="dxa"/>
          </w:tcPr>
          <w:p w14:paraId="3E387529" w14:textId="77777777" w:rsidR="009069CF" w:rsidRPr="005F62F4" w:rsidRDefault="009069CF" w:rsidP="00D710C0">
            <w:pPr>
              <w:pStyle w:val="TableTextRight"/>
              <w:rPr>
                <w:lang w:val="en-AU"/>
              </w:rPr>
            </w:pPr>
            <w:r w:rsidRPr="005F62F4">
              <w:rPr>
                <w:lang w:val="en-AU"/>
              </w:rPr>
              <w:t>3</w:t>
            </w:r>
          </w:p>
        </w:tc>
        <w:tc>
          <w:tcPr>
            <w:tcW w:w="1659" w:type="dxa"/>
          </w:tcPr>
          <w:p w14:paraId="16F37DCA" w14:textId="77777777" w:rsidR="009069CF" w:rsidRPr="005F62F4" w:rsidRDefault="009069CF" w:rsidP="00D710C0">
            <w:pPr>
              <w:pStyle w:val="TableTextRight"/>
              <w:rPr>
                <w:lang w:val="en-AU"/>
              </w:rPr>
            </w:pPr>
            <w:r w:rsidRPr="005F62F4">
              <w:rPr>
                <w:lang w:val="en-AU"/>
              </w:rPr>
              <w:t>1</w:t>
            </w:r>
          </w:p>
        </w:tc>
        <w:tc>
          <w:tcPr>
            <w:tcW w:w="1659" w:type="dxa"/>
          </w:tcPr>
          <w:p w14:paraId="162D6456" w14:textId="77777777" w:rsidR="009069CF" w:rsidRPr="005F62F4" w:rsidRDefault="009069CF" w:rsidP="00D710C0">
            <w:pPr>
              <w:pStyle w:val="TableTextRight"/>
              <w:rPr>
                <w:lang w:val="en-AU"/>
              </w:rPr>
            </w:pPr>
            <w:r w:rsidRPr="005F62F4">
              <w:rPr>
                <w:lang w:val="en-AU"/>
              </w:rPr>
              <w:t>3</w:t>
            </w:r>
          </w:p>
        </w:tc>
        <w:tc>
          <w:tcPr>
            <w:cnfStyle w:val="000100000000" w:firstRow="0" w:lastRow="0" w:firstColumn="0" w:lastColumn="1" w:oddVBand="0" w:evenVBand="0" w:oddHBand="0" w:evenHBand="0" w:firstRowFirstColumn="0" w:firstRowLastColumn="0" w:lastRowFirstColumn="0" w:lastRowLastColumn="0"/>
            <w:tcW w:w="1659" w:type="dxa"/>
          </w:tcPr>
          <w:p w14:paraId="666EE253" w14:textId="77777777" w:rsidR="009069CF" w:rsidRPr="005F62F4" w:rsidRDefault="009069CF" w:rsidP="00D710C0">
            <w:pPr>
              <w:pStyle w:val="TableTextRight"/>
              <w:rPr>
                <w:lang w:val="en-AU"/>
              </w:rPr>
            </w:pPr>
            <w:r w:rsidRPr="005F62F4">
              <w:rPr>
                <w:lang w:val="en-AU"/>
              </w:rPr>
              <w:t>7</w:t>
            </w:r>
          </w:p>
        </w:tc>
      </w:tr>
      <w:tr w:rsidR="009069CF" w:rsidRPr="005F62F4" w14:paraId="78A24EDA" w14:textId="77777777" w:rsidTr="00D710C0">
        <w:tc>
          <w:tcPr>
            <w:tcW w:w="2720" w:type="dxa"/>
          </w:tcPr>
          <w:p w14:paraId="1EAE5B97" w14:textId="337918BE" w:rsidR="009069CF" w:rsidRPr="005F62F4" w:rsidRDefault="00DB7DB4" w:rsidP="00D710C0">
            <w:pPr>
              <w:pStyle w:val="TableText"/>
            </w:pPr>
            <w:r w:rsidRPr="005F62F4">
              <w:t>Wang</w:t>
            </w:r>
            <w:r w:rsidR="00B062E1" w:rsidRPr="005F62F4">
              <w:t>, Zhang</w:t>
            </w:r>
            <w:r w:rsidR="003D440C" w:rsidRPr="005F62F4">
              <w:t>, et al. (2016)</w:t>
            </w:r>
          </w:p>
        </w:tc>
        <w:tc>
          <w:tcPr>
            <w:tcW w:w="1659" w:type="dxa"/>
          </w:tcPr>
          <w:p w14:paraId="21FC7A7C" w14:textId="77777777" w:rsidR="009069CF" w:rsidRPr="005F62F4" w:rsidRDefault="009069CF" w:rsidP="00D710C0">
            <w:pPr>
              <w:pStyle w:val="TableTextRight"/>
              <w:rPr>
                <w:lang w:val="en-AU"/>
              </w:rPr>
            </w:pPr>
            <w:r w:rsidRPr="005F62F4">
              <w:rPr>
                <w:lang w:val="en-AU"/>
              </w:rPr>
              <w:t>2</w:t>
            </w:r>
          </w:p>
        </w:tc>
        <w:tc>
          <w:tcPr>
            <w:tcW w:w="1659" w:type="dxa"/>
          </w:tcPr>
          <w:p w14:paraId="6DF3BD96" w14:textId="77777777" w:rsidR="009069CF" w:rsidRPr="005F62F4" w:rsidRDefault="009069CF" w:rsidP="00D710C0">
            <w:pPr>
              <w:pStyle w:val="TableTextRight"/>
              <w:rPr>
                <w:lang w:val="en-AU"/>
              </w:rPr>
            </w:pPr>
            <w:r w:rsidRPr="005F62F4">
              <w:rPr>
                <w:lang w:val="en-AU"/>
              </w:rPr>
              <w:t>1</w:t>
            </w:r>
          </w:p>
        </w:tc>
        <w:tc>
          <w:tcPr>
            <w:tcW w:w="1659" w:type="dxa"/>
          </w:tcPr>
          <w:p w14:paraId="3ABD1BD4" w14:textId="77777777" w:rsidR="009069CF" w:rsidRPr="005F62F4" w:rsidRDefault="009069CF" w:rsidP="00D710C0">
            <w:pPr>
              <w:pStyle w:val="TableTextRight"/>
              <w:rPr>
                <w:lang w:val="en-AU"/>
              </w:rPr>
            </w:pPr>
            <w:r w:rsidRPr="005F62F4">
              <w:rPr>
                <w:lang w:val="en-AU"/>
              </w:rPr>
              <w:t>3</w:t>
            </w:r>
          </w:p>
        </w:tc>
        <w:tc>
          <w:tcPr>
            <w:cnfStyle w:val="000100000000" w:firstRow="0" w:lastRow="0" w:firstColumn="0" w:lastColumn="1" w:oddVBand="0" w:evenVBand="0" w:oddHBand="0" w:evenHBand="0" w:firstRowFirstColumn="0" w:firstRowLastColumn="0" w:lastRowFirstColumn="0" w:lastRowLastColumn="0"/>
            <w:tcW w:w="1659" w:type="dxa"/>
          </w:tcPr>
          <w:p w14:paraId="03E16312" w14:textId="77777777" w:rsidR="009069CF" w:rsidRPr="005F62F4" w:rsidRDefault="009069CF" w:rsidP="00D710C0">
            <w:pPr>
              <w:pStyle w:val="TableTextRight"/>
              <w:rPr>
                <w:lang w:val="en-AU"/>
              </w:rPr>
            </w:pPr>
            <w:r w:rsidRPr="005F62F4">
              <w:rPr>
                <w:lang w:val="en-AU"/>
              </w:rPr>
              <w:t>6</w:t>
            </w:r>
          </w:p>
        </w:tc>
      </w:tr>
      <w:tr w:rsidR="009069CF" w:rsidRPr="005F62F4" w14:paraId="0AA737C3" w14:textId="77777777" w:rsidTr="00D710C0">
        <w:trPr>
          <w:cnfStyle w:val="000000010000" w:firstRow="0" w:lastRow="0" w:firstColumn="0" w:lastColumn="0" w:oddVBand="0" w:evenVBand="0" w:oddHBand="0" w:evenHBand="1" w:firstRowFirstColumn="0" w:firstRowLastColumn="0" w:lastRowFirstColumn="0" w:lastRowLastColumn="0"/>
        </w:trPr>
        <w:tc>
          <w:tcPr>
            <w:tcW w:w="2720" w:type="dxa"/>
          </w:tcPr>
          <w:p w14:paraId="05B7EC92" w14:textId="77777777" w:rsidR="009069CF" w:rsidRPr="005F62F4" w:rsidRDefault="009069CF" w:rsidP="00D710C0">
            <w:pPr>
              <w:pStyle w:val="TableText"/>
            </w:pPr>
            <w:r w:rsidRPr="005F62F4">
              <w:t>Weitz et al. (2016)</w:t>
            </w:r>
          </w:p>
        </w:tc>
        <w:tc>
          <w:tcPr>
            <w:tcW w:w="1659" w:type="dxa"/>
          </w:tcPr>
          <w:p w14:paraId="7BFB5BC0" w14:textId="77777777" w:rsidR="009069CF" w:rsidRPr="005F62F4" w:rsidRDefault="009069CF" w:rsidP="00D710C0">
            <w:pPr>
              <w:pStyle w:val="TableTextRight"/>
              <w:rPr>
                <w:lang w:val="en-AU"/>
              </w:rPr>
            </w:pPr>
            <w:r w:rsidRPr="005F62F4">
              <w:rPr>
                <w:lang w:val="en-AU"/>
              </w:rPr>
              <w:t>3</w:t>
            </w:r>
          </w:p>
        </w:tc>
        <w:tc>
          <w:tcPr>
            <w:tcW w:w="1659" w:type="dxa"/>
          </w:tcPr>
          <w:p w14:paraId="74FBD639" w14:textId="77777777" w:rsidR="009069CF" w:rsidRPr="005F62F4" w:rsidRDefault="009069CF" w:rsidP="00D710C0">
            <w:pPr>
              <w:pStyle w:val="TableTextRight"/>
              <w:rPr>
                <w:lang w:val="en-AU"/>
              </w:rPr>
            </w:pPr>
            <w:r w:rsidRPr="005F62F4">
              <w:rPr>
                <w:lang w:val="en-AU"/>
              </w:rPr>
              <w:t>1</w:t>
            </w:r>
          </w:p>
        </w:tc>
        <w:tc>
          <w:tcPr>
            <w:tcW w:w="1659" w:type="dxa"/>
          </w:tcPr>
          <w:p w14:paraId="7C56441C" w14:textId="77777777" w:rsidR="009069CF" w:rsidRPr="005F62F4" w:rsidRDefault="009069CF" w:rsidP="00D710C0">
            <w:pPr>
              <w:pStyle w:val="TableTextRight"/>
              <w:rPr>
                <w:lang w:val="en-AU"/>
              </w:rPr>
            </w:pPr>
            <w:r w:rsidRPr="005F62F4">
              <w:rPr>
                <w:lang w:val="en-AU"/>
              </w:rPr>
              <w:t>3</w:t>
            </w:r>
          </w:p>
        </w:tc>
        <w:tc>
          <w:tcPr>
            <w:cnfStyle w:val="000100000000" w:firstRow="0" w:lastRow="0" w:firstColumn="0" w:lastColumn="1" w:oddVBand="0" w:evenVBand="0" w:oddHBand="0" w:evenHBand="0" w:firstRowFirstColumn="0" w:firstRowLastColumn="0" w:lastRowFirstColumn="0" w:lastRowLastColumn="0"/>
            <w:tcW w:w="1659" w:type="dxa"/>
          </w:tcPr>
          <w:p w14:paraId="147FECAC" w14:textId="77777777" w:rsidR="009069CF" w:rsidRPr="005F62F4" w:rsidRDefault="009069CF" w:rsidP="00D710C0">
            <w:pPr>
              <w:pStyle w:val="TableTextRight"/>
              <w:rPr>
                <w:lang w:val="en-AU"/>
              </w:rPr>
            </w:pPr>
            <w:r w:rsidRPr="005F62F4">
              <w:rPr>
                <w:lang w:val="en-AU"/>
              </w:rPr>
              <w:t>7</w:t>
            </w:r>
          </w:p>
        </w:tc>
      </w:tr>
      <w:tr w:rsidR="009069CF" w:rsidRPr="005F62F4" w14:paraId="2CC210DA" w14:textId="77777777" w:rsidTr="00D710C0">
        <w:tc>
          <w:tcPr>
            <w:tcW w:w="2720" w:type="dxa"/>
          </w:tcPr>
          <w:p w14:paraId="4C12ECEF" w14:textId="77777777" w:rsidR="009069CF" w:rsidRPr="005F62F4" w:rsidRDefault="009069CF" w:rsidP="00D710C0">
            <w:pPr>
              <w:pStyle w:val="TableText"/>
            </w:pPr>
            <w:r w:rsidRPr="005F62F4">
              <w:t>Zhang et al. (2015)</w:t>
            </w:r>
          </w:p>
        </w:tc>
        <w:tc>
          <w:tcPr>
            <w:tcW w:w="1659" w:type="dxa"/>
          </w:tcPr>
          <w:p w14:paraId="0D187667" w14:textId="77777777" w:rsidR="009069CF" w:rsidRPr="005F62F4" w:rsidRDefault="009069CF" w:rsidP="00D710C0">
            <w:pPr>
              <w:pStyle w:val="TableTextRight"/>
              <w:rPr>
                <w:lang w:val="en-AU"/>
              </w:rPr>
            </w:pPr>
            <w:r w:rsidRPr="005F62F4">
              <w:rPr>
                <w:lang w:val="en-AU"/>
              </w:rPr>
              <w:t>3</w:t>
            </w:r>
          </w:p>
        </w:tc>
        <w:tc>
          <w:tcPr>
            <w:tcW w:w="1659" w:type="dxa"/>
          </w:tcPr>
          <w:p w14:paraId="7E82FE45" w14:textId="77777777" w:rsidR="009069CF" w:rsidRPr="005F62F4" w:rsidRDefault="009069CF" w:rsidP="00D710C0">
            <w:pPr>
              <w:pStyle w:val="TableTextRight"/>
              <w:rPr>
                <w:lang w:val="en-AU"/>
              </w:rPr>
            </w:pPr>
            <w:r w:rsidRPr="005F62F4">
              <w:rPr>
                <w:lang w:val="en-AU"/>
              </w:rPr>
              <w:t>0</w:t>
            </w:r>
          </w:p>
        </w:tc>
        <w:tc>
          <w:tcPr>
            <w:tcW w:w="1659" w:type="dxa"/>
          </w:tcPr>
          <w:p w14:paraId="02618765" w14:textId="77777777" w:rsidR="009069CF" w:rsidRPr="005F62F4" w:rsidRDefault="009069CF" w:rsidP="00D710C0">
            <w:pPr>
              <w:pStyle w:val="TableTextRight"/>
              <w:rPr>
                <w:lang w:val="en-AU"/>
              </w:rPr>
            </w:pPr>
            <w:r w:rsidRPr="005F62F4">
              <w:rPr>
                <w:lang w:val="en-AU"/>
              </w:rPr>
              <w:t>3</w:t>
            </w:r>
          </w:p>
        </w:tc>
        <w:tc>
          <w:tcPr>
            <w:cnfStyle w:val="000100000000" w:firstRow="0" w:lastRow="0" w:firstColumn="0" w:lastColumn="1" w:oddVBand="0" w:evenVBand="0" w:oddHBand="0" w:evenHBand="0" w:firstRowFirstColumn="0" w:firstRowLastColumn="0" w:lastRowFirstColumn="0" w:lastRowLastColumn="0"/>
            <w:tcW w:w="1659" w:type="dxa"/>
          </w:tcPr>
          <w:p w14:paraId="7293D793" w14:textId="77777777" w:rsidR="009069CF" w:rsidRPr="005F62F4" w:rsidRDefault="009069CF" w:rsidP="00D710C0">
            <w:pPr>
              <w:pStyle w:val="TableTextRight"/>
              <w:rPr>
                <w:lang w:val="en-AU"/>
              </w:rPr>
            </w:pPr>
            <w:r w:rsidRPr="005F62F4">
              <w:rPr>
                <w:lang w:val="en-AU"/>
              </w:rPr>
              <w:t>6</w:t>
            </w:r>
          </w:p>
        </w:tc>
      </w:tr>
      <w:tr w:rsidR="009069CF" w:rsidRPr="005F62F4" w14:paraId="6E3FF3F5" w14:textId="77777777" w:rsidTr="00D710C0">
        <w:trPr>
          <w:cnfStyle w:val="000000010000" w:firstRow="0" w:lastRow="0" w:firstColumn="0" w:lastColumn="0" w:oddVBand="0" w:evenVBand="0" w:oddHBand="0" w:evenHBand="1" w:firstRowFirstColumn="0" w:firstRowLastColumn="0" w:lastRowFirstColumn="0" w:lastRowLastColumn="0"/>
        </w:trPr>
        <w:tc>
          <w:tcPr>
            <w:tcW w:w="2720" w:type="dxa"/>
          </w:tcPr>
          <w:p w14:paraId="2C0D3BB6" w14:textId="77777777" w:rsidR="009069CF" w:rsidRPr="005F62F4" w:rsidRDefault="009069CF" w:rsidP="00D710C0">
            <w:pPr>
              <w:pStyle w:val="TableText"/>
            </w:pPr>
            <w:r w:rsidRPr="005F62F4">
              <w:t>Zhang et al. (2016)</w:t>
            </w:r>
          </w:p>
        </w:tc>
        <w:tc>
          <w:tcPr>
            <w:tcW w:w="1659" w:type="dxa"/>
          </w:tcPr>
          <w:p w14:paraId="12B877A8" w14:textId="77777777" w:rsidR="009069CF" w:rsidRPr="005F62F4" w:rsidRDefault="009069CF" w:rsidP="00D710C0">
            <w:pPr>
              <w:pStyle w:val="TableTextRight"/>
              <w:rPr>
                <w:lang w:val="en-AU"/>
              </w:rPr>
            </w:pPr>
            <w:r w:rsidRPr="005F62F4">
              <w:rPr>
                <w:lang w:val="en-AU"/>
              </w:rPr>
              <w:t>3</w:t>
            </w:r>
          </w:p>
        </w:tc>
        <w:tc>
          <w:tcPr>
            <w:tcW w:w="1659" w:type="dxa"/>
          </w:tcPr>
          <w:p w14:paraId="49D326E5" w14:textId="77777777" w:rsidR="009069CF" w:rsidRPr="005F62F4" w:rsidRDefault="009069CF" w:rsidP="00D710C0">
            <w:pPr>
              <w:pStyle w:val="TableTextRight"/>
              <w:rPr>
                <w:lang w:val="en-AU"/>
              </w:rPr>
            </w:pPr>
            <w:r w:rsidRPr="005F62F4">
              <w:rPr>
                <w:lang w:val="en-AU"/>
              </w:rPr>
              <w:t>0</w:t>
            </w:r>
          </w:p>
        </w:tc>
        <w:tc>
          <w:tcPr>
            <w:tcW w:w="1659" w:type="dxa"/>
          </w:tcPr>
          <w:p w14:paraId="4488083E" w14:textId="77777777" w:rsidR="009069CF" w:rsidRPr="005F62F4" w:rsidRDefault="009069CF" w:rsidP="00D710C0">
            <w:pPr>
              <w:pStyle w:val="TableTextRight"/>
              <w:rPr>
                <w:lang w:val="en-AU"/>
              </w:rPr>
            </w:pPr>
            <w:r w:rsidRPr="005F62F4">
              <w:rPr>
                <w:lang w:val="en-AU"/>
              </w:rPr>
              <w:t>3</w:t>
            </w:r>
          </w:p>
        </w:tc>
        <w:tc>
          <w:tcPr>
            <w:cnfStyle w:val="000100000000" w:firstRow="0" w:lastRow="0" w:firstColumn="0" w:lastColumn="1" w:oddVBand="0" w:evenVBand="0" w:oddHBand="0" w:evenHBand="0" w:firstRowFirstColumn="0" w:firstRowLastColumn="0" w:lastRowFirstColumn="0" w:lastRowLastColumn="0"/>
            <w:tcW w:w="1659" w:type="dxa"/>
          </w:tcPr>
          <w:p w14:paraId="31B0FF53" w14:textId="77777777" w:rsidR="009069CF" w:rsidRPr="005F62F4" w:rsidRDefault="009069CF" w:rsidP="00D710C0">
            <w:pPr>
              <w:pStyle w:val="TableTextRight"/>
              <w:rPr>
                <w:lang w:val="en-AU"/>
              </w:rPr>
            </w:pPr>
            <w:r w:rsidRPr="005F62F4">
              <w:rPr>
                <w:lang w:val="en-AU"/>
              </w:rPr>
              <w:t>6</w:t>
            </w:r>
          </w:p>
        </w:tc>
      </w:tr>
      <w:tr w:rsidR="009069CF" w:rsidRPr="005F62F4" w14:paraId="024D0692" w14:textId="77777777" w:rsidTr="00D710C0">
        <w:tc>
          <w:tcPr>
            <w:tcW w:w="2720" w:type="dxa"/>
          </w:tcPr>
          <w:p w14:paraId="267EF1EB" w14:textId="77777777" w:rsidR="009069CF" w:rsidRPr="005F62F4" w:rsidRDefault="009069CF" w:rsidP="00D710C0">
            <w:pPr>
              <w:pStyle w:val="TableText"/>
            </w:pPr>
            <w:proofErr w:type="spellStart"/>
            <w:r w:rsidRPr="005F62F4">
              <w:t>Zweifel</w:t>
            </w:r>
            <w:proofErr w:type="spellEnd"/>
            <w:r w:rsidRPr="005F62F4">
              <w:t xml:space="preserve"> et al. (2015)</w:t>
            </w:r>
          </w:p>
        </w:tc>
        <w:tc>
          <w:tcPr>
            <w:tcW w:w="1659" w:type="dxa"/>
          </w:tcPr>
          <w:p w14:paraId="6F139E35" w14:textId="77777777" w:rsidR="009069CF" w:rsidRPr="005F62F4" w:rsidRDefault="009069CF" w:rsidP="00D710C0">
            <w:pPr>
              <w:pStyle w:val="TableTextRight"/>
              <w:rPr>
                <w:lang w:val="en-AU"/>
              </w:rPr>
            </w:pPr>
            <w:r w:rsidRPr="005F62F4">
              <w:rPr>
                <w:lang w:val="en-AU"/>
              </w:rPr>
              <w:t>3</w:t>
            </w:r>
          </w:p>
        </w:tc>
        <w:tc>
          <w:tcPr>
            <w:tcW w:w="1659" w:type="dxa"/>
          </w:tcPr>
          <w:p w14:paraId="5EA94F4A" w14:textId="77777777" w:rsidR="009069CF" w:rsidRPr="005F62F4" w:rsidRDefault="009069CF" w:rsidP="00D710C0">
            <w:pPr>
              <w:pStyle w:val="TableTextRight"/>
              <w:rPr>
                <w:lang w:val="en-AU"/>
              </w:rPr>
            </w:pPr>
            <w:r w:rsidRPr="005F62F4">
              <w:rPr>
                <w:lang w:val="en-AU"/>
              </w:rPr>
              <w:t>1</w:t>
            </w:r>
          </w:p>
        </w:tc>
        <w:tc>
          <w:tcPr>
            <w:tcW w:w="1659" w:type="dxa"/>
          </w:tcPr>
          <w:p w14:paraId="2053A36D" w14:textId="77777777" w:rsidR="009069CF" w:rsidRPr="005F62F4" w:rsidRDefault="009069CF" w:rsidP="00D710C0">
            <w:pPr>
              <w:pStyle w:val="TableTextRight"/>
              <w:rPr>
                <w:lang w:val="en-AU"/>
              </w:rPr>
            </w:pPr>
            <w:r w:rsidRPr="005F62F4">
              <w:rPr>
                <w:lang w:val="en-AU"/>
              </w:rPr>
              <w:t>3</w:t>
            </w:r>
          </w:p>
        </w:tc>
        <w:tc>
          <w:tcPr>
            <w:cnfStyle w:val="000100000000" w:firstRow="0" w:lastRow="0" w:firstColumn="0" w:lastColumn="1" w:oddVBand="0" w:evenVBand="0" w:oddHBand="0" w:evenHBand="0" w:firstRowFirstColumn="0" w:firstRowLastColumn="0" w:lastRowFirstColumn="0" w:lastRowLastColumn="0"/>
            <w:tcW w:w="1659" w:type="dxa"/>
          </w:tcPr>
          <w:p w14:paraId="43B14265" w14:textId="77777777" w:rsidR="009069CF" w:rsidRPr="005F62F4" w:rsidRDefault="009069CF" w:rsidP="000A7D6C">
            <w:pPr>
              <w:pStyle w:val="TableTextRight"/>
              <w:keepNext/>
              <w:rPr>
                <w:lang w:val="en-AU"/>
              </w:rPr>
            </w:pPr>
            <w:r w:rsidRPr="005F62F4">
              <w:rPr>
                <w:lang w:val="en-AU"/>
              </w:rPr>
              <w:t>7</w:t>
            </w:r>
          </w:p>
        </w:tc>
      </w:tr>
    </w:tbl>
    <w:p w14:paraId="4E1FF509" w14:textId="6891C701" w:rsidR="00597107" w:rsidRPr="005F62F4" w:rsidRDefault="00597107" w:rsidP="00597107">
      <w:pPr>
        <w:pStyle w:val="Para"/>
      </w:pPr>
      <w:r w:rsidRPr="005F62F4">
        <w:t>None of the studies randomised patients to the different surgical groups and only 2 studies provided any explanation of why patients received</w:t>
      </w:r>
      <w:r w:rsidR="005C279B" w:rsidRPr="005F62F4">
        <w:t xml:space="preserve"> virtual</w:t>
      </w:r>
      <w:r w:rsidR="00540C64" w:rsidRPr="005F62F4">
        <w:t xml:space="preserve"> surgical planning</w:t>
      </w:r>
      <w:r w:rsidRPr="005F62F4">
        <w:t xml:space="preserve"> rather than traditional surgery</w:t>
      </w:r>
      <w:r w:rsidR="00ED5A27" w:rsidRPr="005F62F4">
        <w:t xml:space="preserve"> </w:t>
      </w:r>
      <w:r w:rsidR="004A5228" w:rsidRPr="005F62F4">
        <w:t>(</w:t>
      </w:r>
      <w:proofErr w:type="spellStart"/>
      <w:r w:rsidR="009A280B" w:rsidRPr="005F62F4">
        <w:t>S</w:t>
      </w:r>
      <w:r w:rsidR="004A5228" w:rsidRPr="005F62F4">
        <w:t>eruya</w:t>
      </w:r>
      <w:proofErr w:type="spellEnd"/>
      <w:r w:rsidR="009A280B" w:rsidRPr="005F62F4">
        <w:t xml:space="preserve"> et al. 2013; Wang, Fan, et al. 2016)</w:t>
      </w:r>
      <w:r w:rsidRPr="005F62F4">
        <w:t>. In the study by</w:t>
      </w:r>
      <w:r w:rsidR="0087156F" w:rsidRPr="005F62F4">
        <w:t xml:space="preserve"> </w:t>
      </w:r>
      <w:proofErr w:type="spellStart"/>
      <w:r w:rsidR="0087156F" w:rsidRPr="005F62F4">
        <w:t>Seruya</w:t>
      </w:r>
      <w:proofErr w:type="spellEnd"/>
      <w:r w:rsidR="0087156F" w:rsidRPr="005F62F4">
        <w:t xml:space="preserve"> et al. (2013)</w:t>
      </w:r>
      <w:r w:rsidR="007D432C" w:rsidRPr="005F62F4">
        <w:t xml:space="preserve"> </w:t>
      </w:r>
      <w:r w:rsidRPr="005F62F4">
        <w:t>patients who</w:t>
      </w:r>
      <w:r w:rsidR="009069CF" w:rsidRPr="005F62F4">
        <w:t xml:space="preserve"> underwent their</w:t>
      </w:r>
      <w:r w:rsidRPr="005F62F4">
        <w:t xml:space="preserve"> ope</w:t>
      </w:r>
      <w:r w:rsidR="009069CF" w:rsidRPr="005F62F4">
        <w:t>ration</w:t>
      </w:r>
      <w:r w:rsidRPr="005F62F4">
        <w:t xml:space="preserve"> between 2003 and 2009 underwent traditional surgery and patients who were operated on from 2010 onward underwent </w:t>
      </w:r>
      <w:r w:rsidR="002521FE" w:rsidRPr="005F62F4">
        <w:t>a virtual planning procedure</w:t>
      </w:r>
      <w:r w:rsidRPr="005F62F4">
        <w:t xml:space="preserve">. The same surgeon performed all operations, yet no adjustment was made in the analysis to control for the surgeon’s increased experience over two decades. The significantly shorter </w:t>
      </w:r>
      <w:proofErr w:type="spellStart"/>
      <w:r w:rsidRPr="005F62F4">
        <w:t>ischaemia</w:t>
      </w:r>
      <w:proofErr w:type="spellEnd"/>
      <w:r w:rsidRPr="005F62F4">
        <w:t xml:space="preserve"> times recorded in the </w:t>
      </w:r>
      <w:r w:rsidR="002521FE" w:rsidRPr="005F62F4">
        <w:t>virtual plannin</w:t>
      </w:r>
      <w:r w:rsidR="0051462E" w:rsidRPr="005F62F4">
        <w:t>g</w:t>
      </w:r>
      <w:r w:rsidRPr="005F62F4">
        <w:t xml:space="preserve"> group compared to the traditional surgery group must be interpreted cautiously given the risk of bias </w:t>
      </w:r>
      <w:r w:rsidR="002521FE" w:rsidRPr="005F62F4">
        <w:t>associated with</w:t>
      </w:r>
      <w:r w:rsidRPr="005F62F4">
        <w:t xml:space="preserve"> </w:t>
      </w:r>
      <w:r w:rsidR="002521FE" w:rsidRPr="005F62F4">
        <w:t>changes in the surg</w:t>
      </w:r>
      <w:r w:rsidRPr="005F62F4">
        <w:t>eon’s experience and skill</w:t>
      </w:r>
      <w:r w:rsidR="002521FE" w:rsidRPr="005F62F4">
        <w:t xml:space="preserve"> overtime, in addition to the potential for broader </w:t>
      </w:r>
      <w:r w:rsidR="002521FE" w:rsidRPr="005F62F4">
        <w:lastRenderedPageBreak/>
        <w:t>improvements in surgical processes</w:t>
      </w:r>
      <w:r w:rsidRPr="005F62F4">
        <w:t xml:space="preserve">. In the study by </w:t>
      </w:r>
      <w:r w:rsidR="0087156F" w:rsidRPr="005F62F4">
        <w:t>Wang, Fan, et al. (2016)</w:t>
      </w:r>
      <w:r w:rsidRPr="005F62F4">
        <w:t xml:space="preserve">, inclusion in the </w:t>
      </w:r>
      <w:r w:rsidR="00ED5A27" w:rsidRPr="005F62F4">
        <w:t>virtual surgical planning</w:t>
      </w:r>
      <w:r w:rsidRPr="005F62F4">
        <w:t xml:space="preserve"> group was based on the patient’s acceptance of this new surgical program and their economic conditions. Although not explicitly stated</w:t>
      </w:r>
      <w:r w:rsidR="00C322F7" w:rsidRPr="005F62F4">
        <w:t xml:space="preserve"> nor accounted for in the analysis</w:t>
      </w:r>
      <w:r w:rsidRPr="005F62F4">
        <w:t>, it is likely that patients</w:t>
      </w:r>
      <w:r w:rsidR="00C322F7" w:rsidRPr="005F62F4">
        <w:t xml:space="preserve"> in the virtual surgical planning group had a</w:t>
      </w:r>
      <w:r w:rsidRPr="005F62F4">
        <w:t xml:space="preserve"> higher socioeconomic status</w:t>
      </w:r>
      <w:r w:rsidRPr="005F62F4" w:rsidDel="007F3078">
        <w:t xml:space="preserve"> </w:t>
      </w:r>
      <w:r w:rsidR="00C322F7" w:rsidRPr="005F62F4">
        <w:t>and</w:t>
      </w:r>
      <w:r w:rsidRPr="005F62F4">
        <w:t xml:space="preserve"> access to superior pre- and/or postoperative care</w:t>
      </w:r>
      <w:r w:rsidR="005B6A89" w:rsidRPr="005F62F4">
        <w:t>, which could have influenced the results</w:t>
      </w:r>
      <w:r w:rsidRPr="005F62F4">
        <w:t xml:space="preserve">. None of the remaining studies provided any explanation as to why patients received </w:t>
      </w:r>
      <w:r w:rsidR="001F0BFE" w:rsidRPr="005F62F4">
        <w:t>virtual surgical planning</w:t>
      </w:r>
      <w:r w:rsidRPr="005F62F4">
        <w:t xml:space="preserve"> or traditional surgery. The fact that </w:t>
      </w:r>
      <w:r w:rsidR="005B6A89" w:rsidRPr="005F62F4">
        <w:t xml:space="preserve">in half of the studies, a much larger </w:t>
      </w:r>
      <w:r w:rsidRPr="005F62F4">
        <w:t xml:space="preserve">number of patients </w:t>
      </w:r>
      <w:r w:rsidR="005B6A89" w:rsidRPr="005F62F4">
        <w:t xml:space="preserve">were in the comparison group than the intervention group </w:t>
      </w:r>
      <w:r w:rsidRPr="005F62F4">
        <w:t>suggests</w:t>
      </w:r>
      <w:r w:rsidR="005B6A89" w:rsidRPr="005F62F4">
        <w:t xml:space="preserve"> the potential for </w:t>
      </w:r>
      <w:r w:rsidRPr="005F62F4">
        <w:t>systematic bias in group allocation.</w:t>
      </w:r>
    </w:p>
    <w:p w14:paraId="489F0A36" w14:textId="794F00B1" w:rsidR="00597107" w:rsidRPr="005F62F4" w:rsidRDefault="00597107" w:rsidP="00597107">
      <w:pPr>
        <w:pStyle w:val="Para"/>
      </w:pPr>
      <w:r w:rsidRPr="005F62F4">
        <w:t xml:space="preserve">Another substantial risk of bias observed across most studies was the absence of adjustment for patient comorbidity, additional treatments and surgical complexity. Among studies that described the level of surgical complexity, some reported that higher levels of complexity were present in the traditional surgery group </w:t>
      </w:r>
      <w:r w:rsidR="001601AD" w:rsidRPr="005F62F4">
        <w:t>(</w:t>
      </w:r>
      <w:proofErr w:type="gramStart"/>
      <w:r w:rsidR="001601AD" w:rsidRPr="005F62F4">
        <w:t>e.g.</w:t>
      </w:r>
      <w:proofErr w:type="gramEnd"/>
      <w:r w:rsidR="001601AD" w:rsidRPr="005F62F4">
        <w:t xml:space="preserve"> De </w:t>
      </w:r>
      <w:proofErr w:type="spellStart"/>
      <w:r w:rsidR="001601AD" w:rsidRPr="005F62F4">
        <w:t>Maesschalck</w:t>
      </w:r>
      <w:proofErr w:type="spellEnd"/>
      <w:r w:rsidR="001601AD" w:rsidRPr="005F62F4">
        <w:t xml:space="preserve"> et al. 2017; Wang, Zhang et al. 2016; Zhang et al. 2016)</w:t>
      </w:r>
      <w:r w:rsidR="007F79F8" w:rsidRPr="005F62F4">
        <w:t xml:space="preserve"> </w:t>
      </w:r>
      <w:r w:rsidRPr="005F62F4">
        <w:t>while other</w:t>
      </w:r>
      <w:r w:rsidR="005B6A89" w:rsidRPr="005F62F4">
        <w:t>s</w:t>
      </w:r>
      <w:r w:rsidRPr="005F62F4">
        <w:t xml:space="preserve"> reported </w:t>
      </w:r>
      <w:r w:rsidR="005B6A89" w:rsidRPr="005F62F4">
        <w:t>greater complexity in the virtual surgical planning</w:t>
      </w:r>
      <w:r w:rsidRPr="005F62F4">
        <w:t xml:space="preserve"> group</w:t>
      </w:r>
      <w:r w:rsidR="007F79F8" w:rsidRPr="005F62F4">
        <w:t xml:space="preserve"> (e.g. </w:t>
      </w:r>
      <w:proofErr w:type="spellStart"/>
      <w:r w:rsidR="007F79F8" w:rsidRPr="005F62F4">
        <w:t>Seruya</w:t>
      </w:r>
      <w:proofErr w:type="spellEnd"/>
      <w:r w:rsidR="007F79F8" w:rsidRPr="005F62F4">
        <w:t xml:space="preserve"> et al. 2013; Weitz et al. 2016)</w:t>
      </w:r>
      <w:r w:rsidRPr="005F62F4">
        <w:t>. When</w:t>
      </w:r>
      <w:r w:rsidR="007F79F8" w:rsidRPr="005F62F4">
        <w:t xml:space="preserve"> Mazzola et al. (20</w:t>
      </w:r>
      <w:r w:rsidR="00FE3001" w:rsidRPr="005F62F4">
        <w:t>20</w:t>
      </w:r>
      <w:r w:rsidR="007F79F8" w:rsidRPr="005F62F4">
        <w:t>)</w:t>
      </w:r>
      <w:r w:rsidR="006A1A87" w:rsidRPr="005F62F4">
        <w:t xml:space="preserve"> </w:t>
      </w:r>
      <w:r w:rsidRPr="005F62F4">
        <w:t>performed a subgroup analysis that matched patients on complexity they found no statistically significant differences in outcomes.</w:t>
      </w:r>
    </w:p>
    <w:p w14:paraId="1857993A" w14:textId="186CE7A4" w:rsidR="00597107" w:rsidRPr="005F62F4" w:rsidRDefault="00597107" w:rsidP="00597107">
      <w:pPr>
        <w:pStyle w:val="Para"/>
      </w:pPr>
      <w:r w:rsidRPr="005F62F4">
        <w:t>The study by</w:t>
      </w:r>
      <w:r w:rsidR="007F79F8" w:rsidRPr="005F62F4">
        <w:t xml:space="preserve"> Rommel et al. (2017)</w:t>
      </w:r>
      <w:r w:rsidRPr="005F62F4">
        <w:t xml:space="preserve"> was the only one to describe patient comorbidities in both cases and controls, finding no statistical difference between groups. They did, however, report a significant between-group difference in the proportion of patients who received preoperative radiotherapy (72% in controls compared to 17% in cases, p</w:t>
      </w:r>
      <w:r w:rsidR="005F6896" w:rsidRPr="005F62F4">
        <w:t> = </w:t>
      </w:r>
      <w:r w:rsidRPr="005F62F4">
        <w:t xml:space="preserve">0.011). Despite the significant statistical difference in preoperative radiology </w:t>
      </w:r>
      <w:r w:rsidR="00A76440" w:rsidRPr="005F62F4">
        <w:t xml:space="preserve">exposure </w:t>
      </w:r>
      <w:r w:rsidRPr="005F62F4">
        <w:t xml:space="preserve">between the two groups, the authors did not control for this confounder in the statistical analysis. Instead, </w:t>
      </w:r>
      <w:r w:rsidR="00A76440" w:rsidRPr="005F62F4">
        <w:t xml:space="preserve">they </w:t>
      </w:r>
      <w:r w:rsidRPr="005F62F4">
        <w:t xml:space="preserve">reported the unadjusted statistics </w:t>
      </w:r>
      <w:r w:rsidR="00A76440" w:rsidRPr="005F62F4">
        <w:t>and discussed</w:t>
      </w:r>
      <w:r w:rsidRPr="005F62F4">
        <w:t xml:space="preserve"> the implications of radiotherapy. Specifically, they argued that ‘impaired microcirculation, fibrosis and a high increase of cytokines in radiated tissue contribute significantly to a disturbed and prolonged wound healing process. Therefore, the higher rate of </w:t>
      </w:r>
      <w:proofErr w:type="spellStart"/>
      <w:r w:rsidRPr="005F62F4">
        <w:t>dehiscences</w:t>
      </w:r>
      <w:proofErr w:type="spellEnd"/>
      <w:r w:rsidRPr="005F62F4">
        <w:t xml:space="preserve"> combined with a longer hospitalisation seems not to be attributable to the preoperative planning concept but rather to the preoperative radiotherapy’ </w:t>
      </w:r>
      <w:r w:rsidR="007F79F8" w:rsidRPr="005F62F4">
        <w:t>(Rommel et al. 2017, p. 1250)</w:t>
      </w:r>
      <w:r w:rsidRPr="005F62F4">
        <w:t>. This statement highlights the potential risk of bias present in all studies that failed to report and test for patient comorbidities, preoperative treatment and surgical complexity.</w:t>
      </w:r>
    </w:p>
    <w:p w14:paraId="71E1EC35" w14:textId="2BE59893" w:rsidR="001E2497" w:rsidRPr="005F62F4" w:rsidRDefault="00597107" w:rsidP="00597107">
      <w:pPr>
        <w:pStyle w:val="Para"/>
      </w:pPr>
      <w:bookmarkStart w:id="300" w:name="_Ref119664958"/>
      <w:r w:rsidRPr="005F62F4">
        <w:t xml:space="preserve">In summary, all studies in this review were graded as level III-2 and, </w:t>
      </w:r>
      <w:proofErr w:type="gramStart"/>
      <w:r w:rsidRPr="005F62F4">
        <w:t>with the exception of</w:t>
      </w:r>
      <w:proofErr w:type="gramEnd"/>
      <w:r w:rsidRPr="005F62F4">
        <w:t xml:space="preserve"> 2 studies, had at least a moderate risk of bias. The main source of bias was the lack of comparability between patients in the intervention and control groups and the failure to adjust for important potential confounders, especially surgical complexity.</w:t>
      </w:r>
      <w:bookmarkEnd w:id="300"/>
    </w:p>
    <w:p w14:paraId="7DD910AB" w14:textId="77777777" w:rsidR="00944641" w:rsidRPr="005F62F4" w:rsidRDefault="00944641" w:rsidP="004F2931">
      <w:pPr>
        <w:pStyle w:val="HeadingA1"/>
        <w:sectPr w:rsidR="00944641" w:rsidRPr="005F62F4" w:rsidSect="006653A9">
          <w:pgSz w:w="11906" w:h="16838"/>
          <w:pgMar w:top="1134" w:right="1134" w:bottom="1134" w:left="1440" w:header="709" w:footer="709" w:gutter="0"/>
          <w:cols w:space="708"/>
          <w:titlePg/>
          <w:docGrid w:linePitch="360"/>
        </w:sectPr>
      </w:pPr>
      <w:bookmarkStart w:id="301" w:name="_Ref120190620"/>
    </w:p>
    <w:p w14:paraId="44541DD7" w14:textId="1D67434C" w:rsidR="00D13D07" w:rsidRPr="005F62F4" w:rsidRDefault="00AA33B6" w:rsidP="004F2931">
      <w:pPr>
        <w:pStyle w:val="HeadingA1"/>
      </w:pPr>
      <w:bookmarkStart w:id="302" w:name="_Toc120178359"/>
      <w:bookmarkStart w:id="303" w:name="_Ref120190676"/>
      <w:bookmarkStart w:id="304" w:name="_Ref127440499"/>
      <w:bookmarkStart w:id="305" w:name="_Toc129954622"/>
      <w:bookmarkEnd w:id="301"/>
      <w:r w:rsidRPr="005F62F4">
        <w:lastRenderedPageBreak/>
        <w:t xml:space="preserve">Summary of evidence from </w:t>
      </w:r>
      <w:r w:rsidR="00481227" w:rsidRPr="005F62F4">
        <w:t>recent</w:t>
      </w:r>
      <w:r w:rsidRPr="005F62F4">
        <w:t xml:space="preserve"> </w:t>
      </w:r>
      <w:r w:rsidR="00B84184" w:rsidRPr="005F62F4">
        <w:t>synthesised literature</w:t>
      </w:r>
      <w:bookmarkEnd w:id="302"/>
      <w:bookmarkEnd w:id="303"/>
      <w:bookmarkEnd w:id="304"/>
      <w:bookmarkEnd w:id="305"/>
    </w:p>
    <w:p w14:paraId="2B7A448F" w14:textId="77777777" w:rsidR="00430DA4" w:rsidRPr="005F62F4" w:rsidRDefault="00430DA4" w:rsidP="004F2931">
      <w:pPr>
        <w:pStyle w:val="HeadingA2"/>
      </w:pPr>
      <w:bookmarkStart w:id="306" w:name="_Toc120178360"/>
      <w:r w:rsidRPr="005F62F4">
        <w:t>Introduction</w:t>
      </w:r>
      <w:bookmarkEnd w:id="306"/>
    </w:p>
    <w:p w14:paraId="0CA4EE01" w14:textId="2B462DE2" w:rsidR="00430DA4" w:rsidRPr="005F62F4" w:rsidRDefault="00430DA4" w:rsidP="00430DA4">
      <w:pPr>
        <w:pStyle w:val="Para"/>
      </w:pPr>
      <w:r w:rsidRPr="005F62F4">
        <w:t xml:space="preserve">Surgical guides and </w:t>
      </w:r>
      <w:proofErr w:type="spellStart"/>
      <w:r w:rsidRPr="005F62F4">
        <w:t>biomodels</w:t>
      </w:r>
      <w:proofErr w:type="spellEnd"/>
      <w:r w:rsidRPr="005F62F4">
        <w:t xml:space="preserve"> represent a subset of 3D printing technologies gaining traction in medical and surgical uses around the world. Accordingly, over recent years there has been rapid growth in the literature describing and evaluating the use of these technologies </w:t>
      </w:r>
      <w:r w:rsidRPr="005F62F4">
        <w:fldChar w:fldCharType="begin" w:fldLock="1"/>
      </w:r>
      <w:r w:rsidR="00426819" w:rsidRPr="005F62F4">
        <w:instrText>ADDIN CSL_CITATION {"citationItems":[{"id":"ITEM-1","itemData":{"DOI":"10.1186/s12938-016-0236-4","ISSN":"1475-925X","author":[{"dropping-particle":"","family":"Tack","given":"Philip","non-dropping-particle":"","parse-names":false,"suffix":""},{"dropping-particle":"","family":"Victor","given":"Jan","non-dropping-particle":"","parse-names":false,"suffix":""},{"dropping-particle":"","family":"Gemmel","given":"Paul","non-dropping-particle":"","parse-names":false,"suffix":""},{"dropping-particle":"","family":"Annemans","given":"Lieven","non-dropping-particle":"","parse-names":false,"suffix":""}],"container-title":"BioMedical Engineering OnLine","id":"ITEM-1","issued":{"date-parts":[["2016"]]},"page":"115","publisher":"BioMed Central","title":"3D‑printing techniques in a medical setting: a systematic literature review","type":"article-journal","volume":"15"},"uris":["http://www.mendeley.com/documents/?uuid=abf6f559-1833-493d-85ca-0f42291280ff"]},{"id":"ITEM-2","itemData":{"DOI":"10.1186/s41205-017-0012-5","abstract":"Medical 3D printing is expanding exponentially, with tremendous potential yet to be realized in nearly all facets of medicine. Unfortunately, multiple informal subdomain-specific isolated terminological ‘silos’ where disparate terminology is used for similar concepts are also arising as rapidly. It is imperative to formalize the foundational terminology at this early stage to facilitate future knowledge integration, collaborative research, and appropriate reimbursement. The purpose of this work is to develop objective, literature-based consensus-building methodology for the medical 3D printing domain to support expert consensus. We first quantitatively survey the temporal, conceptual, and geographic diversity of all existing published applications within medical 3D printing literature and establish the existence of self-isolating research clusters. We then demonstrate an automated objective methodology to aid in establishing a terminological consensus for the field based on objective analysis of the existing literature. The resultant analysis provides a rich overview of the 3D printing literature, including publication statistics and trends globally, chronologically, technologically, and within each major medical discipline. The proposed methodology is used to objectively establish the dominance of the term “3D printing” to represent a collection of technologies that produce physical models in the medical setting. We demonstrate that specific domains do not use this term in line with objective consensus and call for its universal adoption. Our methodology can be applied to the entirety of medical 3D printing literature to obtain a complete, validated, and objective set of recommended and synonymous definitions to aid expert bodies in building ontological consensus.","author":[{"dropping-particle":"","family":"Chepelev","given":"Leonid","non-dropping-particle":"","parse-names":false,"suffix":""},{"dropping-particle":"","family":"Giannopoulos","given":"Andreas","non-dropping-particle":"","parse-names":false,"suffix":""},{"dropping-particle":"","family":"Tang","given":"Anji","non-dropping-particle":"","parse-names":false,"suffix":""},{"dropping-particle":"","family":"Mitsouras","given":"Dimitrios","non-dropping-particle":"","parse-names":false,"suffix":""},{"dropping-particle":"","family":"Rybicki","given":"Frank J.","non-dropping-particle":"","parse-names":false,"suffix":""}],"container-title":"3D Printing in Medicine","id":"ITEM-2","issue":"1","issued":{"date-parts":[["2017"]]},"publisher":"3D Printing in Medicine","title":"Medical 3D printing: methods to standardize terminology and report trends","type":"article-journal","volume":"3"},"uris":["http://www.mendeley.com/documents/?uuid=169961ef-d7bd-40f5-b465-e0595f531097"]},{"id":"ITEM-3","itemData":{"author":[{"dropping-particle":"","family":"Meglioli","given":"M","non-dropping-particle":"","parse-names":false,"suffix":""},{"dropping-particle":"","family":"Naveau","given":"A","non-dropping-particle":"","parse-names":false,"suffix":""},{"dropping-particle":"","family":"Macaluso","given":"GM","non-dropping-particle":"","parse-names":false,"suffix":""},{"dropping-particle":"","family":"Catros","given":"S","non-dropping-particle":"","parse-names":false,"suffix":""}],"container-title":"3D Printing in Medicine","id":"ITEM-3","issue":"1","issued":{"date-parts":[["2020"]]},"page":"30","title":"3D printed bone models in oral and craniomaxillofacial surgery: a systematic review","type":"article-journal","volume":"6"},"uris":["http://www.mendeley.com/documents/?uuid=7b876947-60fc-482d-b995-b78f486404da"]}],"mendeley":{"formattedCitation":"(Chepelev et al. 2017; Meglioli et al. 2020; Tack et al. 2016)","plainTextFormattedCitation":"(Chepelev et al. 2017; Meglioli et al. 2020; Tack et al. 2016)","previouslyFormattedCitation":"(Chepelev et al. 2017; Meglioli et al. 2020; Tack et al. 2016)"},"properties":{"noteIndex":0},"schema":"https://github.com/citation-style-language/schema/raw/master/csl-citation.json"}</w:instrText>
      </w:r>
      <w:r w:rsidRPr="005F62F4">
        <w:fldChar w:fldCharType="separate"/>
      </w:r>
      <w:r w:rsidRPr="005F62F4">
        <w:rPr>
          <w:noProof/>
        </w:rPr>
        <w:t>(Chepelev et al. 2017; Meglioli et al. 2020; Tack et al. 2016)</w:t>
      </w:r>
      <w:r w:rsidRPr="005F62F4">
        <w:fldChar w:fldCharType="end"/>
      </w:r>
      <w:r w:rsidRPr="005F62F4">
        <w:t xml:space="preserve">. Much of the published literature comes from the USA, China and Germany </w:t>
      </w:r>
      <w:r w:rsidRPr="005F62F4">
        <w:fldChar w:fldCharType="begin" w:fldLock="1"/>
      </w:r>
      <w:r w:rsidRPr="005F62F4">
        <w:instrText>ADDIN CSL_CITATION {"citationItems":[{"id":"ITEM-1","itemData":{"DOI":"10.1186/s41205-017-0012-5","abstract":"Medical 3D printing is expanding exponentially, with tremendous potential yet to be realized in nearly all facets of medicine. Unfortunately, multiple informal subdomain-specific isolated terminological ‘silos’ where disparate terminology is used for similar concepts are also arising as rapidly. It is imperative to formalize the foundational terminology at this early stage to facilitate future knowledge integration, collaborative research, and appropriate reimbursement. The purpose of this work is to develop objective, literature-based consensus-building methodology for the medical 3D printing domain to support expert consensus. We first quantitatively survey the temporal, conceptual, and geographic diversity of all existing published applications within medical 3D printing literature and establish the existence of self-isolating research clusters. We then demonstrate an automated objective methodology to aid in establishing a terminological consensus for the field based on objective analysis of the existing literature. The resultant analysis provides a rich overview of the 3D printing literature, including publication statistics and trends globally, chronologically, technologically, and within each major medical discipline. The proposed methodology is used to objectively establish the dominance of the term “3D printing” to represent a collection of technologies that produce physical models in the medical setting. We demonstrate that specific domains do not use this term in line with objective consensus and call for its universal adoption. Our methodology can be applied to the entirety of medical 3D printing literature to obtain a complete, validated, and objective set of recommended and synonymous definitions to aid expert bodies in building ontological consensus.","author":[{"dropping-particle":"","family":"Chepelev","given":"Leonid","non-dropping-particle":"","parse-names":false,"suffix":""},{"dropping-particle":"","family":"Giannopoulos","given":"Andreas","non-dropping-particle":"","parse-names":false,"suffix":""},{"dropping-particle":"","family":"Tang","given":"Anji","non-dropping-particle":"","parse-names":false,"suffix":""},{"dropping-particle":"","family":"Mitsouras","given":"Dimitrios","non-dropping-particle":"","parse-names":false,"suffix":""},{"dropping-particle":"","family":"Rybicki","given":"Frank J.","non-dropping-particle":"","parse-names":false,"suffix":""}],"container-title":"3D Printing in Medicine","id":"ITEM-1","issue":"1","issued":{"date-parts":[["2017"]]},"publisher":"3D Printing in Medicine","title":"Medical 3D printing: methods to standardize terminology and report trends","type":"article-journal","volume":"3"},"uris":["http://www.mendeley.com/documents/?uuid=169961ef-d7bd-40f5-b465-e0595f531097"]}],"mendeley":{"formattedCitation":"(Chepelev et al. 2017)","plainTextFormattedCitation":"(Chepelev et al. 2017)","previouslyFormattedCitation":"(Chepelev et al. 2017)"},"properties":{"noteIndex":0},"schema":"https://github.com/citation-style-language/schema/raw/master/csl-citation.json"}</w:instrText>
      </w:r>
      <w:r w:rsidRPr="005F62F4">
        <w:fldChar w:fldCharType="separate"/>
      </w:r>
      <w:r w:rsidRPr="005F62F4">
        <w:rPr>
          <w:noProof/>
        </w:rPr>
        <w:t>(Chepelev et al. 2017)</w:t>
      </w:r>
      <w:r w:rsidRPr="005F62F4">
        <w:fldChar w:fldCharType="end"/>
      </w:r>
      <w:r w:rsidRPr="005F62F4">
        <w:t>.</w:t>
      </w:r>
    </w:p>
    <w:p w14:paraId="2E4B5DDA" w14:textId="4330A901" w:rsidR="00430DA4" w:rsidRPr="005F62F4" w:rsidRDefault="00430DA4" w:rsidP="00430DA4">
      <w:pPr>
        <w:pStyle w:val="Para"/>
      </w:pPr>
      <w:r w:rsidRPr="005F62F4">
        <w:t xml:space="preserve">This desktop review was conducted to inform AHA’s review of surgical guides and </w:t>
      </w:r>
      <w:proofErr w:type="spellStart"/>
      <w:r w:rsidRPr="005F62F4">
        <w:t>biomodels</w:t>
      </w:r>
      <w:proofErr w:type="spellEnd"/>
      <w:r w:rsidRPr="005F62F4">
        <w:t xml:space="preserve"> currently listed on the Prostheses List. It represents a limited literature search for recent, synthesised, high-quality and peer-reviewed evidence.</w:t>
      </w:r>
    </w:p>
    <w:p w14:paraId="1C5C4499" w14:textId="0F35FF91" w:rsidR="00430DA4" w:rsidRPr="005F62F4" w:rsidRDefault="00430DA4" w:rsidP="00430DA4">
      <w:pPr>
        <w:pStyle w:val="Para"/>
      </w:pPr>
      <w:r w:rsidRPr="005F62F4">
        <w:t xml:space="preserve">It is designed to provide a snapshot of current knowledge and trends in the evidence for </w:t>
      </w:r>
      <w:r w:rsidR="00286835" w:rsidRPr="005F62F4">
        <w:t xml:space="preserve">surgical guides and </w:t>
      </w:r>
      <w:proofErr w:type="spellStart"/>
      <w:r w:rsidR="00286835" w:rsidRPr="005F62F4">
        <w:t>biomodels</w:t>
      </w:r>
      <w:proofErr w:type="spellEnd"/>
      <w:r w:rsidRPr="005F62F4">
        <w:t xml:space="preserve">, including the contexts in which they are </w:t>
      </w:r>
      <w:proofErr w:type="gramStart"/>
      <w:r w:rsidRPr="005F62F4">
        <w:t>used</w:t>
      </w:r>
      <w:proofErr w:type="gramEnd"/>
      <w:r w:rsidRPr="005F62F4">
        <w:t xml:space="preserve"> and the outcomes commonly reported in the evidence base. It is intended to be considered alongside our product-specific systematic review</w:t>
      </w:r>
      <w:r w:rsidR="00150703" w:rsidRPr="005F62F4">
        <w:t xml:space="preserve"> (</w:t>
      </w:r>
      <w:r w:rsidR="000864F3" w:rsidRPr="005F62F4">
        <w:fldChar w:fldCharType="begin"/>
      </w:r>
      <w:r w:rsidR="000864F3" w:rsidRPr="005F62F4">
        <w:instrText xml:space="preserve"> REF _Ref119662524 \n \h </w:instrText>
      </w:r>
      <w:r w:rsidR="005F62F4">
        <w:instrText xml:space="preserve"> \* MERGEFORMAT </w:instrText>
      </w:r>
      <w:r w:rsidR="000864F3" w:rsidRPr="005F62F4">
        <w:fldChar w:fldCharType="separate"/>
      </w:r>
      <w:r w:rsidR="005606BF">
        <w:t>Appendix C</w:t>
      </w:r>
      <w:r w:rsidR="000864F3" w:rsidRPr="005F62F4">
        <w:fldChar w:fldCharType="end"/>
      </w:r>
      <w:r w:rsidR="00150703" w:rsidRPr="005F62F4">
        <w:t>)</w:t>
      </w:r>
      <w:r w:rsidRPr="005F62F4">
        <w:t xml:space="preserve">, particularly as no product-specific information was identified for most of the </w:t>
      </w:r>
      <w:r w:rsidR="00FA73D1" w:rsidRPr="005F62F4">
        <w:t>PL</w:t>
      </w:r>
      <w:r w:rsidRPr="005F62F4">
        <w:t xml:space="preserve"> products in scope.</w:t>
      </w:r>
    </w:p>
    <w:p w14:paraId="1AC0513D" w14:textId="23C416AD" w:rsidR="00430DA4" w:rsidRPr="005F62F4" w:rsidRDefault="00430DA4" w:rsidP="00430DA4">
      <w:pPr>
        <w:pStyle w:val="Para"/>
      </w:pPr>
      <w:r w:rsidRPr="005F62F4">
        <w:t>It is not intended to be, of itself, a systematic review of published literature, and does not represent a complete or comprehensive summary of the literature available.</w:t>
      </w:r>
    </w:p>
    <w:p w14:paraId="1E467189" w14:textId="77777777" w:rsidR="008708CA" w:rsidRDefault="008708CA">
      <w:pPr>
        <w:spacing w:after="200" w:line="276" w:lineRule="auto"/>
        <w:rPr>
          <w:rFonts w:eastAsiaTheme="majorEastAsia" w:cstheme="majorBidi"/>
          <w:b/>
          <w:bCs/>
          <w:color w:val="005A9F" w:themeColor="text2"/>
          <w:sz w:val="32"/>
          <w:szCs w:val="28"/>
        </w:rPr>
      </w:pPr>
      <w:bookmarkStart w:id="307" w:name="_Toc120178361"/>
      <w:r>
        <w:br w:type="page"/>
      </w:r>
    </w:p>
    <w:p w14:paraId="5EF958B7" w14:textId="69C74F9F" w:rsidR="00430DA4" w:rsidRPr="005F62F4" w:rsidRDefault="00430DA4" w:rsidP="004F2931">
      <w:pPr>
        <w:pStyle w:val="HeadingA2"/>
      </w:pPr>
      <w:r w:rsidRPr="005F62F4">
        <w:lastRenderedPageBreak/>
        <w:t>Methods</w:t>
      </w:r>
      <w:bookmarkEnd w:id="307"/>
    </w:p>
    <w:p w14:paraId="1ECD503B" w14:textId="1B2E1335" w:rsidR="00430DA4" w:rsidRPr="005F62F4" w:rsidRDefault="00430DA4" w:rsidP="00F4128B">
      <w:pPr>
        <w:pStyle w:val="ParaKeep"/>
      </w:pPr>
      <w:r w:rsidRPr="005F62F4">
        <w:t>The following search terms were used in PubMed (via M</w:t>
      </w:r>
      <w:r w:rsidR="00126FFE" w:rsidRPr="005F62F4">
        <w:t>EDLINE</w:t>
      </w:r>
      <w:r w:rsidRPr="005F62F4">
        <w:t>) to retrieve relevant studies:</w:t>
      </w:r>
    </w:p>
    <w:p w14:paraId="458BA28D" w14:textId="77777777" w:rsidR="00430DA4" w:rsidRPr="005F62F4" w:rsidRDefault="00430DA4" w:rsidP="00943175">
      <w:pPr>
        <w:pStyle w:val="Quote"/>
      </w:pPr>
      <w:r w:rsidRPr="005F62F4">
        <w:t>(</w:t>
      </w:r>
      <w:proofErr w:type="spellStart"/>
      <w:proofErr w:type="gramStart"/>
      <w:r w:rsidRPr="005F62F4">
        <w:t>biomodel</w:t>
      </w:r>
      <w:proofErr w:type="spellEnd"/>
      <w:proofErr w:type="gramEnd"/>
      <w:r w:rsidRPr="005F62F4">
        <w:t xml:space="preserve"> OR "surgical guide" OR "additive manufacturing" OR "3D print*" OR "three dimensional print*" OR "rapid prototyping" OR "patient-specific guide") </w:t>
      </w:r>
      <w:r w:rsidRPr="005F62F4">
        <w:br/>
        <w:t xml:space="preserve">AND </w:t>
      </w:r>
      <w:r w:rsidRPr="005F62F4">
        <w:br/>
        <w:t xml:space="preserve">(implant OR </w:t>
      </w:r>
      <w:proofErr w:type="spellStart"/>
      <w:r w:rsidRPr="005F62F4">
        <w:t>prosth</w:t>
      </w:r>
      <w:proofErr w:type="spellEnd"/>
      <w:r w:rsidRPr="005F62F4">
        <w:t>*)</w:t>
      </w:r>
    </w:p>
    <w:p w14:paraId="18E7E121" w14:textId="34A69D5A" w:rsidR="00430DA4" w:rsidRPr="005F62F4" w:rsidRDefault="00430DA4" w:rsidP="00430DA4">
      <w:pPr>
        <w:pStyle w:val="Para"/>
      </w:pPr>
      <w:r w:rsidRPr="005F62F4">
        <w:t>The results were limited to systematic reviews and meta-analyses published in the 5 years prior to 30 September 2022, written in English and with full text available.</w:t>
      </w:r>
    </w:p>
    <w:p w14:paraId="12B463AA" w14:textId="670A7597" w:rsidR="00430DA4" w:rsidRPr="005F62F4" w:rsidRDefault="00430DA4" w:rsidP="00F4128B">
      <w:pPr>
        <w:pStyle w:val="ParaKeep"/>
      </w:pPr>
      <w:r w:rsidRPr="005F62F4">
        <w:t>We selected papers that met the following criteria (as per AMSTAR 2) for consideration:</w:t>
      </w:r>
    </w:p>
    <w:p w14:paraId="2D603ED6" w14:textId="54148762" w:rsidR="00430DA4" w:rsidRPr="005F62F4" w:rsidRDefault="00430DA4" w:rsidP="007C4445">
      <w:pPr>
        <w:pStyle w:val="Bullet1"/>
      </w:pPr>
      <w:r w:rsidRPr="005F62F4">
        <w:t>The research questions and inclusion criteria include the components of PICO (Population, Intervention, Comparator, Outcomes)</w:t>
      </w:r>
      <w:r w:rsidR="003434F8" w:rsidRPr="005F62F4">
        <w:t>.</w:t>
      </w:r>
    </w:p>
    <w:p w14:paraId="6057558E" w14:textId="3EE77C86" w:rsidR="00430DA4" w:rsidRPr="005F62F4" w:rsidRDefault="00430DA4" w:rsidP="007C4445">
      <w:pPr>
        <w:pStyle w:val="Bullet1"/>
      </w:pPr>
      <w:r w:rsidRPr="005F62F4">
        <w:t>The review used (and described) a comprehensive literature search strategy</w:t>
      </w:r>
      <w:r w:rsidR="003434F8" w:rsidRPr="005F62F4">
        <w:t>.</w:t>
      </w:r>
    </w:p>
    <w:p w14:paraId="117A232C" w14:textId="12C27F2C" w:rsidR="00430DA4" w:rsidRPr="005F62F4" w:rsidRDefault="00E91371" w:rsidP="007C4445">
      <w:pPr>
        <w:pStyle w:val="Bullet1"/>
      </w:pPr>
      <w:r w:rsidRPr="005F62F4">
        <w:t>A</w:t>
      </w:r>
      <w:r w:rsidR="00430DA4" w:rsidRPr="005F62F4">
        <w:t>t least 2 researchers</w:t>
      </w:r>
      <w:r w:rsidRPr="005F62F4">
        <w:t xml:space="preserve"> were involved in</w:t>
      </w:r>
      <w:r w:rsidR="00430DA4" w:rsidRPr="005F62F4">
        <w:t xml:space="preserve"> determin</w:t>
      </w:r>
      <w:r w:rsidRPr="005F62F4">
        <w:t>ing</w:t>
      </w:r>
      <w:r w:rsidR="00430DA4" w:rsidRPr="005F62F4">
        <w:t xml:space="preserve"> study eligibility and </w:t>
      </w:r>
      <w:r w:rsidRPr="005F62F4">
        <w:t xml:space="preserve">performing </w:t>
      </w:r>
      <w:r w:rsidR="00430DA4" w:rsidRPr="005F62F4">
        <w:t>data extraction</w:t>
      </w:r>
      <w:r w:rsidR="003434F8" w:rsidRPr="005F62F4">
        <w:t>.</w:t>
      </w:r>
    </w:p>
    <w:p w14:paraId="15A408C2" w14:textId="6EDB4251" w:rsidR="00430DA4" w:rsidRPr="005F62F4" w:rsidRDefault="00430DA4" w:rsidP="007C4445">
      <w:pPr>
        <w:pStyle w:val="Bullet1"/>
      </w:pPr>
      <w:r w:rsidRPr="005F62F4">
        <w:t>The paper described the included studies in adequate detail</w:t>
      </w:r>
      <w:r w:rsidR="003434F8" w:rsidRPr="005F62F4">
        <w:t>.</w:t>
      </w:r>
    </w:p>
    <w:p w14:paraId="50F0AFAD" w14:textId="7F747466" w:rsidR="00430DA4" w:rsidRPr="005F62F4" w:rsidRDefault="00430DA4" w:rsidP="007C4445">
      <w:pPr>
        <w:pStyle w:val="Bullet1"/>
      </w:pPr>
      <w:r w:rsidRPr="005F62F4">
        <w:t>The review used a satisfactory technique for assessing the risk of bias (</w:t>
      </w:r>
      <w:proofErr w:type="spellStart"/>
      <w:r w:rsidRPr="005F62F4">
        <w:t>RoB</w:t>
      </w:r>
      <w:proofErr w:type="spellEnd"/>
      <w:r w:rsidRPr="005F62F4">
        <w:t>) in individual studies that were included in the review</w:t>
      </w:r>
      <w:r w:rsidR="003434F8" w:rsidRPr="005F62F4">
        <w:t>.</w:t>
      </w:r>
    </w:p>
    <w:p w14:paraId="3C905857" w14:textId="438F361B" w:rsidR="00430DA4" w:rsidRPr="005F62F4" w:rsidRDefault="00430DA4" w:rsidP="007C4445">
      <w:pPr>
        <w:pStyle w:val="Bullet1"/>
      </w:pPr>
      <w:r w:rsidRPr="005F62F4">
        <w:t>The article included a discussion of strengths and limitations such as assessment of bias, heterogeneity</w:t>
      </w:r>
      <w:r w:rsidR="003434F8" w:rsidRPr="005F62F4">
        <w:t>.</w:t>
      </w:r>
    </w:p>
    <w:p w14:paraId="0899C8F1" w14:textId="77777777" w:rsidR="00430DA4" w:rsidRPr="005F62F4" w:rsidRDefault="00430DA4" w:rsidP="007C4445">
      <w:pPr>
        <w:pStyle w:val="Bullet1"/>
      </w:pPr>
      <w:r w:rsidRPr="005F62F4">
        <w:t xml:space="preserve">Authors reported any conflicts of interest, including any funding received for the review </w:t>
      </w:r>
      <w:r w:rsidRPr="005F62F4">
        <w:fldChar w:fldCharType="begin" w:fldLock="1"/>
      </w:r>
      <w:r w:rsidRPr="005F62F4">
        <w:instrText>ADDIN CSL_CITATION {"citationItems":[{"id":"ITEM-1","itemData":{"DOI":"10.1136/bmj.j4008","ISSN":"17561833","PMID":"28935701","abstract":"The number of published systematic reviews of studies of healthcare interventions has increased rapidly and these are used extensively for clinical and policy decisions. Systematic reviews are subject to a range of biases and increasingly include non-randomised studies of interventions. It is important that users can distinguish high quality reviews. Many instruments have been designed to evaluate different aspects of reviews, but there are few comprehensive critical appraisal instruments. AMSTAR was developed to evaluate systematic reviews of randomised trials. In this paper, we report on the updating of AMSTAR and its adaptation to enable more detailed assessment of systematic reviews that include randomised or non-randomised studies of healthcare interventions, or both. With moves to base more decisions on real world observational evidence we believe that AMSTAR 2 will assist decision makers in the identification of high quality systematic reviews, including those based on non-randomised studies of healthcare interventions.","author":[{"dropping-particle":"","family":"Shea","given":"Beverley J","non-dropping-particle":"","parse-names":false,"suffix":""},{"dropping-particle":"","family":"Reeves","given":"Barnaby C","non-dropping-particle":"","parse-names":false,"suffix":""},{"dropping-particle":"","family":"Wells","given":"George","non-dropping-particle":"","parse-names":false,"suffix":""},{"dropping-particle":"","family":"Thuku","given":"Micere","non-dropping-particle":"","parse-names":false,"suffix":""},{"dropping-particle":"","family":"Hamel","given":"Candyce","non-dropping-particle":"","parse-names":false,"suffix":""},{"dropping-particle":"","family":"Moran","given":"Julian","non-dropping-particle":"","parse-names":false,"suffix":""},{"dropping-particle":"","family":"Moher","given":"David","non-dropping-particle":"","parse-names":false,"suffix":""},{"dropping-particle":"","family":"Tugwell","given":"Peter","non-dropping-particle":"","parse-names":false,"suffix":""},{"dropping-particle":"","family":"Welch","given":"Vivian","non-dropping-particle":"","parse-names":false,"suffix":""},{"dropping-particle":"","family":"Kristjansson","given":"Elizabeth","non-dropping-particle":"","parse-names":false,"suffix":""},{"dropping-particle":"","family":"Henry","given":"David A","non-dropping-particle":"","parse-names":false,"suffix":""}],"container-title":"BMJ (Online)","id":"ITEM-1","issued":{"date-parts":[["2017"]]},"page":"j4008","title":"AMSTAR 2: a critical appraisal tool for systematic reviews that include randomised or non-randomised studies of healthcare interventions, or both","type":"article-journal","volume":"358"},"uris":["http://www.mendeley.com/documents/?uuid=c75cc5a9-76a4-45b9-adce-9eecd02e3fc2"]}],"mendeley":{"formattedCitation":"(Shea et al. 2017)","plainTextFormattedCitation":"(Shea et al. 2017)","previouslyFormattedCitation":"(Shea et al. 2017)"},"properties":{"noteIndex":0},"schema":"https://github.com/citation-style-language/schema/raw/master/csl-citation.json"}</w:instrText>
      </w:r>
      <w:r w:rsidRPr="005F62F4">
        <w:fldChar w:fldCharType="separate"/>
      </w:r>
      <w:r w:rsidRPr="005F62F4">
        <w:rPr>
          <w:noProof/>
        </w:rPr>
        <w:t>(Shea et al. 2017)</w:t>
      </w:r>
      <w:r w:rsidRPr="005F62F4">
        <w:fldChar w:fldCharType="end"/>
      </w:r>
      <w:r w:rsidRPr="005F62F4">
        <w:t>.</w:t>
      </w:r>
    </w:p>
    <w:p w14:paraId="0EBE7608" w14:textId="7D2BB473" w:rsidR="00430DA4" w:rsidRPr="005F62F4" w:rsidRDefault="00430DA4" w:rsidP="00430DA4">
      <w:pPr>
        <w:pStyle w:val="Para"/>
      </w:pPr>
      <w:r w:rsidRPr="005F62F4">
        <w:t xml:space="preserve">The results of the search strategy described above </w:t>
      </w:r>
      <w:r w:rsidR="00E06F1D" w:rsidRPr="005F62F4">
        <w:t>were</w:t>
      </w:r>
      <w:r w:rsidRPr="005F62F4">
        <w:t xml:space="preserve"> supplemented by systematic reviews and meta-analyses sourced by another method – </w:t>
      </w:r>
      <w:r w:rsidR="00EA7D9E" w:rsidRPr="005F62F4">
        <w:t xml:space="preserve">for example, </w:t>
      </w:r>
      <w:r w:rsidRPr="005F62F4">
        <w:t>provided by sponsors and other stakeholders – that also met the criteria above.</w:t>
      </w:r>
    </w:p>
    <w:p w14:paraId="3BC2D863" w14:textId="08B0604C" w:rsidR="00430DA4" w:rsidRPr="005F62F4" w:rsidRDefault="00430DA4" w:rsidP="00430DA4">
      <w:pPr>
        <w:pStyle w:val="Para"/>
      </w:pPr>
      <w:r w:rsidRPr="005F62F4">
        <w:t xml:space="preserve">Some studies not meeting all criteria </w:t>
      </w:r>
      <w:r w:rsidR="00E06F1D" w:rsidRPr="005F62F4">
        <w:t>we</w:t>
      </w:r>
      <w:r w:rsidRPr="005F62F4">
        <w:t>re included where they provide</w:t>
      </w:r>
      <w:r w:rsidR="00E06F1D" w:rsidRPr="005F62F4">
        <w:t>d</w:t>
      </w:r>
      <w:r w:rsidRPr="005F62F4">
        <w:t xml:space="preserve"> relevant information, particularly in contexts where information </w:t>
      </w:r>
      <w:r w:rsidR="00E06F1D" w:rsidRPr="005F62F4">
        <w:t>wa</w:t>
      </w:r>
      <w:r w:rsidRPr="005F62F4">
        <w:t xml:space="preserve">s lacking and/or where findings </w:t>
      </w:r>
      <w:r w:rsidR="00E06F1D" w:rsidRPr="005F62F4">
        <w:t>we</w:t>
      </w:r>
      <w:r w:rsidRPr="005F62F4">
        <w:t>re descriptive in nature (</w:t>
      </w:r>
      <w:proofErr w:type="gramStart"/>
      <w:r w:rsidRPr="005F62F4">
        <w:t>e.g.</w:t>
      </w:r>
      <w:proofErr w:type="gramEnd"/>
      <w:r w:rsidRPr="005F62F4">
        <w:t xml:space="preserve"> identifying </w:t>
      </w:r>
      <w:r w:rsidR="00E06F1D" w:rsidRPr="005F62F4">
        <w:t>situations</w:t>
      </w:r>
      <w:r w:rsidRPr="005F62F4">
        <w:t xml:space="preserve"> in which the use of </w:t>
      </w:r>
      <w:r w:rsidR="00286835" w:rsidRPr="005F62F4">
        <w:t xml:space="preserve">surgical guides and </w:t>
      </w:r>
      <w:proofErr w:type="spellStart"/>
      <w:r w:rsidR="00286835" w:rsidRPr="005F62F4">
        <w:t>biomodels</w:t>
      </w:r>
      <w:proofErr w:type="spellEnd"/>
      <w:r w:rsidR="00286835" w:rsidRPr="005F62F4">
        <w:t xml:space="preserve"> </w:t>
      </w:r>
      <w:r w:rsidRPr="005F62F4">
        <w:t>have been reported).</w:t>
      </w:r>
    </w:p>
    <w:p w14:paraId="2643EE53" w14:textId="77777777" w:rsidR="008708CA" w:rsidRDefault="008708CA">
      <w:pPr>
        <w:spacing w:after="200" w:line="276" w:lineRule="auto"/>
        <w:rPr>
          <w:rFonts w:eastAsiaTheme="majorEastAsia" w:cstheme="majorBidi"/>
          <w:b/>
          <w:bCs/>
          <w:color w:val="005A9F" w:themeColor="text2"/>
          <w:sz w:val="32"/>
          <w:szCs w:val="28"/>
        </w:rPr>
      </w:pPr>
      <w:bookmarkStart w:id="308" w:name="_Toc120178362"/>
      <w:r>
        <w:br w:type="page"/>
      </w:r>
    </w:p>
    <w:p w14:paraId="3CF432BE" w14:textId="27B001DB" w:rsidR="00430DA4" w:rsidRPr="005F62F4" w:rsidRDefault="00430DA4" w:rsidP="004F2931">
      <w:pPr>
        <w:pStyle w:val="HeadingA2"/>
      </w:pPr>
      <w:r w:rsidRPr="005F62F4">
        <w:lastRenderedPageBreak/>
        <w:t>Key findings</w:t>
      </w:r>
      <w:bookmarkEnd w:id="308"/>
    </w:p>
    <w:p w14:paraId="7F4B889F" w14:textId="006EAF90" w:rsidR="00430DA4" w:rsidRPr="005F62F4" w:rsidRDefault="00430DA4" w:rsidP="00430DA4">
      <w:pPr>
        <w:pStyle w:val="Para"/>
        <w:rPr>
          <w:lang w:eastAsia="en-AU"/>
        </w:rPr>
      </w:pPr>
      <w:r w:rsidRPr="005F62F4">
        <w:t xml:space="preserve">Our search identified </w:t>
      </w:r>
      <w:r w:rsidR="00FA6593" w:rsidRPr="005F62F4">
        <w:t>23</w:t>
      </w:r>
      <w:r w:rsidRPr="005F62F4">
        <w:t xml:space="preserve">systematic reviews and meta-analyses in a range of clinical contexts for consideration (14 through the </w:t>
      </w:r>
      <w:proofErr w:type="spellStart"/>
      <w:r w:rsidRPr="005F62F4">
        <w:t>MedLine</w:t>
      </w:r>
      <w:proofErr w:type="spellEnd"/>
      <w:r w:rsidRPr="005F62F4">
        <w:t xml:space="preserve"> search, with the remainder from other sources)</w:t>
      </w:r>
      <w:r w:rsidRPr="005F62F4">
        <w:rPr>
          <w:lang w:eastAsia="en-AU"/>
        </w:rPr>
        <w:t xml:space="preserve">. The highest proportion of studies related to surgery in the oral and maxillofacial region, with the use of surgical guides and/or </w:t>
      </w:r>
      <w:proofErr w:type="spellStart"/>
      <w:r w:rsidRPr="005F62F4">
        <w:rPr>
          <w:lang w:eastAsia="en-AU"/>
        </w:rPr>
        <w:t>biomodels</w:t>
      </w:r>
      <w:proofErr w:type="spellEnd"/>
      <w:r w:rsidRPr="005F62F4">
        <w:rPr>
          <w:lang w:eastAsia="en-AU"/>
        </w:rPr>
        <w:t xml:space="preserve"> for the placement of dental implants most common </w:t>
      </w:r>
      <w:r w:rsidR="006D40EC" w:rsidRPr="005F62F4">
        <w:rPr>
          <w:lang w:eastAsia="en-AU"/>
        </w:rPr>
        <w:t>among</w:t>
      </w:r>
      <w:r w:rsidRPr="005F62F4">
        <w:rPr>
          <w:lang w:eastAsia="en-AU"/>
        </w:rPr>
        <w:t xml:space="preserve"> these.</w:t>
      </w:r>
    </w:p>
    <w:p w14:paraId="0FC547A8" w14:textId="77777777" w:rsidR="00430DA4" w:rsidRPr="005F62F4" w:rsidRDefault="00430DA4" w:rsidP="00430DA4">
      <w:pPr>
        <w:pStyle w:val="Para"/>
      </w:pPr>
      <w:r w:rsidRPr="005F62F4">
        <w:t>A summary of key findings from the review of synthesised literature is presented below by anatomical and/or clinical context.</w:t>
      </w:r>
    </w:p>
    <w:p w14:paraId="1E5AB04E" w14:textId="77777777" w:rsidR="00430DA4" w:rsidRPr="005F62F4" w:rsidRDefault="00430DA4" w:rsidP="004F2931">
      <w:pPr>
        <w:pStyle w:val="HeadingA3"/>
      </w:pPr>
      <w:bookmarkStart w:id="309" w:name="_Toc120178363"/>
      <w:r w:rsidRPr="005F62F4">
        <w:t>Dental implants</w:t>
      </w:r>
      <w:bookmarkEnd w:id="309"/>
    </w:p>
    <w:p w14:paraId="182A63A0" w14:textId="54E3C276" w:rsidR="00430DA4" w:rsidRPr="005F62F4" w:rsidRDefault="00430DA4" w:rsidP="00430DA4">
      <w:pPr>
        <w:pStyle w:val="Para"/>
      </w:pPr>
      <w:r w:rsidRPr="005F62F4">
        <w:rPr>
          <w:lang w:eastAsia="en-AU"/>
        </w:rPr>
        <w:t xml:space="preserve">For studies about dental implants, clinical performance associated with the used of surgical guides was assessed through implant survival rates, marginal bone loss and complications. Accuracy of implant placement was also frequently investigated. </w:t>
      </w:r>
      <w:r w:rsidRPr="005F62F4">
        <w:t>Other outcomes reported include morbidity, patient satisfaction and costs.</w:t>
      </w:r>
    </w:p>
    <w:p w14:paraId="2D3CA8F3" w14:textId="7A33DE4E" w:rsidR="00430DA4" w:rsidRPr="005F62F4" w:rsidRDefault="00430DA4" w:rsidP="00430DA4">
      <w:pPr>
        <w:pStyle w:val="Para"/>
      </w:pPr>
      <w:r w:rsidRPr="005F62F4">
        <w:rPr>
          <w:lang w:eastAsia="en-AU"/>
        </w:rPr>
        <w:t xml:space="preserve">Accuracy of implant placement was measured through angle deviation, </w:t>
      </w:r>
      <w:r w:rsidRPr="005F62F4">
        <w:t xml:space="preserve">coronal deviation, apical deviation and depth deviation. </w:t>
      </w:r>
      <w:r w:rsidRPr="005F62F4">
        <w:fldChar w:fldCharType="begin" w:fldLock="1"/>
      </w:r>
      <w:r w:rsidRPr="005F62F4">
        <w:instrText>ADDIN CSL_CITATION {"citationItems":[{"id":"ITEM-1","itemData":{"DOI":"0.5037/jomr.2018.9101","author":[{"dropping-particle":"","family":"Seo","given":"C","non-dropping-particle":"","parse-names":false,"suffix":""},{"dropping-particle":"","family":"Juodzbalys","given":"G","non-dropping-particle":"","parse-names":false,"suffix":""}],"container-title":"Journal of Oral &amp; Maxillofacial Research","id":"ITEM-1","issue":"1","issued":{"date-parts":[["2018"]]},"page":"e1","title":"Accuracy of guided surgery via stereolithographic mucosa-supported surgical guide in implant surgery for edentulous patient: a systematic review","type":"article-journal","volume":"9"},"uris":["http://www.mendeley.com/documents/?uuid=f79602de-f7fd-4621-aa03-8ee2693d4489"]}],"mendeley":{"formattedCitation":"(Seo and Juodzbalys 2018)","manualFormatting":"Seo and Juodzbalys (2018)","plainTextFormattedCitation":"(Seo and Juodzbalys 2018)","previouslyFormattedCitation":"(Seo and Juodzbalys 2018)"},"properties":{"noteIndex":0},"schema":"https://github.com/citation-style-language/schema/raw/master/csl-citation.json"}</w:instrText>
      </w:r>
      <w:r w:rsidRPr="005F62F4">
        <w:fldChar w:fldCharType="separate"/>
      </w:r>
      <w:r w:rsidRPr="005F62F4">
        <w:rPr>
          <w:noProof/>
        </w:rPr>
        <w:t>Seo and Juodzbalys (2018)</w:t>
      </w:r>
      <w:r w:rsidRPr="005F62F4">
        <w:fldChar w:fldCharType="end"/>
      </w:r>
      <w:r w:rsidRPr="005F62F4">
        <w:t xml:space="preserve"> compared only planned and actual implant placement data (rather than a comparison with, for example, freehand techniques). Similarly, </w:t>
      </w:r>
      <w:r w:rsidRPr="005F62F4">
        <w:fldChar w:fldCharType="begin" w:fldLock="1"/>
      </w:r>
      <w:r w:rsidRPr="005F62F4">
        <w:instrText>ADDIN CSL_CITATION {"citationItems":[{"id":"ITEM-1","itemData":{"DOI":"10.1016/j.bjoms.2019.12.007","author":[{"dropping-particle":"","family":"Walker-Finch","given":"K","non-dropping-particle":"","parse-names":false,"suffix":""},{"dropping-particle":"","family":"Ucer","given":"C","non-dropping-particle":"","parse-names":false,"suffix":""}],"container-title":"British Journal of Oral and Maxillofacial Surgery","id":"ITEM-1","issued":{"date-parts":[["2020"]]},"page":"268-276","title":"Five-year survival rates for implants placed using digitally-designed static surgical guides: a systematic review","type":"article-journal","volume":"58"},"uris":["http://www.mendeley.com/documents/?uuid=ba3a127d-bef5-40b4-b9ed-76d38719b539"]}],"mendeley":{"formattedCitation":"(Walker-Finch and Ucer 2020)","manualFormatting":"Walker-Finch and Ucer (2020)","plainTextFormattedCitation":"(Walker-Finch and Ucer 2020)","previouslyFormattedCitation":"(Walker-Finch and Ucer 2020)"},"properties":{"noteIndex":0},"schema":"https://github.com/citation-style-language/schema/raw/master/csl-citation.json"}</w:instrText>
      </w:r>
      <w:r w:rsidRPr="005F62F4">
        <w:fldChar w:fldCharType="separate"/>
      </w:r>
      <w:r w:rsidRPr="005F62F4">
        <w:rPr>
          <w:noProof/>
        </w:rPr>
        <w:t>Walker-Finch and Ucer (2020)</w:t>
      </w:r>
      <w:r w:rsidRPr="005F62F4">
        <w:fldChar w:fldCharType="end"/>
      </w:r>
      <w:r w:rsidRPr="005F62F4">
        <w:t xml:space="preserve"> found that there are several systematic reviews which indicate that digitally</w:t>
      </w:r>
      <w:r w:rsidR="00AA5410">
        <w:t xml:space="preserve"> </w:t>
      </w:r>
      <w:r w:rsidRPr="005F62F4">
        <w:t>designed surgical guides reproduce the digitally planned position of the implant with adequate levels of accuracy.</w:t>
      </w:r>
    </w:p>
    <w:p w14:paraId="0B2A321F" w14:textId="40A81896" w:rsidR="00430DA4" w:rsidRPr="005F62F4" w:rsidRDefault="00430DA4" w:rsidP="00430DA4">
      <w:pPr>
        <w:pStyle w:val="Para"/>
      </w:pPr>
      <w:r w:rsidRPr="005F62F4">
        <w:fldChar w:fldCharType="begin" w:fldLock="1"/>
      </w:r>
      <w:r w:rsidRPr="005F62F4">
        <w:instrText>ADDIN CSL_CITATION {"citationItems":[{"id":"ITEM-1","itemData":{"DOI":"10.11607/jomi.7942","ISBN":"4201809226","ISSN":"08822786","PMID":"33270056","abstract":"PURPOSE: To compare the accuracy of different modalities of implant placement-static fully guided, static half-guided, and freehand surgery-through meta-analysis. MATERIALS AND METHODS: A thorough electronic and manual systematic search was conducted to identify applicable randomized clinical trials (RCTs) for evaluating the implant positioning accuracy between different static implant navigation surgeries. The coronal and apical horizontal deviation, vertical deviation, apical angle, and chair time were estimated as the weighted mean differences and standard deviation with confidence intervals. A P value of .05 was set for statistical significance. RESULTS: Based on the 10 RCTs that met the inclusion criteria for the quantitative analyses, results from the meta-analyses demonstrated the following: (1) a coronal deviation significant difference favoring the fully guided approach compared with the half-guided (weighted mean difference of -0.51 mm) and freehand approaches (weighted mean difference of -1.18 mm); (2) a significant weighted mean difference between the fully guided and half-guided approaches in relation to the apical deviation (weighted mean difference of -0.75 mm); (3) the vertical comparison did not yield significant weighted mean differences between the fully guided and half-guided techniques (-0.23 mm) and lacked statistically significant difference between the fully guided and freehand techniques (weighted mean difference of -0.17 mm); (4) the apical angle deviation demonstrated a significant weighted mean difference in favor of the fully guided approach compared with the half-guided group (weighted mean difference of -3.63 degrees); and (5) the comparison of chair time between the investigated groups did not exhibit a significant difference in any of the techniques. CONCLUSION: Static fully guided implant navigation surgery has the highest accuracy for transmitting the presurgical positioning planning to the patient, followed by static half-guided surgery, while the freehand implant placement provides the least accuracy.","author":[{"dropping-particle":"","family":"Gargallo-Albiol","given":"Jordi","non-dropping-particle":"","parse-names":false,"suffix":""},{"dropping-particle":"","family":"Barootchi","given":"Shayan","non-dropping-particle":"","parse-names":false,"suffix":""},{"dropping-particle":"","family":"Marqués-Guasch","given":"Jordi","non-dropping-particle":"","parse-names":false,"suffix":""},{"dropping-particle":"","family":"Wang","given":"Hom-Lay","non-dropping-particle":"","parse-names":false,"suffix":""}],"container-title":"The International Journal of Oral &amp; Maxillofacial Implants","id":"ITEM-1","issue":"6","issued":{"date-parts":[["2020"]]},"page":"1159-1169","title":"Fully guided versus half-guided and freehand implant placement: systematic review and meta-analysis","type":"article-journal","volume":"35"},"uris":["http://www.mendeley.com/documents/?uuid=beed9957-8026-45f9-a97a-0d21731bb9c3"]}],"mendeley":{"formattedCitation":"(Gargallo-Albiol et al. 2020)","manualFormatting":"Gargallo-Albiol et al. (2020)","plainTextFormattedCitation":"(Gargallo-Albiol et al. 2020)","previouslyFormattedCitation":"(Gargallo-Albiol et al. 2020)"},"properties":{"noteIndex":0},"schema":"https://github.com/citation-style-language/schema/raw/master/csl-citation.json"}</w:instrText>
      </w:r>
      <w:r w:rsidRPr="005F62F4">
        <w:fldChar w:fldCharType="separate"/>
      </w:r>
      <w:r w:rsidRPr="005F62F4">
        <w:rPr>
          <w:noProof/>
        </w:rPr>
        <w:t>Gargallo-Albiol et al. (2020)</w:t>
      </w:r>
      <w:r w:rsidRPr="005F62F4">
        <w:fldChar w:fldCharType="end"/>
      </w:r>
      <w:r w:rsidRPr="005F62F4">
        <w:t xml:space="preserve"> found that half-guided surgery was more accurate than freehand implant placement, and that </w:t>
      </w:r>
      <w:proofErr w:type="gramStart"/>
      <w:r w:rsidRPr="005F62F4">
        <w:t>fully-guided</w:t>
      </w:r>
      <w:proofErr w:type="gramEnd"/>
      <w:r w:rsidRPr="005F62F4">
        <w:t xml:space="preserve"> placement was more accurate again. Similarly </w:t>
      </w:r>
      <w:r w:rsidRPr="005F62F4">
        <w:fldChar w:fldCharType="begin" w:fldLock="1"/>
      </w:r>
      <w:r w:rsidRPr="005F62F4">
        <w:instrText>ADDIN CSL_CITATION {"citationItems":[{"id":"ITEM-1","itemData":{"DOI":"10.1111/clr.13635","ISBN":"4201913139","ISSN":"16000501","PMID":"32654230","abstract":"Objective: To analyze the outcomes of static computer-aided implant placement (sCAIP) compared to partially guided (PGIP) and free-handed (FHIP) implant placement. Material and Methods: This study was registered in PROSPERO (CRD42019131397). A comprehensive literature search was performed by two independent examiners. Only randomized controlled trials (RCTs) were selected. Treatment modalities included sCAIP, PGIP, and FHIP. Data pertaining to the outcomes of interest were extracted. Random-effects meta-analyses were feasible for a subset of outcomes. Results: From an initial list of 2,870 records, fourteen articles for a total of ten RCTs were selected. Data from 7 of these studies allowed for the conduction of three meta-analyses comparing accuracy of implant placement across modalities. Survival rate up to 12 months post-loading was high (&gt;98%) and comparable between treatments (low-quality evidence). No tangible differences in terms of patient perception of intra- or postoperative discomfort were observed (low-quality evidence). Quantitative analyses revealed significantly lower angular (MD = 4.41°, 95% CI 3.99–4.83, p &lt;.00001), coronal (MD = 0.65 mm, 95% CI 0.50–0.79, p &lt;.00001), and apical (MD = 1.13 mm, 95% CI 0.92–1.34, p &lt;.00001) deviation values for sCAIP as compared to FHIP (8 studies, 383 patients, 878 implants, high-quality evidence). A similar discrepancy, in favor of sCAIP, was observed for angular deviation only as compared to PGIP (MD = 2.11°, 95% CI 1.06–3.16, p &lt;.00001). Conclusions: sCAIP is associated with superior accuracy compared to PGIP and FHIP.","author":[{"dropping-particle":"","family":"Tattan","given":"Mustafa","non-dropping-particle":"","parse-names":false,"suffix":""},{"dropping-particle":"","family":"Chambrone","given":"Leandro","non-dropping-particle":"","parse-names":false,"suffix":""},{"dropping-particle":"","family":"González-Martín","given":"Oscar","non-dropping-particle":"","parse-names":false,"suffix":""},{"dropping-particle":"","family":"Avila-Ortiz","given":"Gustavo","non-dropping-particle":"","parse-names":false,"suffix":""}],"container-title":"Clinical Oral Implants Research","id":"ITEM-1","issue":"10","issued":{"date-parts":[["2020"]]},"page":"889-916","title":"Static computer-aided, partially guided, and free-handed implant placement: A systematic review and meta-analysis of randomized controlled trials","type":"article-journal","volume":"31"},"uris":["http://www.mendeley.com/documents/?uuid=4da4b88c-20de-4290-a950-8b6bfb8008ca"]}],"mendeley":{"formattedCitation":"(Tattan et al. 2020)","manualFormatting":"Tattan et al. (2020)","plainTextFormattedCitation":"(Tattan et al. 2020)","previouslyFormattedCitation":"(Tattan et al. 2020)"},"properties":{"noteIndex":0},"schema":"https://github.com/citation-style-language/schema/raw/master/csl-citation.json"}</w:instrText>
      </w:r>
      <w:r w:rsidRPr="005F62F4">
        <w:fldChar w:fldCharType="separate"/>
      </w:r>
      <w:r w:rsidRPr="005F62F4">
        <w:rPr>
          <w:noProof/>
        </w:rPr>
        <w:t>Tattan et al. (2020)</w:t>
      </w:r>
      <w:r w:rsidRPr="005F62F4">
        <w:fldChar w:fldCharType="end"/>
      </w:r>
      <w:r w:rsidRPr="005F62F4">
        <w:t xml:space="preserve"> found that static computer-aided implant placement resulted in better accuracy than freehand techniques.</w:t>
      </w:r>
    </w:p>
    <w:p w14:paraId="6CD17972" w14:textId="740B7FEA" w:rsidR="00430DA4" w:rsidRPr="005F62F4" w:rsidRDefault="00430DA4" w:rsidP="00430DA4">
      <w:pPr>
        <w:pStyle w:val="Para"/>
      </w:pPr>
      <w:r w:rsidRPr="005F62F4">
        <w:fldChar w:fldCharType="begin" w:fldLock="1"/>
      </w:r>
      <w:r w:rsidR="009A43DD" w:rsidRPr="005F62F4">
        <w:instrText>ADDIN CSL_CITATION {"citationItems":[{"id":"ITEM-1","itemData":{"DOI":"10.2186/jpr.JPR_D_20_00184","ISSN":"18831958","PMID":"33504723","abstract":"Purpose: To review the current clinical studies regarding the accuracy of implant computer-guided surgery in partially edentulous patients and investigate potential influencing factors. Study selection: Electronic searches on the PubMed and Cochrane Central Register of Controlled Trials databases, and subsequent manual searches were performed. Two reviewers selected the studies following our inclusion and exclusion criteria. Qualitative review and meta-analysis of the implant placement accuracy were performed to analyze potential influencing factors. Angular deviation, coronal deviation, apical deviation, and depth deviation were evaluated as the accuracy outcomes. Results: Eighteen studies were included in this systematic review, including six randomized controlled trials, nine prospective studies, and three retrospective clinical studies. A total of 1317 implants placed in 642 partially edentulous patients were reviewed. Eight studies were evaluated using meta-analysis. Fully guided surgery showed statistically higher accuracy in angular (P &lt;0.001), coronal (P &lt;0.001), and apical deviation (P &lt;0.05) compared with pilot-drill guided surgery. A statistically significant difference (P &lt;0.001) was also observed in coronal deviation between the bounded edentulous (BES) and distal extension spaces (DES). A significantly lower angular deviation (P &lt;0.001) was found in implants placed using computer-aided design/computer-aided manufacturing (CAD/CAM) compared to the conventional surgical guides. Conclusion: The edentulous space type, surgical guide manufacturing procedure, and guided surgery protocol can influence the accuracy of computer-guided surgery in partially edentulous patients. Higher accuracy was found when the implants were placed in BES, with CAD/CAM manufactured surgical guides, using a fully guided surgery protocol.","author":[{"dropping-particle":"","family":"Putra","given":"Ramadhan Hardani","non-dropping-particle":"","parse-names":false,"suffix":""},{"dropping-particle":"","family":"Yoda","given":"Nobuhiro","non-dropping-particle":"","parse-names":false,"suffix":""},{"dropping-particle":"","family":"Astuti","given":"Eha Renwi","non-dropping-particle":"","parse-names":false,"suffix":""},{"dropping-particle":"","family":"Sasaki","given":"Keiichi","non-dropping-particle":"","parse-names":false,"suffix":""}],"container-title":"Journal of Prosthodontic Research","id":"ITEM-1","issue":"1","issued":{"date-parts":[["2022"]]},"page":"29-39","title":"The accuracy of implant placement with computer-guided surgery in partially edentulous patients and possible influencing factors: a systematic review and meta-analysis","type":"article-journal","volume":"66"},"uris":["http://www.mendeley.com/documents/?uuid=f03441fa-f49b-4a95-972a-b4edc6c98154"]}],"mendeley":{"formattedCitation":"(Putra et al. 2022)","manualFormatting":"Putra et al. (2022)","plainTextFormattedCitation":"(Putra et al. 2022)","previouslyFormattedCitation":"(Putra et al. 2022)"},"properties":{"noteIndex":0},"schema":"https://github.com/citation-style-language/schema/raw/master/csl-citation.json"}</w:instrText>
      </w:r>
      <w:r w:rsidRPr="005F62F4">
        <w:fldChar w:fldCharType="separate"/>
      </w:r>
      <w:r w:rsidRPr="005F62F4">
        <w:rPr>
          <w:noProof/>
        </w:rPr>
        <w:t>Putra et al. (2022)</w:t>
      </w:r>
      <w:r w:rsidRPr="005F62F4">
        <w:fldChar w:fldCharType="end"/>
      </w:r>
      <w:r w:rsidRPr="005F62F4">
        <w:t xml:space="preserve"> found a significant difference in mean angular deviation between groups using computer-aided designed and manufactured surgical guides and those using conventional surgical guides, but not in coronal and apical deviations. The authors also found significant differences in accuracy (mean angular deviation, coronal deviation, and apical deviation) between pilot-drill (where a surgical guide was used only in the initial drill of the osteotomy) and </w:t>
      </w:r>
      <w:proofErr w:type="gramStart"/>
      <w:r w:rsidRPr="005F62F4">
        <w:t>fully</w:t>
      </w:r>
      <w:r w:rsidR="00F41C42" w:rsidRPr="005F62F4">
        <w:t>-</w:t>
      </w:r>
      <w:r w:rsidRPr="005F62F4">
        <w:t>guided</w:t>
      </w:r>
      <w:proofErr w:type="gramEnd"/>
      <w:r w:rsidRPr="005F62F4">
        <w:t xml:space="preserve"> surgery protocols (with the surgical guide used to guide osteotomy and implant placement).</w:t>
      </w:r>
    </w:p>
    <w:p w14:paraId="3B2CEE5E" w14:textId="63C044C0" w:rsidR="00430DA4" w:rsidRPr="005F62F4" w:rsidRDefault="00430DA4" w:rsidP="00430DA4">
      <w:pPr>
        <w:pStyle w:val="Para"/>
      </w:pPr>
      <w:r w:rsidRPr="005F62F4">
        <w:t xml:space="preserve">It should be noted that the reviews highlighted a number of factors which can impact on the accuracy of implant placement including bone density, mucosal thickness, surgical techniques (e.g. use of use of screws to fix the surgical template), type of jaw, smoking habits, implant length </w:t>
      </w:r>
      <w:r w:rsidRPr="005F62F4">
        <w:fldChar w:fldCharType="begin" w:fldLock="1"/>
      </w:r>
      <w:r w:rsidRPr="005F62F4">
        <w:instrText>ADDIN CSL_CITATION {"citationItems":[{"id":"ITEM-1","itemData":{"DOI":"0.5037/jomr.2018.9101","author":[{"dropping-particle":"","family":"Seo","given":"C","non-dropping-particle":"","parse-names":false,"suffix":""},{"dropping-particle":"","family":"Juodzbalys","given":"G","non-dropping-particle":"","parse-names":false,"suffix":""}],"container-title":"Journal of Oral &amp; Maxillofacial Research","id":"ITEM-1","issue":"1","issued":{"date-parts":[["2018"]]},"page":"e1","title":"Accuracy of guided surgery via stereolithographic mucosa-supported surgical guide in implant surgery for edentulous patient: a systematic review","type":"article-journal","volume":"9"},"uris":["http://www.mendeley.com/documents/?uuid=f79602de-f7fd-4621-aa03-8ee2693d4489"]}],"mendeley":{"formattedCitation":"(Seo and Juodzbalys 2018)","plainTextFormattedCitation":"(Seo and Juodzbalys 2018)","previouslyFormattedCitation":"(Seo and Juodzbalys 2018)"},"properties":{"noteIndex":0},"schema":"https://github.com/citation-style-language/schema/raw/master/csl-citation.json"}</w:instrText>
      </w:r>
      <w:r w:rsidRPr="005F62F4">
        <w:fldChar w:fldCharType="separate"/>
      </w:r>
      <w:r w:rsidRPr="005F62F4">
        <w:rPr>
          <w:noProof/>
        </w:rPr>
        <w:t>(Seo and Juodzbalys 2018)</w:t>
      </w:r>
      <w:r w:rsidRPr="005F62F4">
        <w:fldChar w:fldCharType="end"/>
      </w:r>
      <w:r w:rsidRPr="005F62F4">
        <w:t xml:space="preserve">, the edentulous space, surgical guide manufacturing procedure and the guided surgery protocol </w:t>
      </w:r>
      <w:r w:rsidRPr="005F62F4">
        <w:fldChar w:fldCharType="begin" w:fldLock="1"/>
      </w:r>
      <w:r w:rsidR="009A43DD" w:rsidRPr="005F62F4">
        <w:instrText>ADDIN CSL_CITATION {"citationItems":[{"id":"ITEM-1","itemData":{"DOI":"10.2186/jpr.JPR_D_20_00184","ISSN":"18831958","PMID":"33504723","abstract":"Purpose: To review the current clinical studies regarding the accuracy of implant computer-guided surgery in partially edentulous patients and investigate potential influencing factors. Study selection: Electronic searches on the PubMed and Cochrane Central Register of Controlled Trials databases, and subsequent manual searches were performed. Two reviewers selected the studies following our inclusion and exclusion criteria. Qualitative review and meta-analysis of the implant placement accuracy were performed to analyze potential influencing factors. Angular deviation, coronal deviation, apical deviation, and depth deviation were evaluated as the accuracy outcomes. Results: Eighteen studies were included in this systematic review, including six randomized controlled trials, nine prospective studies, and three retrospective clinical studies. A total of 1317 implants placed in 642 partially edentulous patients were reviewed. Eight studies were evaluated using meta-analysis. Fully guided surgery showed statistically higher accuracy in angular (P &lt;0.001), coronal (P &lt;0.001), and apical deviation (P &lt;0.05) compared with pilot-drill guided surgery. A statistically significant difference (P &lt;0.001) was also observed in coronal deviation between the bounded edentulous (BES) and distal extension spaces (DES). A significantly lower angular deviation (P &lt;0.001) was found in implants placed using computer-aided design/computer-aided manufacturing (CAD/CAM) compared to the conventional surgical guides. Conclusion: The edentulous space type, surgical guide manufacturing procedure, and guided surgery protocol can influence the accuracy of computer-guided surgery in partially edentulous patients. Higher accuracy was found when the implants were placed in BES, with CAD/CAM manufactured surgical guides, using a fully guided surgery protocol.","author":[{"dropping-particle":"","family":"Putra","given":"Ramadhan Hardani","non-dropping-particle":"","parse-names":false,"suffix":""},{"dropping-particle":"","family":"Yoda","given":"Nobuhiro","non-dropping-particle":"","parse-names":false,"suffix":""},{"dropping-particle":"","family":"Astuti","given":"Eha Renwi","non-dropping-particle":"","parse-names":false,"suffix":""},{"dropping-particle":"","family":"Sasaki","given":"Keiichi","non-dropping-particle":"","parse-names":false,"suffix":""}],"container-title":"Journal of Prosthodontic Research","id":"ITEM-1","issue":"1","issued":{"date-parts":[["2022"]]},"page":"29-39","title":"The accuracy of implant placement with computer-guided surgery in partially edentulous patients and possible influencing factors: a systematic review and meta-analysis","type":"article-journal","volume":"66"},"uris":["http://www.mendeley.com/documents/?uuid=f03441fa-f49b-4a95-972a-b4edc6c98154"]}],"mendeley":{"formattedCitation":"(Putra et al. 2022)","plainTextFormattedCitation":"(Putra et al. 2022)","previouslyFormattedCitation":"(Putra et al. 2022)"},"properties":{"noteIndex":0},"schema":"https://github.com/citation-style-language/schema/raw/master/csl-citation.json"}</w:instrText>
      </w:r>
      <w:r w:rsidRPr="005F62F4">
        <w:fldChar w:fldCharType="separate"/>
      </w:r>
      <w:r w:rsidRPr="005F62F4">
        <w:rPr>
          <w:noProof/>
        </w:rPr>
        <w:t>(Putra et al. 2022)</w:t>
      </w:r>
      <w:r w:rsidRPr="005F62F4">
        <w:fldChar w:fldCharType="end"/>
      </w:r>
      <w:r w:rsidRPr="005F62F4">
        <w:t xml:space="preserve">, the quality and resolution of the </w:t>
      </w:r>
      <w:r w:rsidRPr="005F62F4">
        <w:lastRenderedPageBreak/>
        <w:t xml:space="preserve">CT scan, the impression technique, software used, the support available for the guide (e.g. tooth, mucosa or bone) and the position of the guide intraorally </w:t>
      </w:r>
      <w:r w:rsidRPr="005F62F4">
        <w:fldChar w:fldCharType="begin" w:fldLock="1"/>
      </w:r>
      <w:r w:rsidRPr="005F62F4">
        <w:instrText>ADDIN CSL_CITATION {"citationItems":[{"id":"ITEM-1","itemData":{"DOI":"10.1016/j.bjoms.2019.12.007","author":[{"dropping-particle":"","family":"Walker-Finch","given":"K","non-dropping-particle":"","parse-names":false,"suffix":""},{"dropping-particle":"","family":"Ucer","given":"C","non-dropping-particle":"","parse-names":false,"suffix":""}],"container-title":"British Journal of Oral and Maxillofacial Surgery","id":"ITEM-1","issued":{"date-parts":[["2020"]]},"page":"268-276","title":"Five-year survival rates for implants placed using digitally-designed static surgical guides: a systematic review","type":"article-journal","volume":"58"},"uris":["http://www.mendeley.com/documents/?uuid=ba3a127d-bef5-40b4-b9ed-76d38719b539"]}],"mendeley":{"formattedCitation":"(Walker-Finch and Ucer 2020)","plainTextFormattedCitation":"(Walker-Finch and Ucer 2020)","previouslyFormattedCitation":"(Walker-Finch and Ucer 2020)"},"properties":{"noteIndex":0},"schema":"https://github.com/citation-style-language/schema/raw/master/csl-citation.json"}</w:instrText>
      </w:r>
      <w:r w:rsidRPr="005F62F4">
        <w:fldChar w:fldCharType="separate"/>
      </w:r>
      <w:r w:rsidRPr="005F62F4">
        <w:rPr>
          <w:noProof/>
        </w:rPr>
        <w:t>(Walker-Finch and Ucer 2020)</w:t>
      </w:r>
      <w:r w:rsidRPr="005F62F4">
        <w:fldChar w:fldCharType="end"/>
      </w:r>
      <w:r w:rsidRPr="005F62F4">
        <w:t>.</w:t>
      </w:r>
    </w:p>
    <w:p w14:paraId="45C171FA" w14:textId="77777777" w:rsidR="00430DA4" w:rsidRPr="005F62F4" w:rsidRDefault="00430DA4" w:rsidP="00430DA4">
      <w:pPr>
        <w:pStyle w:val="Para"/>
      </w:pPr>
      <w:r w:rsidRPr="005F62F4">
        <w:t xml:space="preserve">There were similar non-inferior or positive findings between studies for the survival rates of implants placed using surgical guides. A systematic review by </w:t>
      </w:r>
      <w:r w:rsidRPr="005F62F4">
        <w:fldChar w:fldCharType="begin" w:fldLock="1"/>
      </w:r>
      <w:r w:rsidRPr="005F62F4">
        <w:instrText>ADDIN CSL_CITATION {"citationItems":[{"id":"ITEM-1","itemData":{"DOI":"10.1016/j.jormas.2020.10.010","ISSN":"24687855","PMID":"33161170","abstract":"In the present study, we tried to review the current literature, focusing on the effect of different guide systems on the accuracy of the digital surgical guides. A search in PubMed's database, without any date restriction, was performed using keywords based on the PICO question. 54 of the 2378 articles’ were chosen for full-text assessment. Articles were screened using predetermined inclusion and exclusion criteria. 21 articles were included in the qualitative assessment. Descriptive analysis was performed for numeric parameters using mean ± standard deviation. Six types of guide systems were used in the included articles. The commonest guide system was SimPlant (45.64%) followed by NobleGuide (23.00%). The pooled mean angle deviation, global coronal deviation, and global apical deviation were 3.43 mm (95% CI = 2.96, 3.90), 1.16 mm (95% CI = 0.98, 1.24) and 1.35 mm (95% CI = 1.11, 1.59), respectively. The maximum mean(SD) of angle deviation, global coronal deviation, and global apical deviation happened in Stent Cad 4.1(1.86) degrees, NobleGuide 1.86(0.56) mm, and OnDemend3d 1.56(1.48) mm, respectively. Although a final statement could not be made on which system is better, it is certain that the software affects the deviation and could be as important as the implant itself. Clinical significance: The choice of guide systems used for the production of static guide systems which was studied in this article could affect the accuracy of the implant placement procedure.","author":[{"dropping-particle":"","family":"Eftekhar Ashtiani","given":"R.","non-dropping-particle":"","parse-names":false,"suffix":""},{"dropping-particle":"","family":"Ghasemi","given":"Z.","non-dropping-particle":"","parse-names":false,"suffix":""},{"dropping-particle":"","family":"Nami","given":"M.","non-dropping-particle":"","parse-names":false,"suffix":""},{"dropping-particle":"","family":"Mighani","given":"F.","non-dropping-particle":"","parse-names":false,"suffix":""},{"dropping-particle":"","family":"Namdari","given":"M.","non-dropping-particle":"","parse-names":false,"suffix":""}],"container-title":"Journal of Stomatology, Oral and Maxillofacial Surgery","id":"ITEM-1","issue":"6","issued":{"date-parts":[["2021"]]},"page":"600-607","publisher":"Elsevier Masson SAS","title":"Accuracy of static digital surgical guides for dental implants based on the guide system: A systematic review","type":"article-journal","volume":"122"},"uris":["http://www.mendeley.com/documents/?uuid=c2fbc0a1-1580-4807-b300-7b1cde962270"]}],"mendeley":{"formattedCitation":"(Eftekhar Ashtiani et al. 2021)","manualFormatting":"Eftekhar Ashtiani et al. (2021)","plainTextFormattedCitation":"(Eftekhar Ashtiani et al. 2021)","previouslyFormattedCitation":"(Eftekhar Ashtiani et al. 2021)"},"properties":{"noteIndex":0},"schema":"https://github.com/citation-style-language/schema/raw/master/csl-citation.json"}</w:instrText>
      </w:r>
      <w:r w:rsidRPr="005F62F4">
        <w:fldChar w:fldCharType="separate"/>
      </w:r>
      <w:r w:rsidRPr="005F62F4">
        <w:rPr>
          <w:noProof/>
        </w:rPr>
        <w:t>Eftekhar Ashtiani et al. (2021)</w:t>
      </w:r>
      <w:r w:rsidRPr="005F62F4">
        <w:fldChar w:fldCharType="end"/>
      </w:r>
      <w:r w:rsidRPr="005F62F4">
        <w:t xml:space="preserve"> identified a study which found that the 5-year survival rate for implants placed with surgical guides is comparable to the survival rate for all implants (94.5%–100% guided implants compared to 95.6% survival rate for all implants), while other studies also indicated that the use of surgical guides does not negatively impact implant survival rates </w:t>
      </w:r>
      <w:r w:rsidRPr="005F62F4">
        <w:fldChar w:fldCharType="begin" w:fldLock="1"/>
      </w:r>
      <w:r w:rsidRPr="005F62F4">
        <w:instrText>ADDIN CSL_CITATION {"citationItems":[{"id":"ITEM-1","itemData":{"DOI":"10.1111/clr.13635","ISBN":"4201913139","ISSN":"16000501","PMID":"32654230","abstract":"Objective: To analyze the outcomes of static computer-aided implant placement (sCAIP) compared to partially guided (PGIP) and free-handed (FHIP) implant placement. Material and Methods: This study was registered in PROSPERO (CRD42019131397). A comprehensive literature search was performed by two independent examiners. Only randomized controlled trials (RCTs) were selected. Treatment modalities included sCAIP, PGIP, and FHIP. Data pertaining to the outcomes of interest were extracted. Random-effects meta-analyses were feasible for a subset of outcomes. Results: From an initial list of 2,870 records, fourteen articles for a total of ten RCTs were selected. Data from 7 of these studies allowed for the conduction of three meta-analyses comparing accuracy of implant placement across modalities. Survival rate up to 12 months post-loading was high (&gt;98%) and comparable between treatments (low-quality evidence). No tangible differences in terms of patient perception of intra- or postoperative discomfort were observed (low-quality evidence). Quantitative analyses revealed significantly lower angular (MD = 4.41°, 95% CI 3.99–4.83, p &lt;.00001), coronal (MD = 0.65 mm, 95% CI 0.50–0.79, p &lt;.00001), and apical (MD = 1.13 mm, 95% CI 0.92–1.34, p &lt;.00001) deviation values for sCAIP as compared to FHIP (8 studies, 383 patients, 878 implants, high-quality evidence). A similar discrepancy, in favor of sCAIP, was observed for angular deviation only as compared to PGIP (MD = 2.11°, 95% CI 1.06–3.16, p &lt;.00001). Conclusions: sCAIP is associated with superior accuracy compared to PGIP and FHIP.","author":[{"dropping-particle":"","family":"Tattan","given":"Mustafa","non-dropping-particle":"","parse-names":false,"suffix":""},{"dropping-particle":"","family":"Chambrone","given":"Leandro","non-dropping-particle":"","parse-names":false,"suffix":""},{"dropping-particle":"","family":"González-Martín","given":"Oscar","non-dropping-particle":"","parse-names":false,"suffix":""},{"dropping-particle":"","family":"Avila-Ortiz","given":"Gustavo","non-dropping-particle":"","parse-names":false,"suffix":""}],"container-title":"Clinical Oral Implants Research","id":"ITEM-1","issue":"10","issued":{"date-parts":[["2020"]]},"page":"889-916","title":"Static computer-aided, partially guided, and free-handed implant placement: A systematic review and meta-analysis of randomized controlled trials","type":"article-journal","volume":"31"},"uris":["http://www.mendeley.com/documents/?uuid=4da4b88c-20de-4290-a950-8b6bfb8008ca"]},{"id":"ITEM-2","itemData":{"DOI":"10.1016/j.bjoms.2019.12.007","author":[{"dropping-particle":"","family":"Walker-Finch","given":"K","non-dropping-particle":"","parse-names":false,"suffix":""},{"dropping-particle":"","family":"Ucer","given":"C","non-dropping-particle":"","parse-names":false,"suffix":""}],"container-title":"British Journal of Oral and Maxillofacial Surgery","id":"ITEM-2","issued":{"date-parts":[["2020"]]},"page":"268-276","title":"Five-year survival rates for implants placed using digitally-designed static surgical guides: a systematic review","type":"article-journal","volume":"58"},"uris":["http://www.mendeley.com/documents/?uuid=ba3a127d-bef5-40b4-b9ed-76d38719b539"]}],"mendeley":{"formattedCitation":"(Tattan et al. 2020; Walker-Finch and Ucer 2020)","plainTextFormattedCitation":"(Tattan et al. 2020; Walker-Finch and Ucer 2020)","previouslyFormattedCitation":"(Tattan et al. 2020; Walker-Finch and Ucer 2020)"},"properties":{"noteIndex":0},"schema":"https://github.com/citation-style-language/schema/raw/master/csl-citation.json"}</w:instrText>
      </w:r>
      <w:r w:rsidRPr="005F62F4">
        <w:fldChar w:fldCharType="separate"/>
      </w:r>
      <w:r w:rsidRPr="005F62F4">
        <w:rPr>
          <w:noProof/>
        </w:rPr>
        <w:t>(Tattan et al. 2020; Walker-Finch and Ucer 2020)</w:t>
      </w:r>
      <w:r w:rsidRPr="005F62F4">
        <w:fldChar w:fldCharType="end"/>
      </w:r>
      <w:r w:rsidRPr="005F62F4">
        <w:t xml:space="preserve">. In contrast to the findings of the studies described above, </w:t>
      </w:r>
      <w:r w:rsidRPr="005F62F4">
        <w:fldChar w:fldCharType="begin" w:fldLock="1"/>
      </w:r>
      <w:r w:rsidRPr="005F62F4">
        <w:instrText>ADDIN CSL_CITATION {"citationItems":[{"id":"ITEM-1","itemData":{"DOI":"10.1038/s41405-021-00086-1","ISSN":"2056807X","abstract":"Objective: The purpose of the systematic review and meta-analysis was to evaluate implant failure rates and their association with guided and free-hand implant placement techniques. Materials and methods: A literature search was conducted across PubMed, Medline via Ovid, Cochrane database, and Google Scholar. The search was completed in September 2020. Series of meta-analyses were conducted to compare implant failure rates with guided and free-hand techniques. Results: A total of 3387 articles were identified from the electronic search. After applying the inclusion criteria, eight articles were selected for qualitative assessment and four for quantitative synthesis (meta-analysis). The included studies had a risk ratio of 0.29 (95% CI: 0.15, 0.58), P &lt; 0.001 for the use of guided implant placement. Implant failure rates were affected by the different placement techniques indicated by the test for overall effect (Z = 3.53, P = 0.0004). The incidence of implant failure in guided surgery versus free-hand surgery was found to be 2.25% and 6.42%, respectively. Conclusion: Both guided and free-hand implant placement techniques resulted in a high implant survival rate. However, implant failure rates were almost three times higher in the free-hand implant placement category. A guided implant placement approach is recommended for a successful outcome.","author":[{"dropping-particle":"","family":"Abdelhay","given":"Nancy","non-dropping-particle":"","parse-names":false,"suffix":""},{"dropping-particle":"","family":"Prasad","given":"Soni","non-dropping-particle":"","parse-names":false,"suffix":""},{"dropping-particle":"","family":"Gibson","given":"Monica Prasad","non-dropping-particle":"","parse-names":false,"suffix":""}],"container-title":"BDJ Open","id":"ITEM-1","issue":"1","issued":{"date-parts":[["2021"]]},"page":"1-9","publisher":"Springer US","title":"Failure rates associated with guided versus non-guided dental implant placement: a systematic review and meta-analysis","type":"article-journal","volume":"7"},"uris":["http://www.mendeley.com/documents/?uuid=8d94bdba-fc3d-4f8b-a81c-b0e3c1d1a154"]}],"mendeley":{"formattedCitation":"(Abdelhay et al. 2021)","manualFormatting":"Abdelhay et al. (2021)","plainTextFormattedCitation":"(Abdelhay et al. 2021)","previouslyFormattedCitation":"(Abdelhay et al. 2021)"},"properties":{"noteIndex":0},"schema":"https://github.com/citation-style-language/schema/raw/master/csl-citation.json"}</w:instrText>
      </w:r>
      <w:r w:rsidRPr="005F62F4">
        <w:fldChar w:fldCharType="separate"/>
      </w:r>
      <w:r w:rsidRPr="005F62F4">
        <w:rPr>
          <w:noProof/>
        </w:rPr>
        <w:t>Abdelhay et al. (2021)</w:t>
      </w:r>
      <w:r w:rsidRPr="005F62F4">
        <w:fldChar w:fldCharType="end"/>
      </w:r>
      <w:r w:rsidRPr="005F62F4">
        <w:t xml:space="preserve"> reported that – while low across both groups – failure rates were almost 3 times higher in freehand implant placement compared with guided placement.</w:t>
      </w:r>
    </w:p>
    <w:p w14:paraId="293E57E4" w14:textId="5441BCED" w:rsidR="00430DA4" w:rsidRPr="005F62F4" w:rsidRDefault="00430DA4" w:rsidP="00430DA4">
      <w:pPr>
        <w:pStyle w:val="Para"/>
      </w:pPr>
      <w:r w:rsidRPr="005F62F4">
        <w:t xml:space="preserve">Complications were also explored as an outcome measure in several studies. While not directly assessing complications as an outcome, reviews by Walker-Finch and </w:t>
      </w:r>
      <w:proofErr w:type="spellStart"/>
      <w:r w:rsidRPr="005F62F4">
        <w:t>Ucer</w:t>
      </w:r>
      <w:proofErr w:type="spellEnd"/>
      <w:r w:rsidRPr="005F62F4">
        <w:t xml:space="preserve"> (2020) and </w:t>
      </w:r>
      <w:proofErr w:type="spellStart"/>
      <w:r w:rsidRPr="005F62F4">
        <w:t>Ashtiani</w:t>
      </w:r>
      <w:proofErr w:type="spellEnd"/>
      <w:r w:rsidRPr="005F62F4">
        <w:t xml:space="preserve"> et al. (2021) cited a published complication rate of 7% for dental implant placement using static surgical guides, with the most common complications being limited access and fracture of the surgical guide. However, no comparator was provided to define the complication rate for dental implant surgery without surgical guides or via other methods. Of the studies included in the systematic review by Walker-Finch and </w:t>
      </w:r>
      <w:proofErr w:type="spellStart"/>
      <w:r w:rsidRPr="005F62F4">
        <w:t>Ucer</w:t>
      </w:r>
      <w:proofErr w:type="spellEnd"/>
      <w:r w:rsidRPr="005F62F4">
        <w:t xml:space="preserve"> (2020), none reported any complications from the use of a guide. </w:t>
      </w:r>
      <w:r w:rsidRPr="005F62F4">
        <w:fldChar w:fldCharType="begin" w:fldLock="1"/>
      </w:r>
      <w:r w:rsidRPr="005F62F4">
        <w:instrText>ADDIN CSL_CITATION {"citationItems":[{"id":"ITEM-1","itemData":{"DOI":"10.1038/s41405-021-00086-1","ISSN":"2056807X","abstract":"Objective: The purpose of the systematic review and meta-analysis was to evaluate implant failure rates and their association with guided and free-hand implant placement techniques. Materials and methods: A literature search was conducted across PubMed, Medline via Ovid, Cochrane database, and Google Scholar. The search was completed in September 2020. Series of meta-analyses were conducted to compare implant failure rates with guided and free-hand techniques. Results: A total of 3387 articles were identified from the electronic search. After applying the inclusion criteria, eight articles were selected for qualitative assessment and four for quantitative synthesis (meta-analysis). The included studies had a risk ratio of 0.29 (95% CI: 0.15, 0.58), P &lt; 0.001 for the use of guided implant placement. Implant failure rates were affected by the different placement techniques indicated by the test for overall effect (Z = 3.53, P = 0.0004). The incidence of implant failure in guided surgery versus free-hand surgery was found to be 2.25% and 6.42%, respectively. Conclusion: Both guided and free-hand implant placement techniques resulted in a high implant survival rate. However, implant failure rates were almost three times higher in the free-hand implant placement category. A guided implant placement approach is recommended for a successful outcome.","author":[{"dropping-particle":"","family":"Abdelhay","given":"Nancy","non-dropping-particle":"","parse-names":false,"suffix":""},{"dropping-particle":"","family":"Prasad","given":"Soni","non-dropping-particle":"","parse-names":false,"suffix":""},{"dropping-particle":"","family":"Gibson","given":"Monica Prasad","non-dropping-particle":"","parse-names":false,"suffix":""}],"container-title":"BDJ Open","id":"ITEM-1","issue":"1","issued":{"date-parts":[["2021"]]},"page":"1-9","publisher":"Springer US","title":"Failure rates associated with guided versus non-guided dental implant placement: a systematic review and meta-analysis","type":"article-journal","volume":"7"},"uris":["http://www.mendeley.com/documents/?uuid=8d94bdba-fc3d-4f8b-a81c-b0e3c1d1a154"]}],"mendeley":{"formattedCitation":"(Abdelhay et al. 2021)","manualFormatting":"Abdelhay et al. (2021)","plainTextFormattedCitation":"(Abdelhay et al. 2021)","previouslyFormattedCitation":"(Abdelhay et al. 2021)"},"properties":{"noteIndex":0},"schema":"https://github.com/citation-style-language/schema/raw/master/csl-citation.json"}</w:instrText>
      </w:r>
      <w:r w:rsidRPr="005F62F4">
        <w:fldChar w:fldCharType="separate"/>
      </w:r>
      <w:r w:rsidRPr="005F62F4">
        <w:rPr>
          <w:noProof/>
        </w:rPr>
        <w:t>Abdelhay et al. (2021)</w:t>
      </w:r>
      <w:r w:rsidRPr="005F62F4">
        <w:fldChar w:fldCharType="end"/>
      </w:r>
      <w:r w:rsidRPr="005F62F4">
        <w:t xml:space="preserve"> reported reduced postoperative swelling, pain, and bleeding with guided compared to freehand implant placement. </w:t>
      </w:r>
      <w:r w:rsidRPr="005F62F4">
        <w:fldChar w:fldCharType="begin" w:fldLock="1"/>
      </w:r>
      <w:r w:rsidRPr="005F62F4">
        <w:instrText>ADDIN CSL_CITATION {"citationItems":[{"id":"ITEM-1","itemData":{"DOI":"10.1111/clr.13635","ISBN":"4201913139","ISSN":"16000501","PMID":"32654230","abstract":"Objective: To analyze the outcomes of static computer-aided implant placement (sCAIP) compared to partially guided (PGIP) and free-handed (FHIP) implant placement. Material and Methods: This study was registered in PROSPERO (CRD42019131397). A comprehensive literature search was performed by two independent examiners. Only randomized controlled trials (RCTs) were selected. Treatment modalities included sCAIP, PGIP, and FHIP. Data pertaining to the outcomes of interest were extracted. Random-effects meta-analyses were feasible for a subset of outcomes. Results: From an initial list of 2,870 records, fourteen articles for a total of ten RCTs were selected. Data from 7 of these studies allowed for the conduction of three meta-analyses comparing accuracy of implant placement across modalities. Survival rate up to 12 months post-loading was high (&gt;98%) and comparable between treatments (low-quality evidence). No tangible differences in terms of patient perception of intra- or postoperative discomfort were observed (low-quality evidence). Quantitative analyses revealed significantly lower angular (MD = 4.41°, 95% CI 3.99–4.83, p &lt;.00001), coronal (MD = 0.65 mm, 95% CI 0.50–0.79, p &lt;.00001), and apical (MD = 1.13 mm, 95% CI 0.92–1.34, p &lt;.00001) deviation values for sCAIP as compared to FHIP (8 studies, 383 patients, 878 implants, high-quality evidence). A similar discrepancy, in favor of sCAIP, was observed for angular deviation only as compared to PGIP (MD = 2.11°, 95% CI 1.06–3.16, p &lt;.00001). Conclusions: sCAIP is associated with superior accuracy compared to PGIP and FHIP.","author":[{"dropping-particle":"","family":"Tattan","given":"Mustafa","non-dropping-particle":"","parse-names":false,"suffix":""},{"dropping-particle":"","family":"Chambrone","given":"Leandro","non-dropping-particle":"","parse-names":false,"suffix":""},{"dropping-particle":"","family":"González-Martín","given":"Oscar","non-dropping-particle":"","parse-names":false,"suffix":""},{"dropping-particle":"","family":"Avila-Ortiz","given":"Gustavo","non-dropping-particle":"","parse-names":false,"suffix":""}],"container-title":"Clinical Oral Implants Research","id":"ITEM-1","issue":"10","issued":{"date-parts":[["2020"]]},"page":"889-916","title":"Static computer-aided, partially guided, and free-handed implant placement: A systematic review and meta-analysis of randomized controlled trials","type":"article-journal","volume":"31"},"uris":["http://www.mendeley.com/documents/?uuid=4da4b88c-20de-4290-a950-8b6bfb8008ca"]}],"mendeley":{"formattedCitation":"(Tattan et al. 2020)","manualFormatting":"Tattan et al. (2020)","plainTextFormattedCitation":"(Tattan et al. 2020)","previouslyFormattedCitation":"(Tattan et al. 2020)"},"properties":{"noteIndex":0},"schema":"https://github.com/citation-style-language/schema/raw/master/csl-citation.json"}</w:instrText>
      </w:r>
      <w:r w:rsidRPr="005F62F4">
        <w:fldChar w:fldCharType="separate"/>
      </w:r>
      <w:r w:rsidRPr="005F62F4">
        <w:rPr>
          <w:noProof/>
        </w:rPr>
        <w:t>Tattan et al. (2020)</w:t>
      </w:r>
      <w:r w:rsidRPr="005F62F4">
        <w:fldChar w:fldCharType="end"/>
      </w:r>
      <w:r w:rsidRPr="005F62F4">
        <w:t xml:space="preserve"> suggested that, although the quality of evidence was low, there were no tangible differences in patient perception of intra- or postoperative discomfort between static computer-aided implant placement (</w:t>
      </w:r>
      <w:proofErr w:type="spellStart"/>
      <w:r w:rsidRPr="005F62F4">
        <w:t>sCAIP</w:t>
      </w:r>
      <w:proofErr w:type="spellEnd"/>
      <w:r w:rsidRPr="005F62F4">
        <w:t>), partially guided implant placement and freehand techniques. The authors concluded that ‘patient perception of treatment in terms of reported intra- or postoperative discomfort seems to be highly dependent on procedural events associated with implant placement (</w:t>
      </w:r>
      <w:proofErr w:type="gramStart"/>
      <w:r w:rsidRPr="005F62F4">
        <w:t>i.e.</w:t>
      </w:r>
      <w:proofErr w:type="gramEnd"/>
      <w:r w:rsidRPr="005F62F4">
        <w:t xml:space="preserve"> raising a flap, utili</w:t>
      </w:r>
      <w:r w:rsidR="00227F48" w:rsidRPr="005F62F4">
        <w:t>s</w:t>
      </w:r>
      <w:r w:rsidRPr="005F62F4">
        <w:t>ing guide fixation screws, multiple surgical sites and concomitant ridge augmentation, among others) as opposed to the modality of placement itself’ (p. 913).</w:t>
      </w:r>
    </w:p>
    <w:p w14:paraId="57BE9806" w14:textId="6D34E674" w:rsidR="00430DA4" w:rsidRPr="005F62F4" w:rsidRDefault="00430DA4" w:rsidP="00430DA4">
      <w:pPr>
        <w:pStyle w:val="Para"/>
      </w:pPr>
      <w:r w:rsidRPr="005F62F4">
        <w:t xml:space="preserve">Two studies specifically compared the use of flapped and flapless techniques for dental implants, with the latter usually associated with the use of surgical guides. </w:t>
      </w:r>
      <w:r w:rsidRPr="005F62F4">
        <w:fldChar w:fldCharType="begin" w:fldLock="1"/>
      </w:r>
      <w:r w:rsidR="009A43DD" w:rsidRPr="005F62F4">
        <w:instrText>ADDIN CSL_CITATION {"citationItems":[{"id":"ITEM-1","itemData":{"DOI":"10.1111/prd.12440","ISSN":"16000757","PMID":"35906928","abstract":"Flapless and fully guided implant placement has the potential to maximize efficacy outcomes and at the same time to minimize surgical invasiveness. The aim of the current systematic review was to answer the following PICO question: “In adult human subjects undergoing dental implant placement (P), is minimally invasive flapless computer-aided fully guided (either dynamic or static computer-aided implant placement (sCAIP)) (I) superior to flapped conventional (free-handed implant placement (FHIP) or cast-based/drill partially guided implant placement (dPGIP)) surgery (C), in terms of efficacy, patient morbidity, long-term prognosis, and costs (O)?” Randomized clinical trials (RCTs) fulfilling specific inclusion criteria established to answer the PICO question were included. Two review authors independently searched for eligible studies, screened the titles and abstracts, performed full-text analysis, extracted the data from the published reports, and performed the risk of bias assessment. In cases of disagreement, a third review author took the final decision during ad hoc consensus meetings. The study results were summarized using random effects meta-analyses, which were based (wherever possible) on individual patient data (IPD). A total of 10 manuscripts reporting on five RCTs, involving a total of 124 participants and 449 implants, and comparing flapless sCAIP with flapped FHIP/cast-based partially guided implant placement (cPGIP), were included. There was no RCT analyzing flapless dynamic computer-aided implant placement (dCAIP) or flapped dPGIP. Intergroup meta-analyses indicated less depth deviation (difference in means (MD) = −0.28 mm; 95% confidence interval (CI): −0.59 to 0.03; moderate certainty), angular deviation (MD = −3.88 degrees; 95% CI: −7.00 to −0.77; high certainty), coronal (MD = −0.6 mm; 95% CI: −1.21 to 0.01; low certainty) and apical (MD = −0.75 mm; 95% CI: −1.43 to −0.07; moderate certainty) three-dimensional bodily deviations, postoperative pain (MD = −17.09 mm on the visual analogue scale (VAS); 95% CI: −33.38 to −0.80; low certainty), postoperative swelling (MD = −6.59 mm on the VAS; 95% CI: −19.03 to 5.85; very low certainty), intraoperative discomfort (MD = −9.36 mm on the VAS; 95% CI: −17.10 to −1.61) and surgery duration (MD = −24.28 minutes; 95% CI: −28.62 to −19.95) in flapless sCAIP than in flapped FHIP/cPGIP. Despite being more accurate than flapped FHIP/cPGIP, flapless sCAIP still resulted in deviations with respect to …","author":[{"dropping-particle":"","family":"Romandini","given":"Mario","non-dropping-particle":"","parse-names":false,"suffix":""},{"dropping-particle":"","family":"Ruales-Carrera","given":"Edwin","non-dropping-particle":"","parse-names":false,"suffix":""},{"dropping-particle":"","family":"Sadilina","given":"Sofya","non-dropping-particle":"","parse-names":false,"suffix":""},{"dropping-particle":"","family":"Hämmerle","given":"Christoph H.F.","non-dropping-particle":"","parse-names":false,"suffix":""},{"dropping-particle":"","family":"Sanz","given":"Mariano","non-dropping-particle":"","parse-names":false,"suffix":""}],"container-title":"Periodontology 2000","id":"ITEM-1","issued":{"date-parts":[["2022"]]},"page":"1-24","title":"Minimal invasiveness at dental implant placement: a systematic review with meta-analyses on flapless fully guided surgery","type":"article-journal","volume":"00"},"uris":["http://www.mendeley.com/documents/?uuid=55d04839-3cc0-4adf-948e-9760d3fa95e6"]}],"mendeley":{"formattedCitation":"(Romandini et al. 2022)","manualFormatting":"Romandini et al. (2022)","plainTextFormattedCitation":"(Romandini et al. 2022)","previouslyFormattedCitation":"(Romandini et al. 2022)"},"properties":{"noteIndex":0},"schema":"https://github.com/citation-style-language/schema/raw/master/csl-citation.json"}</w:instrText>
      </w:r>
      <w:r w:rsidRPr="005F62F4">
        <w:fldChar w:fldCharType="separate"/>
      </w:r>
      <w:r w:rsidRPr="005F62F4">
        <w:rPr>
          <w:noProof/>
        </w:rPr>
        <w:t>Romandini et al. (2022)</w:t>
      </w:r>
      <w:r w:rsidRPr="005F62F4">
        <w:fldChar w:fldCharType="end"/>
      </w:r>
      <w:r w:rsidRPr="005F62F4">
        <w:t xml:space="preserve"> found that while flapless </w:t>
      </w:r>
      <w:proofErr w:type="spellStart"/>
      <w:r w:rsidRPr="005F62F4">
        <w:t>sCAIP</w:t>
      </w:r>
      <w:proofErr w:type="spellEnd"/>
      <w:r w:rsidRPr="005F62F4">
        <w:t xml:space="preserve"> was more accurate than flapped implant placement, there were still inaccuracies in comparison to the planned implant position, and ‘flapless </w:t>
      </w:r>
      <w:proofErr w:type="spellStart"/>
      <w:r w:rsidRPr="005F62F4">
        <w:t>sCAIP</w:t>
      </w:r>
      <w:proofErr w:type="spellEnd"/>
      <w:r w:rsidRPr="005F62F4">
        <w:t xml:space="preserve"> presented a 12% group-specific intraoperative complication rate, resulting in an inability to place the implant with this protocol in 7% of cases’ (p. 16). Despite this, the authors noted a 100% survival rate in one study across flapped implant placement (with or without the use of cast-based surgical guides) and flapless static computer-aided implant placement. A similar review by Cai et al. (2020) found that there was no statistically significant difference in implant survival rates, implant complication rates or marginal bone loss between flapless (either guided or freehand) and conventional surgical techniques. Although the primary aim of these studies </w:t>
      </w:r>
      <w:r w:rsidRPr="005F62F4">
        <w:lastRenderedPageBreak/>
        <w:t>was to compare different surgical approaches (</w:t>
      </w:r>
      <w:proofErr w:type="gramStart"/>
      <w:r w:rsidRPr="005F62F4">
        <w:t>i.e.</w:t>
      </w:r>
      <w:proofErr w:type="gramEnd"/>
      <w:r w:rsidRPr="005F62F4">
        <w:t xml:space="preserve"> flapped versus flapless), Cai et al.’s finding that ‘guided or freehand implant insertion did not affect the long-term effects of flapless surgery when compared to the conventional approach’ (p. 1099) is relevant.</w:t>
      </w:r>
    </w:p>
    <w:p w14:paraId="45DB01FC" w14:textId="716AF835" w:rsidR="00430DA4" w:rsidRPr="005F62F4" w:rsidRDefault="00430DA4" w:rsidP="004F2931">
      <w:pPr>
        <w:pStyle w:val="HeadingA3"/>
      </w:pPr>
      <w:bookmarkStart w:id="310" w:name="_Ref119675052"/>
      <w:bookmarkStart w:id="311" w:name="_Toc120178364"/>
      <w:r w:rsidRPr="005F62F4">
        <w:t xml:space="preserve">Orthognathic and other </w:t>
      </w:r>
      <w:r w:rsidR="00D212A0" w:rsidRPr="005F62F4">
        <w:t xml:space="preserve">CMF </w:t>
      </w:r>
      <w:r w:rsidRPr="005F62F4">
        <w:t>surgery</w:t>
      </w:r>
      <w:bookmarkEnd w:id="310"/>
      <w:bookmarkEnd w:id="311"/>
    </w:p>
    <w:p w14:paraId="7DE7F849" w14:textId="79392C95" w:rsidR="00430DA4" w:rsidRPr="005F62F4" w:rsidRDefault="00430DA4" w:rsidP="00430DA4">
      <w:pPr>
        <w:pStyle w:val="Para"/>
      </w:pPr>
      <w:r w:rsidRPr="005F62F4">
        <w:t xml:space="preserve">In the context of </w:t>
      </w:r>
      <w:r w:rsidRPr="005F62F4">
        <w:rPr>
          <w:rStyle w:val="Strong"/>
        </w:rPr>
        <w:t>orthognathic surgery</w:t>
      </w:r>
      <w:r w:rsidRPr="005F62F4">
        <w:t xml:space="preserve">, Van de </w:t>
      </w:r>
      <w:proofErr w:type="spellStart"/>
      <w:r w:rsidRPr="005F62F4">
        <w:t>Bempt</w:t>
      </w:r>
      <w:proofErr w:type="spellEnd"/>
      <w:r w:rsidRPr="005F62F4">
        <w:t xml:space="preserve"> et al. (2018) sought to evaluate the use of intraoperative computer navigation, surgical guides and/or customised osteosynthesis plates. The</w:t>
      </w:r>
      <w:r w:rsidR="00592F11" w:rsidRPr="005F62F4">
        <w:t xml:space="preserve"> authors found</w:t>
      </w:r>
      <w:r w:rsidRPr="005F62F4">
        <w:t xml:space="preserve"> that while the included studies indicated accuracy of the transfer of the virtual plan to the patient for the 3 surgical methods, variability in accuracy assessment and reported outcomes between studies meant that comparison of the techniques was not possible.</w:t>
      </w:r>
    </w:p>
    <w:p w14:paraId="472CFD42" w14:textId="3B2AFF37" w:rsidR="00430DA4" w:rsidRPr="005F62F4" w:rsidRDefault="00430DA4" w:rsidP="00430DA4">
      <w:pPr>
        <w:pStyle w:val="Para"/>
      </w:pPr>
      <w:r w:rsidRPr="005F62F4">
        <w:fldChar w:fldCharType="begin" w:fldLock="1"/>
      </w:r>
      <w:r w:rsidRPr="005F62F4">
        <w:instrText>ADDIN CSL_CITATION {"citationItems":[{"id":"ITEM-1","itemData":{"DOI":"10.1016/j.joms.2020.09.005","ISSN":"15315053","PMID":"33031773","abstract":"Purpose: To explore the advantages of virtual surgical planning (VSP) and traditional surgical planning (TSP) to determine whether the current VSP technique is superior to the TSP technique for orthognathic surgery. Methods: An electronic search was carried out in the CENTRAL, PubMed, and Embase databases to identify randomized clinical trials (RCTs) that compared the VSP and TSP techniques regarding their surgical accuracy for hard tissue, prediction precision for soft tissue, required time for planning and surgery, cost and patient-reported outcomes. Results: Eight articles from 5 RCTs, involving 199 patients, were identified. The findings showed that the VSP and TSP techniques were similar in surgical accuracy for hard tissue in the sagittal plane, although the VSP technique was significantly more accurate in certain reference areas, especially in the anterior area of the maxilla. Both the VSP and TSP techniques had significantly better surgical accuracy for the maxilla than for the mandible. The VSP technique showed clinically significantly greater precision for soft tissue prediction in the sagittal plane. Patients who were treated via the VSP technique presented a more symmetrical frontal view, regardless of whether hard or soft tissue was involved. The VSP technique required more time for software planning, but it showed an advantage in time savings when considering the entire preoperative process. Accompanied by the use of an accurate computer-aided splint, the VSP technique could effectively reduce the operative time. Apart from the initial financial investment of software and hardware, the total cost of the VSP technique was similar to that of the TSP technique. Patients who were treated via the VSP or TSP technique showed similar improvements in quality-of-life. Conclusions: Currently, the VSP technique has become a good alternative to the TSP technique for orthognathic surgery, especially regarding frontal-esthetic considerations. Studies reporting indicators with good representativeness and sensitivity using an identical comparative method are recommended.","author":[{"dropping-particle":"","family":"Chen","given":"Zhixing","non-dropping-particle":"","parse-names":false,"suffix":""},{"dropping-particle":"","family":"Mo","given":"Shuixue","non-dropping-particle":"","parse-names":false,"suffix":""},{"dropping-particle":"","family":"Fan","given":"Xuemin","non-dropping-particle":"","parse-names":false,"suffix":""},{"dropping-particle":"","family":"You","given":"Yuting","non-dropping-particle":"","parse-names":false,"suffix":""},{"dropping-particle":"","family":"Ye","given":"Guangrong","non-dropping-particle":"","parse-names":false,"suffix":""},{"dropping-particle":"","family":"Zhou","given":"Nuo","non-dropping-particle":"","parse-names":false,"suffix":""}],"container-title":"Journal of Oral and Maxillofacial Surgery","id":"ITEM-1","issue":"2","issued":{"date-parts":[["2021"]]},"page":"471.e1-471.e19","publisher":"American Association of Oral and Maxillofacial Surgeons","title":"A meta-analysis and systematic review comparing the effectiveness of traditional and virtual surgical planning for orthognathic surgery: based on randomized clinical trials","type":"article-journal","volume":"79"},"uris":["http://www.mendeley.com/documents/?uuid=1f2ad3b5-f004-4feb-a5bb-9950fe63cf4d"]}],"mendeley":{"formattedCitation":"(Chen et al. 2021)","manualFormatting":"Chen et al. (2021)","plainTextFormattedCitation":"(Chen et al. 2021)","previouslyFormattedCitation":"(Chen et al. 2021)"},"properties":{"noteIndex":0},"schema":"https://github.com/citation-style-language/schema/raw/master/csl-citation.json"}</w:instrText>
      </w:r>
      <w:r w:rsidRPr="005F62F4">
        <w:fldChar w:fldCharType="separate"/>
      </w:r>
      <w:r w:rsidRPr="005F62F4">
        <w:rPr>
          <w:noProof/>
        </w:rPr>
        <w:t>Chen et al. (2021)</w:t>
      </w:r>
      <w:r w:rsidRPr="005F62F4">
        <w:fldChar w:fldCharType="end"/>
      </w:r>
      <w:r w:rsidRPr="005F62F4">
        <w:t xml:space="preserve"> compared virtual orthognathic surgical planning techniques with traditional surgical planning and found that accuracy was comparable or better with the use of virtual planning. With one exception, the virtual planning technique included the use of computer-designed and manufactured splints, while the traditional technique used acrylic splints. Both techniques yielded better accuracy with respect to maxilla surgery than mandible. Virtual planning was associated with better symmetry in the frontal view, but similar quality of life outcomes. While there may be some differences in </w:t>
      </w:r>
      <w:r w:rsidRPr="005F62F4">
        <w:rPr>
          <w:rStyle w:val="Emphasis"/>
        </w:rPr>
        <w:t>how</w:t>
      </w:r>
      <w:r w:rsidRPr="005F62F4">
        <w:t xml:space="preserve"> time is spent in preoperative planning, the authors suggested there was no significant difference in total preoperative planning time between approaches. In addition, the use of an accurate computer-aided splint could reduce the operative time. Not considering the initial investment to purchase software and hardware, costs of virtual surgical planning were found to be similar to traditional planning </w:t>
      </w:r>
      <w:r w:rsidRPr="005F62F4">
        <w:fldChar w:fldCharType="begin" w:fldLock="1"/>
      </w:r>
      <w:r w:rsidRPr="005F62F4">
        <w:instrText>ADDIN CSL_CITATION {"citationItems":[{"id":"ITEM-1","itemData":{"DOI":"10.1016/j.joms.2020.09.005","ISSN":"15315053","PMID":"33031773","abstract":"Purpose: To explore the advantages of virtual surgical planning (VSP) and traditional surgical planning (TSP) to determine whether the current VSP technique is superior to the TSP technique for orthognathic surgery. Methods: An electronic search was carried out in the CENTRAL, PubMed, and Embase databases to identify randomized clinical trials (RCTs) that compared the VSP and TSP techniques regarding their surgical accuracy for hard tissue, prediction precision for soft tissue, required time for planning and surgery, cost and patient-reported outcomes. Results: Eight articles from 5 RCTs, involving 199 patients, were identified. The findings showed that the VSP and TSP techniques were similar in surgical accuracy for hard tissue in the sagittal plane, although the VSP technique was significantly more accurate in certain reference areas, especially in the anterior area of the maxilla. Both the VSP and TSP techniques had significantly better surgical accuracy for the maxilla than for the mandible. The VSP technique showed clinically significantly greater precision for soft tissue prediction in the sagittal plane. Patients who were treated via the VSP technique presented a more symmetrical frontal view, regardless of whether hard or soft tissue was involved. The VSP technique required more time for software planning, but it showed an advantage in time savings when considering the entire preoperative process. Accompanied by the use of an accurate computer-aided splint, the VSP technique could effectively reduce the operative time. Apart from the initial financial investment of software and hardware, the total cost of the VSP technique was similar to that of the TSP technique. Patients who were treated via the VSP or TSP technique showed similar improvements in quality-of-life. Conclusions: Currently, the VSP technique has become a good alternative to the TSP technique for orthognathic surgery, especially regarding frontal-esthetic considerations. Studies reporting indicators with good representativeness and sensitivity using an identical comparative method are recommended.","author":[{"dropping-particle":"","family":"Chen","given":"Zhixing","non-dropping-particle":"","parse-names":false,"suffix":""},{"dropping-particle":"","family":"Mo","given":"Shuixue","non-dropping-particle":"","parse-names":false,"suffix":""},{"dropping-particle":"","family":"Fan","given":"Xuemin","non-dropping-particle":"","parse-names":false,"suffix":""},{"dropping-particle":"","family":"You","given":"Yuting","non-dropping-particle":"","parse-names":false,"suffix":""},{"dropping-particle":"","family":"Ye","given":"Guangrong","non-dropping-particle":"","parse-names":false,"suffix":""},{"dropping-particle":"","family":"Zhou","given":"Nuo","non-dropping-particle":"","parse-names":false,"suffix":""}],"container-title":"Journal of Oral and Maxillofacial Surgery","id":"ITEM-1","issue":"2","issued":{"date-parts":[["2021"]]},"page":"471.e1-471.e19","publisher":"American Association of Oral and Maxillofacial Surgeons","title":"A meta-analysis and systematic review comparing the effectiveness of traditional and virtual surgical planning for orthognathic surgery: based on randomized clinical trials","type":"article-journal","volume":"79"},"uris":["http://www.mendeley.com/documents/?uuid=1f2ad3b5-f004-4feb-a5bb-9950fe63cf4d"]}],"mendeley":{"formattedCitation":"(Chen et al. 2021)","manualFormatting":"(Chen et al. 2021)","plainTextFormattedCitation":"(Chen et al. 2021)","previouslyFormattedCitation":"(Chen et al. 2021)"},"properties":{"noteIndex":0},"schema":"https://github.com/citation-style-language/schema/raw/master/csl-citation.json"}</w:instrText>
      </w:r>
      <w:r w:rsidRPr="005F62F4">
        <w:fldChar w:fldCharType="separate"/>
      </w:r>
      <w:r w:rsidRPr="005F62F4">
        <w:rPr>
          <w:noProof/>
        </w:rPr>
        <w:t>(Chen et al. 2021)</w:t>
      </w:r>
      <w:r w:rsidRPr="005F62F4">
        <w:fldChar w:fldCharType="end"/>
      </w:r>
      <w:r w:rsidRPr="005F62F4">
        <w:t>.</w:t>
      </w:r>
    </w:p>
    <w:p w14:paraId="71525B3F" w14:textId="637B3289" w:rsidR="00F74516" w:rsidRPr="005F62F4" w:rsidRDefault="00430DA4" w:rsidP="00430DA4">
      <w:pPr>
        <w:pStyle w:val="Para"/>
      </w:pPr>
      <w:r w:rsidRPr="005F62F4">
        <w:t xml:space="preserve">In mandibular reconstruction </w:t>
      </w:r>
      <w:r w:rsidRPr="005F62F4">
        <w:fldChar w:fldCharType="begin" w:fldLock="1"/>
      </w:r>
      <w:r w:rsidRPr="005F62F4">
        <w:instrText>ADDIN CSL_CITATION {"citationItems":[{"id":"ITEM-1","itemData":{"DOI":"10.1097/PRS.0000000000006261","ISBN":"0000000000","ISSN":"15294242","PMID":"31764662","abstract":"BACKGROUND: Computer-assisted mandibular reconstruction facilitates preoperative surgery simulation and transfers the virtual plan to a real operation. This systematic review and meta-analysis aimed to compare the accuracy, efficiency, postoperative complications, and economic viability between computer-assisted mandibular reconstruction and conventional freehand mandibular reconstruction. METHODS: The PubMed, Embase, Cochrane Library, and Google Scholar databases were searched up to November of 2018. The accuracy, efficiency, postoperative complications, and economic viability of computer-assisted mandibular reconstruction compared to conventional freehand mandibular reconstruction were systematically reviewed. Continuous and dichotomous data were pooled in mean difference (or standardized mean difference if necessary) and odds ratio, subsequently, with 95 percent confidence interval. RESULTS: A total of 12 studies were included in the systematic review, and data extracted from 11 of them were combined in meta-analysis. The accuracy of computer-assisted mandibular reconstruction was better than or equal to that of conventional freehand mandibular reconstruction according to qualitative analysis, although the quantitative comparison from meta-analysis was excluded because of the diversity of measurements. As for efficiency, computer-assisted mandibular reconstruction, when compared to conventional freehand mandibular reconstruction, revealed a shorter ischemic time, reconstructive time, total operative time, and length of stay. There was no difference in postoperative complication rate. CONCLUSIONS: Computer-assisted mandibular reconstruction showed increased efficiency considering the reduced ischemic time, total operative time, reconstructive time, and length of stay. However, the accuracy, reconstruction outcomes, and perioperative cost should be further elucidated because of diverse measurements and the lack of included studies.","author":[{"dropping-particle":"","family":"Powcharoen","given":"Warit","non-dropping-particle":"","parse-names":false,"suffix":""},{"dropping-particle":"","family":"Yang","given":"Wei Fa","non-dropping-particle":"","parse-names":false,"suffix":""},{"dropping-particle":"","family":"Yan Li","given":"Kar","non-dropping-particle":"","parse-names":false,"suffix":""},{"dropping-particle":"","family":"Zhu","given":"Wangyong","non-dropping-particle":"","parse-names":false,"suffix":""},{"dropping-particle":"","family":"Su","given":"Yu Xiong","non-dropping-particle":"","parse-names":false,"suffix":""}],"container-title":"Plastic and reconstructive surgery","id":"ITEM-1","issue":"6","issued":{"date-parts":[["2019"]]},"page":"1417-1428","title":"Computer-assisted versus conventional freehand mandibular reconstruction with fibula free flap: a systematic review and meta-analysis","type":"article-journal","volume":"144"},"uris":["http://www.mendeley.com/documents/?uuid=dee362cd-8e98-4424-b1dd-024c1574dfa8"]}],"mendeley":{"formattedCitation":"(Powcharoen et al. 2019)","manualFormatting":"Powcharoen et al. (2019)","plainTextFormattedCitation":"(Powcharoen et al. 2019)","previouslyFormattedCitation":"(Powcharoen et al. 2019)"},"properties":{"noteIndex":0},"schema":"https://github.com/citation-style-language/schema/raw/master/csl-citation.json"}</w:instrText>
      </w:r>
      <w:r w:rsidRPr="005F62F4">
        <w:fldChar w:fldCharType="separate"/>
      </w:r>
      <w:r w:rsidRPr="005F62F4">
        <w:rPr>
          <w:noProof/>
        </w:rPr>
        <w:t>Powcharoen et al. (2019)</w:t>
      </w:r>
      <w:r w:rsidRPr="005F62F4">
        <w:fldChar w:fldCharType="end"/>
      </w:r>
      <w:r w:rsidRPr="005F62F4">
        <w:t xml:space="preserve"> found the accuracy of computer-assisted surgery to be equal to or better than conventional freehand reconstruction, although the diversity of measurements reported precluded the authors from performing a quantitative meta-analysis regarding this outcome. The nature of the computer-aided interventions variably included simulation of mandibular and fibular osteotomies and orientation of the fibular segment in the reconstruction, as well as the manufacture of mandibular and fibular cutting guides (in 10/12 and 9/12 studies respectively), fibular shaping guides, and a </w:t>
      </w:r>
      <w:proofErr w:type="spellStart"/>
      <w:r w:rsidRPr="005F62F4">
        <w:t>biomodel</w:t>
      </w:r>
      <w:proofErr w:type="spellEnd"/>
      <w:r w:rsidRPr="005F62F4">
        <w:t xml:space="preserve"> with pre-bent plates (6/12). One-third included the use of patient-specific surgical plates, and so the authors’ conclusions are not specific to the use of </w:t>
      </w:r>
      <w:r w:rsidR="00286835" w:rsidRPr="005F62F4">
        <w:t xml:space="preserve">surgical guides and </w:t>
      </w:r>
      <w:proofErr w:type="spellStart"/>
      <w:r w:rsidR="00286835" w:rsidRPr="005F62F4">
        <w:t>biomodels</w:t>
      </w:r>
      <w:proofErr w:type="spellEnd"/>
      <w:r w:rsidR="00286835" w:rsidRPr="005F62F4">
        <w:t xml:space="preserve"> </w:t>
      </w:r>
      <w:r w:rsidRPr="005F62F4">
        <w:t xml:space="preserve">in the absence of these patient-specific implants. The authors also note the lack of quality evidence informing their review. Despite these caveats, this review found that computer-assisted procedures were associated with shorter ischaemic, reconstructive and total operative times, as well as length of stay, with no significant difference in reconstruction outcomes or postoperative complication rates. Two identified studies considered economic viability of the technology, with mixed results </w:t>
      </w:r>
      <w:r w:rsidRPr="005F62F4">
        <w:fldChar w:fldCharType="begin" w:fldLock="1"/>
      </w:r>
      <w:r w:rsidRPr="005F62F4">
        <w:instrText>ADDIN CSL_CITATION {"citationItems":[{"id":"ITEM-1","itemData":{"DOI":"10.1097/PRS.0000000000006261","ISBN":"0000000000","ISSN":"15294242","PMID":"31764662","abstract":"BACKGROUND: Computer-assisted mandibular reconstruction facilitates preoperative surgery simulation and transfers the virtual plan to a real operation. This systematic review and meta-analysis aimed to compare the accuracy, efficiency, postoperative complications, and economic viability between computer-assisted mandibular reconstruction and conventional freehand mandibular reconstruction. METHODS: The PubMed, Embase, Cochrane Library, and Google Scholar databases were searched up to November of 2018. The accuracy, efficiency, postoperative complications, and economic viability of computer-assisted mandibular reconstruction compared to conventional freehand mandibular reconstruction were systematically reviewed. Continuous and dichotomous data were pooled in mean difference (or standardized mean difference if necessary) and odds ratio, subsequently, with 95 percent confidence interval. RESULTS: A total of 12 studies were included in the systematic review, and data extracted from 11 of them were combined in meta-analysis. The accuracy of computer-assisted mandibular reconstruction was better than or equal to that of conventional freehand mandibular reconstruction according to qualitative analysis, although the quantitative comparison from meta-analysis was excluded because of the diversity of measurements. As for efficiency, computer-assisted mandibular reconstruction, when compared to conventional freehand mandibular reconstruction, revealed a shorter ischemic time, reconstructive time, total operative time, and length of stay. There was no difference in postoperative complication rate. CONCLUSIONS: Computer-assisted mandibular reconstruction showed increased efficiency considering the reduced ischemic time, total operative time, reconstructive time, and length of stay. However, the accuracy, reconstruction outcomes, and perioperative cost should be further elucidated because of diverse measurements and the lack of included studies.","author":[{"dropping-particle":"","family":"Powcharoen","given":"Warit","non-dropping-particle":"","parse-names":false,"suffix":""},{"dropping-particle":"","family":"Yang","given":"Wei Fa","non-dropping-particle":"","parse-names":false,"suffix":""},{"dropping-particle":"","family":"Yan Li","given":"Kar","non-dropping-particle":"","parse-names":false,"suffix":""},{"dropping-particle":"","family":"Zhu","given":"Wangyong","non-dropping-particle":"","parse-names":false,"suffix":""},{"dropping-particle":"","family":"Su","given":"Yu Xiong","non-dropping-particle":"","parse-names":false,"suffix":""}],"container-title":"Plastic and reconstructive surgery","id":"ITEM-1","issue":"6","issued":{"date-parts":[["2019"]]},"page":"1417-1428","title":"Computer-assisted versus conventional freehand mandibular reconstruction with fibula free flap: a systematic review and meta-analysis","type":"article-journal","volume":"144"},"uris":["http://www.mendeley.com/documents/?uuid=dee362cd-8e98-4424-b1dd-024c1574dfa8"]}],"mendeley":{"formattedCitation":"(Powcharoen et al. 2019)","manualFormatting":"(Powcharoen et al. 2019)","plainTextFormattedCitation":"(Powcharoen et al. 2019)","previouslyFormattedCitation":"(Powcharoen et al. 2019)"},"properties":{"noteIndex":0},"schema":"https://github.com/citation-style-language/schema/raw/master/csl-citation.json"}</w:instrText>
      </w:r>
      <w:r w:rsidRPr="005F62F4">
        <w:fldChar w:fldCharType="separate"/>
      </w:r>
      <w:r w:rsidRPr="005F62F4">
        <w:rPr>
          <w:noProof/>
        </w:rPr>
        <w:t>(Powcharoen et al. 2019)</w:t>
      </w:r>
      <w:r w:rsidRPr="005F62F4">
        <w:fldChar w:fldCharType="end"/>
      </w:r>
      <w:r w:rsidRPr="005F62F4">
        <w:t>.</w:t>
      </w:r>
    </w:p>
    <w:p w14:paraId="338FFF8C" w14:textId="6B23A152" w:rsidR="00217A60" w:rsidRPr="005F62F4" w:rsidRDefault="00217A60" w:rsidP="007B3747">
      <w:pPr>
        <w:pStyle w:val="Para"/>
      </w:pPr>
      <w:r w:rsidRPr="005F62F4">
        <w:t xml:space="preserve">Also in mandibular reconstruction, </w:t>
      </w:r>
      <w:r w:rsidRPr="005F62F4">
        <w:fldChar w:fldCharType="begin" w:fldLock="1"/>
      </w:r>
      <w:r w:rsidRPr="005F62F4">
        <w:instrText>ADDIN CSL_CITATION {"citationItems":[{"id":"ITEM-1","itemData":{"DOI":"10.1097/SAP.0000000000002006","ISBN":"0000000000","ISSN":"15363708","PMID":"31633539","abstract":"Background The fibula free flap (FFF) remains the criterion standard for complex mandibular reconstruction. Surgeons have incorporated virtual surgical planning (VSP) into the reconstructive algorithm with the assertion that VSP increases operative efficiency and may improve clinical outcomes. To date, no large-scale studies have analyzed these claims. This study examines the literature and tests the hypothesis that VSP improves operative efficiency, clinical outcomes, and accuracy when compared with traditional techniques. Methods A systematic review was performed to identify articles utilizing VSP and traditional techniques for FFF-based mandibular reconstruction. Two reviewers independently assessed all articles for methodological quality using a validated instrument (weighted Cohen κ for interrater reliability = 0.70). Outcomes included operative time, length of stay, complications, and accuracy. Meta-analytic comparisons were performed using data from comparative studies using a random-effects model and differences of means analysis for outcomes measured on identical scales. Results One hundred thirty-one articles were identified, and 25 met the inclusion criteria: 12 were VSP only, whereas 13 were comparative. There were 241 VSP patients and 214 traditional patients available for meta-analysis. Patients undergoing reconstruction with VSP had a significant reduction in operative time by 44.64 minutes (95% confidence interval [CI],-74.69 to-14.58 minutes; P &lt; 0.01) and demonstrated a mean trend toward shorter hospital admission (mean difference,-1.24 days; 95% CI,-4.00 to 1.52 days; P = 0.38). There was no statistical difference between cohorts for major (odds ratio, 1.03; 95% CI, 0.46-2.31; P = 0.95) or minor complications (odds ratio, 0.97; 95% CI, 0.54-1.71; P = 0.90). Insufficient data were available for cost analysis and accuracy. Conclusions Virtual surgical planning-guided mandibular reconstruction with FFF is associated with significantly decreased operative time and a mean trend toward shorter hospital admission. While multiple studies reported a high degree of accuracy, no standard measurement was available for meta-analysis.","author":[{"dropping-particle":"","family":"Barr","given":"Meaghan L.","non-dropping-particle":"","parse-names":false,"suffix":""},{"dropping-particle":"","family":"Haveles","given":"Christos S.","non-dropping-particle":"","parse-names":false,"suffix":""},{"dropping-particle":"","family":"Rezzadeh","given":"Kameron S.","non-dropping-particle":"","parse-names":false,"suffix":""},{"dropping-particle":"","family":"Nolan","given":"Ian T.","non-dropping-particle":"","parse-names":false,"suffix":""},{"dropping-particle":"","family":"Castro","given":"Ruben","non-dropping-particle":"","parse-names":false,"suffix":""},{"dropping-particle":"","family":"Lee","given":"Justine C.","non-dropping-particle":"","parse-names":false,"suffix":""},{"dropping-particle":"","family":"Steinbacher","given":"Derek","non-dropping-particle":"","parse-names":false,"suffix":""},{"dropping-particle":"","family":"Pfaff","given":"Miles J.","non-dropping-particle":"","parse-names":false,"suffix":""}],"container-title":"Annals of Plastic Surgery","id":"ITEM-1","issue":"1","issued":{"date-parts":[["2020"]]},"page":"117-122","title":"Virtual surgical planning for mandibular reconstruction with the fibula free flap: a systematic review and meta-analysis","type":"article-journal","volume":"84"},"uris":["http://www.mendeley.com/documents/?uuid=a8f5e4e7-db5b-4bf4-b1f0-e174188033bc"]}],"mendeley":{"formattedCitation":"(Barr et al. 2020)","manualFormatting":"Barr et al. (2020)","plainTextFormattedCitation":"(Barr et al. 2020)","previouslyFormattedCitation":"(Barr et al. 2020)"},"properties":{"noteIndex":0},"schema":"https://github.com/citation-style-language/schema/raw/master/csl-citation.json"}</w:instrText>
      </w:r>
      <w:r w:rsidRPr="005F62F4">
        <w:fldChar w:fldCharType="separate"/>
      </w:r>
      <w:r w:rsidRPr="005F62F4">
        <w:rPr>
          <w:noProof/>
        </w:rPr>
        <w:t>Barr et al. (2020)</w:t>
      </w:r>
      <w:r w:rsidRPr="005F62F4">
        <w:fldChar w:fldCharType="end"/>
      </w:r>
      <w:r w:rsidRPr="005F62F4">
        <w:t xml:space="preserve"> found, in fibula free flap surgery, that </w:t>
      </w:r>
      <w:r w:rsidR="007B3747" w:rsidRPr="005F62F4">
        <w:t xml:space="preserve">virtual surgical planning </w:t>
      </w:r>
      <w:r w:rsidRPr="005F62F4">
        <w:t xml:space="preserve">(including mandibular and fibular cutting guides, stereolithographic models, </w:t>
      </w:r>
      <w:r w:rsidRPr="005F62F4">
        <w:lastRenderedPageBreak/>
        <w:t>prefabricated reconstruction templates and/or pre-bent plates) was associated with a significant reduction in operative time and trends towards shorter hospital stays and more complex fibula flaps. They found no difference in major or minor complication rates, or preoperative radiation exposure.</w:t>
      </w:r>
    </w:p>
    <w:p w14:paraId="364B7F31" w14:textId="15689B4D" w:rsidR="00217A60" w:rsidRPr="005F62F4" w:rsidRDefault="00217A60" w:rsidP="007B3747">
      <w:pPr>
        <w:pStyle w:val="Para"/>
      </w:pPr>
      <w:r w:rsidRPr="005F62F4">
        <w:t xml:space="preserve">In reviewing the use of virtual surgical planning in head and neck reconstructions involving fibula free flaps, </w:t>
      </w:r>
      <w:r w:rsidRPr="005F62F4">
        <w:fldChar w:fldCharType="begin" w:fldLock="1"/>
      </w:r>
      <w:r w:rsidR="00EB5748" w:rsidRPr="005F62F4">
        <w:instrText>ADDIN CSL_CITATION {"citationItems":[{"id":"ITEM-1","itemData":{"DOI":"10.1016/j.bjps.2019.08.015","ISSN":"18780539","PMID":"31636027","author":[{"dropping-particle":"","family":"Tang","given":"Nicholas S.J.","non-dropping-particle":"","parse-names":false,"suffix":""},{"dropping-particle":"","family":"Ahmadi","given":"Iraj","non-dropping-particle":"","parse-names":false,"suffix":""},{"dropping-particle":"","family":"Ramakrishnan","given":"Anand","non-dropping-particle":"","parse-names":false,"suffix":""}],"container-title":"Journal of Plastic, Reconstructive &amp; Aesthetic Surgery","id":"ITEM-1","issued":{"date-parts":[["2019"]]},"page":"1465-1477","title":"Virtual surgical planning in fibula free flap head and neck reconstruction: a systematic review and meta-analysis","type":"article-journal","volume":"72"},"uris":["http://www.mendeley.com/documents/?uuid=4264b3ad-bd44-4f5d-97ac-914b44785ea4"]}],"mendeley":{"formattedCitation":"(Tang et al. 2019)","manualFormatting":"Tang et al. (2019)","plainTextFormattedCitation":"(Tang et al. 2019)","previouslyFormattedCitation":"(Tang et al. 2019)"},"properties":{"noteIndex":0},"schema":"https://github.com/citation-style-language/schema/raw/master/csl-citation.json"}</w:instrText>
      </w:r>
      <w:r w:rsidRPr="005F62F4">
        <w:fldChar w:fldCharType="separate"/>
      </w:r>
      <w:r w:rsidRPr="005F62F4">
        <w:rPr>
          <w:noProof/>
        </w:rPr>
        <w:t>Tang et al. (2019)</w:t>
      </w:r>
      <w:r w:rsidRPr="005F62F4">
        <w:fldChar w:fldCharType="end"/>
      </w:r>
      <w:r w:rsidRPr="005F62F4">
        <w:t xml:space="preserve"> found that VSP was associated with superior accuracy, ischaemic times and intraoperative times, and that complication rates were similar between VSP and ‘conventional’ techniques. Again, while the authors introduced their review by stating that </w:t>
      </w:r>
      <w:r w:rsidR="00323A5D" w:rsidRPr="005F62F4">
        <w:t>virtual surgical planning</w:t>
      </w:r>
      <w:r w:rsidRPr="005F62F4">
        <w:t xml:space="preserve"> ‘results in creation of a </w:t>
      </w:r>
      <w:proofErr w:type="spellStart"/>
      <w:r w:rsidRPr="005F62F4">
        <w:t>stereolithic</w:t>
      </w:r>
      <w:proofErr w:type="spellEnd"/>
      <w:r w:rsidRPr="005F62F4">
        <w:t xml:space="preserve"> model of the new mandible, a customised pre-bent plate as well as a patient-specific osteotomy guide’, the type of and extent to which surgical guides and </w:t>
      </w:r>
      <w:proofErr w:type="spellStart"/>
      <w:r w:rsidRPr="005F62F4">
        <w:t>biomodels</w:t>
      </w:r>
      <w:proofErr w:type="spellEnd"/>
      <w:r w:rsidRPr="005F62F4">
        <w:t xml:space="preserve"> were used in individual studies is unclear.</w:t>
      </w:r>
    </w:p>
    <w:p w14:paraId="2E987199" w14:textId="2CDBA234" w:rsidR="00430DA4" w:rsidRPr="005F62F4" w:rsidRDefault="00430DA4" w:rsidP="00430DA4">
      <w:pPr>
        <w:pStyle w:val="Para"/>
      </w:pPr>
      <w:r w:rsidRPr="005F62F4">
        <w:t xml:space="preserve">A review by </w:t>
      </w:r>
      <w:proofErr w:type="spellStart"/>
      <w:r w:rsidRPr="005F62F4">
        <w:t>Meglioli</w:t>
      </w:r>
      <w:proofErr w:type="spellEnd"/>
      <w:r w:rsidRPr="005F62F4">
        <w:t xml:space="preserve"> et al. (2020) explored bone </w:t>
      </w:r>
      <w:proofErr w:type="spellStart"/>
      <w:r w:rsidRPr="005F62F4">
        <w:t>biomodels</w:t>
      </w:r>
      <w:proofErr w:type="spellEnd"/>
      <w:r w:rsidRPr="005F62F4">
        <w:t xml:space="preserve"> in the context of surgical domains in the head and neck including dentistry and oral surgery, maxillofacial surgery, ear-nose-throat surgery and cranial surgery. They found that oral and maxillofacial surgery made up the largest proportion (43%) of articles which described models made through additive manufacturing processes. The most frequent use of models in this surgical domain was for planning or simulating a bone reconstruction or a tumour removal. While this review did not use a PICO approach nor an ideal technique for assessing risk of bias in quantitative studies (and </w:t>
      </w:r>
      <w:proofErr w:type="gramStart"/>
      <w:r w:rsidRPr="005F62F4">
        <w:t>the majority of</w:t>
      </w:r>
      <w:proofErr w:type="gramEnd"/>
      <w:r w:rsidRPr="005F62F4">
        <w:t xml:space="preserve"> evidence included was assessed to be of average or low quality), it suggested that surgical treatment times can be reduced by up to 20% and that failure rates tend to decrease with the use of </w:t>
      </w:r>
      <w:proofErr w:type="spellStart"/>
      <w:r w:rsidRPr="005F62F4">
        <w:t>biomodels</w:t>
      </w:r>
      <w:proofErr w:type="spellEnd"/>
      <w:r w:rsidRPr="005F62F4">
        <w:t xml:space="preserve">. Over one-third of the articles identified suggested that clinical outcomes could potentially be improved, due to better planning and understanding of the case. In one included study, functional and aesthetic outcomes were higher when a </w:t>
      </w:r>
      <w:proofErr w:type="spellStart"/>
      <w:r w:rsidRPr="005F62F4">
        <w:t>biomodel</w:t>
      </w:r>
      <w:proofErr w:type="spellEnd"/>
      <w:r w:rsidRPr="005F62F4">
        <w:t xml:space="preserve"> was used. Only 4 (7%) of the included studies suggested that the method they described was not cost-effective </w:t>
      </w:r>
      <w:r w:rsidRPr="005F62F4">
        <w:fldChar w:fldCharType="begin" w:fldLock="1"/>
      </w:r>
      <w:r w:rsidRPr="005F62F4">
        <w:instrText>ADDIN CSL_CITATION {"citationItems":[{"id":"ITEM-1","itemData":{"author":[{"dropping-particle":"","family":"Meglioli","given":"M","non-dropping-particle":"","parse-names":false,"suffix":""},{"dropping-particle":"","family":"Naveau","given":"A","non-dropping-particle":"","parse-names":false,"suffix":""},{"dropping-particle":"","family":"Macaluso","given":"GM","non-dropping-particle":"","parse-names":false,"suffix":""},{"dropping-particle":"","family":"Catros","given":"S","non-dropping-particle":"","parse-names":false,"suffix":""}],"container-title":"3D Printing in Medicine","id":"ITEM-1","issue":"1","issued":{"date-parts":[["2020"]]},"page":"30","title":"3D printed bone models in oral and craniomaxillofacial surgery: a systematic review","type":"article-journal","volume":"6"},"uris":["http://www.mendeley.com/documents/?uuid=7b876947-60fc-482d-b995-b78f486404da"]}],"mendeley":{"formattedCitation":"(Meglioli et al. 2020)","plainTextFormattedCitation":"(Meglioli et al. 2020)","previouslyFormattedCitation":"(Meglioli et al. 2020)"},"properties":{"noteIndex":0},"schema":"https://github.com/citation-style-language/schema/raw/master/csl-citation.json"}</w:instrText>
      </w:r>
      <w:r w:rsidRPr="005F62F4">
        <w:fldChar w:fldCharType="separate"/>
      </w:r>
      <w:r w:rsidRPr="005F62F4">
        <w:rPr>
          <w:noProof/>
        </w:rPr>
        <w:t>(Meglioli et al. 2020)</w:t>
      </w:r>
      <w:r w:rsidRPr="005F62F4">
        <w:fldChar w:fldCharType="end"/>
      </w:r>
      <w:r w:rsidRPr="005F62F4">
        <w:t>.</w:t>
      </w:r>
    </w:p>
    <w:p w14:paraId="36B2C5AF" w14:textId="2A4CD492" w:rsidR="00430DA4" w:rsidRPr="005F62F4" w:rsidRDefault="00430DA4" w:rsidP="0075478F">
      <w:pPr>
        <w:pStyle w:val="ParaKeep"/>
      </w:pPr>
      <w:r w:rsidRPr="005F62F4">
        <w:t xml:space="preserve">Two reviews considered the applications and basic principles of 3D printing in </w:t>
      </w:r>
      <w:r w:rsidRPr="005F62F4">
        <w:rPr>
          <w:rStyle w:val="Strong"/>
        </w:rPr>
        <w:t>otolaryngology/</w:t>
      </w:r>
      <w:r w:rsidR="0075478F" w:rsidRPr="005F62F4">
        <w:rPr>
          <w:rStyle w:val="Strong"/>
        </w:rPr>
        <w:t>‌</w:t>
      </w:r>
      <w:r w:rsidRPr="005F62F4">
        <w:rPr>
          <w:rStyle w:val="Strong"/>
        </w:rPr>
        <w:t>otology and auricular management</w:t>
      </w:r>
      <w:r w:rsidRPr="005F62F4">
        <w:t xml:space="preserve">. </w:t>
      </w:r>
      <w:r w:rsidRPr="005F62F4">
        <w:fldChar w:fldCharType="begin" w:fldLock="1"/>
      </w:r>
      <w:r w:rsidR="009A43DD" w:rsidRPr="005F62F4">
        <w:instrText>ADDIN CSL_CITATION {"citationItems":[{"id":"ITEM-1","itemData":{"DOI":"10.1002/lary.27831","ISSN":"15314995","PMID":"30698840","abstract":"Objectives: Medical three-dimensional (3D) printing, the fabrication of handheld models from medical images, has the potential to become an integral part of otolaryngology–head and neck surgery (Oto-HNS) with broad impact across its subspecialties. We review the basic principles of this technology and provide a comprehensive summary of reported clinical applications in the field. Methods: Standard bibliographic databases (MEDLINE, Embase, Cumulative Index to Nursing and Allied Health Literature, Web of Science, and The Cochrane Central Registry for Randomized Trials) were searched from their inception to May 2018 for the terms: “3D printing,” “three-dimensional printing,” “rapid prototyping,” “additive manufacturing,” “computer-aided design,” “bioprinting,” and “biofabrication” in various combinations with the terms: “ptolaryngology,” “head and neck surgery,” and “otology.” Additional articles were identified from the references of retrieved articles. Only studies describing clinical applications of 3D printing were included. Results: Of 5,532 records identified through database searching, 87 articles were included for qualitative synthesis. Widespread implementation of 3D printing in Oto-HNS is still at its infancy. Nonetheless, it is increasingly being utilized across all subspecialties from preoperative planning to design and fabrication of patient-specific implants and surgical guides. An emerging application considered highly valuable is its use as a teaching tool for medical education and surgical training. Conclusions: As technology and training standards evolve and as healthcare moves toward personalized medicine, 3D printing is emerging as a key technology in patient care in Oto-HNS. Treating physicians and surgeons who wish to stay abreast of these developments will benefit from a fundamental understanding of the principles and applications of this technology. Laryngoscope, 129:2045–2052, 2019.","author":[{"dropping-particle":"","family":"Hong","given":"Chris J.","non-dropping-particle":"","parse-names":false,"suffix":""},{"dropping-particle":"","family":"Giannopoulos","given":"Andreas A.","non-dropping-particle":"","parse-names":false,"suffix":""},{"dropping-particle":"","family":"Hong","given":"Brian Y.","non-dropping-particle":"","parse-names":false,"suffix":""},{"dropping-particle":"","family":"Witterick","given":"Ian J.","non-dropping-particle":"","parse-names":false,"suffix":""},{"dropping-particle":"","family":"Irish","given":"Jonathan C.","non-dropping-particle":"","parse-names":false,"suffix":""},{"dropping-particle":"","family":"Lee","given":"John","non-dropping-particle":"","parse-names":false,"suffix":""},{"dropping-particle":"","family":"Vescan","given":"Allan","non-dropping-particle":"","parse-names":false,"suffix":""},{"dropping-particle":"","family":"Mitsouras","given":"Dimitrios","non-dropping-particle":"","parse-names":false,"suffix":""},{"dropping-particle":"","family":"Dang","given":"Wilfred","non-dropping-particle":"","parse-names":false,"suffix":""},{"dropping-particle":"","family":"Campisi","given":"Paolo","non-dropping-particle":"","parse-names":false,"suffix":""},{"dropping-particle":"","family":"Almeida","given":"John R.","non-dropping-particle":"de","parse-names":false,"suffix":""},{"dropping-particle":"","family":"Monteiro","given":"Eric","non-dropping-particle":"","parse-names":false,"suffix":""}],"container-title":"Laryngoscope","id":"ITEM-1","issue":"9","issued":{"date-parts":[["2019"]]},"page":"2045-2052","title":"Clinical applications of three-dimensional printing in otolaryngology–head and neck surgery: a systematic review","type":"article-journal","volume":"129"},"uris":["http://www.mendeley.com/documents/?uuid=fddf2407-f51e-4380-99a8-5847b00ebfc8"]}],"mendeley":{"formattedCitation":"(Hong et al. 2019)","manualFormatting":"Hong et al. (2019)","plainTextFormattedCitation":"(Hong et al. 2019)","previouslyFormattedCitation":"(Hong et al. 2019)"},"properties":{"noteIndex":0},"schema":"https://github.com/citation-style-language/schema/raw/master/csl-citation.json"}</w:instrText>
      </w:r>
      <w:r w:rsidRPr="005F62F4">
        <w:fldChar w:fldCharType="separate"/>
      </w:r>
      <w:r w:rsidRPr="005F62F4">
        <w:rPr>
          <w:noProof/>
        </w:rPr>
        <w:t>Hong et al. (2019)</w:t>
      </w:r>
      <w:r w:rsidRPr="005F62F4">
        <w:fldChar w:fldCharType="end"/>
      </w:r>
      <w:r w:rsidRPr="005F62F4">
        <w:t xml:space="preserve"> identified applications relevant to this review including:</w:t>
      </w:r>
    </w:p>
    <w:p w14:paraId="03569655" w14:textId="67C7BED8" w:rsidR="00430DA4" w:rsidRPr="005F62F4" w:rsidRDefault="00430DA4" w:rsidP="007C4445">
      <w:pPr>
        <w:pStyle w:val="Bullet1"/>
      </w:pPr>
      <w:r w:rsidRPr="005F62F4">
        <w:t>preoperative planning and simulation (3D models can enhance tactile sensory input and improve understanding of complex anatomy and pathology and/or delicate nearby structures such as nerves and vessels)</w:t>
      </w:r>
    </w:p>
    <w:p w14:paraId="2BD1E07F" w14:textId="77777777" w:rsidR="00430DA4" w:rsidRPr="005F62F4" w:rsidRDefault="00430DA4" w:rsidP="007C4445">
      <w:pPr>
        <w:pStyle w:val="Bullet1"/>
      </w:pPr>
      <w:r w:rsidRPr="005F62F4">
        <w:t>customised surgical templates and equipment (</w:t>
      </w:r>
      <w:proofErr w:type="gramStart"/>
      <w:r w:rsidRPr="005F62F4">
        <w:t>e.g.</w:t>
      </w:r>
      <w:proofErr w:type="gramEnd"/>
      <w:r w:rsidRPr="005F62F4">
        <w:t xml:space="preserve"> allowing pre-bending of reconstruction plates or titanium mesh or to guide positioning of implants)</w:t>
      </w:r>
    </w:p>
    <w:p w14:paraId="2D9E22A8" w14:textId="77777777" w:rsidR="00430DA4" w:rsidRPr="005F62F4" w:rsidRDefault="00430DA4" w:rsidP="007C4445">
      <w:pPr>
        <w:pStyle w:val="Bullet1"/>
      </w:pPr>
      <w:r w:rsidRPr="005F62F4">
        <w:t>prosthesis sizing.</w:t>
      </w:r>
    </w:p>
    <w:p w14:paraId="26A45B8D" w14:textId="4B9B274C" w:rsidR="00430DA4" w:rsidRPr="005F62F4" w:rsidRDefault="00430DA4" w:rsidP="00430DA4">
      <w:pPr>
        <w:pStyle w:val="Para"/>
      </w:pPr>
      <w:r w:rsidRPr="005F62F4">
        <w:t xml:space="preserve">The review also notes the applications of 3D models in medical education, surgical training and informed consent </w:t>
      </w:r>
      <w:r w:rsidRPr="005F62F4">
        <w:fldChar w:fldCharType="begin" w:fldLock="1"/>
      </w:r>
      <w:r w:rsidR="009A43DD" w:rsidRPr="005F62F4">
        <w:instrText>ADDIN CSL_CITATION {"citationItems":[{"id":"ITEM-1","itemData":{"DOI":"10.1002/lary.27831","ISSN":"15314995","PMID":"30698840","abstract":"Objectives: Medical three-dimensional (3D) printing, the fabrication of handheld models from medical images, has the potential to become an integral part of otolaryngology–head and neck surgery (Oto-HNS) with broad impact across its subspecialties. We review the basic principles of this technology and provide a comprehensive summary of reported clinical applications in the field. Methods: Standard bibliographic databases (MEDLINE, Embase, Cumulative Index to Nursing and Allied Health Literature, Web of Science, and The Cochrane Central Registry for Randomized Trials) were searched from their inception to May 2018 for the terms: “3D printing,” “three-dimensional printing,” “rapid prototyping,” “additive manufacturing,” “computer-aided design,” “bioprinting,” and “biofabrication” in various combinations with the terms: “ptolaryngology,” “head and neck surgery,” and “otology.” Additional articles were identified from the references of retrieved articles. Only studies describing clinical applications of 3D printing were included. Results: Of 5,532 records identified through database searching, 87 articles were included for qualitative synthesis. Widespread implementation of 3D printing in Oto-HNS is still at its infancy. Nonetheless, it is increasingly being utilized across all subspecialties from preoperative planning to design and fabrication of patient-specific implants and surgical guides. An emerging application considered highly valuable is its use as a teaching tool for medical education and surgical training. Conclusions: As technology and training standards evolve and as healthcare moves toward personalized medicine, 3D printing is emerging as a key technology in patient care in Oto-HNS. Treating physicians and surgeons who wish to stay abreast of these developments will benefit from a fundamental understanding of the principles and applications of this technology. Laryngoscope, 129:2045–2052, 2019.","author":[{"dropping-particle":"","family":"Hong","given":"Chris J.","non-dropping-particle":"","parse-names":false,"suffix":""},{"dropping-particle":"","family":"Giannopoulos","given":"Andreas A.","non-dropping-particle":"","parse-names":false,"suffix":""},{"dropping-particle":"","family":"Hong","given":"Brian Y.","non-dropping-particle":"","parse-names":false,"suffix":""},{"dropping-particle":"","family":"Witterick","given":"Ian J.","non-dropping-particle":"","parse-names":false,"suffix":""},{"dropping-particle":"","family":"Irish","given":"Jonathan C.","non-dropping-particle":"","parse-names":false,"suffix":""},{"dropping-particle":"","family":"Lee","given":"John","non-dropping-particle":"","parse-names":false,"suffix":""},{"dropping-particle":"","family":"Vescan","given":"Allan","non-dropping-particle":"","parse-names":false,"suffix":""},{"dropping-particle":"","family":"Mitsouras","given":"Dimitrios","non-dropping-particle":"","parse-names":false,"suffix":""},{"dropping-particle":"","family":"Dang","given":"Wilfred","non-dropping-particle":"","parse-names":false,"suffix":""},{"dropping-particle":"","family":"Campisi","given":"Paolo","non-dropping-particle":"","parse-names":false,"suffix":""},{"dropping-particle":"","family":"Almeida","given":"John R.","non-dropping-particle":"de","parse-names":false,"suffix":""},{"dropping-particle":"","family":"Monteiro","given":"Eric","non-dropping-particle":"","parse-names":false,"suffix":""}],"container-title":"Laryngoscope","id":"ITEM-1","issue":"9","issued":{"date-parts":[["2019"]]},"page":"2045-2052","title":"Clinical applications of three-dimensional printing in otolaryngology–head and neck surgery: a systematic review","type":"article-journal","volume":"129"},"uris":["http://www.mendeley.com/documents/?uuid=fddf2407-f51e-4380-99a8-5847b00ebfc8"]}],"mendeley":{"formattedCitation":"(Hong et al. 2019)","plainTextFormattedCitation":"(Hong et al. 2019)","previouslyFormattedCitation":"(Hong et al. 2019)"},"properties":{"noteIndex":0},"schema":"https://github.com/citation-style-language/schema/raw/master/csl-citation.json"}</w:instrText>
      </w:r>
      <w:r w:rsidRPr="005F62F4">
        <w:fldChar w:fldCharType="separate"/>
      </w:r>
      <w:r w:rsidRPr="005F62F4">
        <w:rPr>
          <w:noProof/>
        </w:rPr>
        <w:t>(Hong et al. 2019)</w:t>
      </w:r>
      <w:r w:rsidRPr="005F62F4">
        <w:fldChar w:fldCharType="end"/>
      </w:r>
      <w:r w:rsidRPr="005F62F4">
        <w:t>.</w:t>
      </w:r>
    </w:p>
    <w:p w14:paraId="0A5905DF" w14:textId="77777777" w:rsidR="00430DA4" w:rsidRPr="005F62F4" w:rsidRDefault="00430DA4" w:rsidP="00430DA4">
      <w:pPr>
        <w:pStyle w:val="Para"/>
      </w:pPr>
      <w:r w:rsidRPr="005F62F4">
        <w:t xml:space="preserve">Similarly, </w:t>
      </w:r>
      <w:r w:rsidRPr="005F62F4">
        <w:fldChar w:fldCharType="begin" w:fldLock="1"/>
      </w:r>
      <w:r w:rsidRPr="005F62F4">
        <w:instrText>ADDIN CSL_CITATION {"citationItems":[{"id":"ITEM-1","itemData":{"DOI":"10.1007/s00405-022-07291-0","ISBN":"0123456789","ISSN":"14344726","PMID":"35166908","abstract":"Purpose: 3D-printing (three-dimensional printing) is an emerging technology with promising applications for patient-specific interventions. Nonetheless, knowledge on the clinical applicability of 3D-printing in otology and research on its use remains scattered. Understanding these new treatment options is a prerequisite for clinical implementation, which could improve patient outcomes. This review aims to explore current applications of 3D-printed patient-specific otologic interventions, including state of the evidence, strengths, limitations, and future possibilities. Methods: Following the PRISMA statement, relevant studies were identified through Pubmed, EMBASE, the Cochrane Library, and Web of Science. Data on the manufacturing process and interventions were extracted by two reviewers. Study quality was assessed using Joanna Briggs Institute’s critical appraisal tools. Results: Screening yielded 590 studies; 63 were found eligible and included for analysis. 3D-printed models were used as guides, templates, implants, and devices. Outer ear interventions comprised 73% of the studies. Overall, optimistic sentiments on 3D-printed models were reported, including increased surgical precision/confidence, faster manufacturing/operation time, and reduced costs/complications. Nevertheless, study quality was low as most studies failed to use relevant objective outcomes, compare new interventions with conventional treatment, and sufficiently describe manufacturing. Conclusion: Several clinical interventions using patient-specific 3D-printing in otology are considered promising. However, it remains unclear whether these interventions actually improve patient outcomes due to lack of comparison with conventional methods and low levels of evidence. Further, the reproducibility of the 3D-printed interventions is compromised by insufficient reporting. Future efforts should focus on objective, comparative outcomes evaluated in large-scale studies.","author":[{"dropping-particle":"","family":"Omari","given":"Adam","non-dropping-particle":"","parse-names":false,"suffix":""},{"dropping-particle":"","family":"Frendø","given":"Martin","non-dropping-particle":"","parse-names":false,"suffix":""},{"dropping-particle":"","family":"Sørensen","given":"Mads Sølvsten","non-dropping-particle":"","parse-names":false,"suffix":""},{"dropping-particle":"","family":"Andersen","given":"Steven Arild Wuyts","non-dropping-particle":"","parse-names":false,"suffix":""},{"dropping-particle":"","family":"Frithioff","given":"Andreas","non-dropping-particle":"","parse-names":false,"suffix":""}],"container-title":"European Archives of Oto-Rhino-Laryngology","id":"ITEM-1","issue":"7","issued":{"date-parts":[["2022"]]},"page":"3269-3288","publisher":"Springer Berlin Heidelberg","title":"The cutting edge of customized surgery: 3D-printed models for patient-specific interventions in otology and auricular management—a systematic review","type":"article-journal","volume":"279"},"uris":["http://www.mendeley.com/documents/?uuid=b0b8c197-04a3-43fd-ab61-353169bacc38"]}],"mendeley":{"formattedCitation":"(Omari et al. 2022)","manualFormatting":"Omari et al. (2022)","plainTextFormattedCitation":"(Omari et al. 2022)","previouslyFormattedCitation":"(Omari et al. 2022)"},"properties":{"noteIndex":0},"schema":"https://github.com/citation-style-language/schema/raw/master/csl-citation.json"}</w:instrText>
      </w:r>
      <w:r w:rsidRPr="005F62F4">
        <w:fldChar w:fldCharType="separate"/>
      </w:r>
      <w:r w:rsidRPr="005F62F4">
        <w:rPr>
          <w:noProof/>
        </w:rPr>
        <w:t>Omari et al. (2022)</w:t>
      </w:r>
      <w:r w:rsidRPr="005F62F4">
        <w:fldChar w:fldCharType="end"/>
      </w:r>
      <w:r w:rsidRPr="005F62F4">
        <w:t xml:space="preserve"> found that 3D-printed models were used as guides, templates, implants and devices in otology and auricular management. 3D-printed guides were </w:t>
      </w:r>
      <w:proofErr w:type="gramStart"/>
      <w:r w:rsidRPr="005F62F4">
        <w:t xml:space="preserve">most </w:t>
      </w:r>
      <w:r w:rsidRPr="005F62F4">
        <w:lastRenderedPageBreak/>
        <w:t>commonly reported</w:t>
      </w:r>
      <w:proofErr w:type="gramEnd"/>
      <w:r w:rsidRPr="005F62F4">
        <w:t xml:space="preserve"> in the context of reconstructive surgery for microtia, where they were usually used as a cutting guide for rib cartilage to create a framework for an auricle prosthesis. In this application, the guide was found to accurately mirror the other auricle and decrease surgical time (compared with the use of 2-dimensional guides). In other </w:t>
      </w:r>
      <w:proofErr w:type="gramStart"/>
      <w:r w:rsidRPr="005F62F4">
        <w:t>contexts</w:t>
      </w:r>
      <w:proofErr w:type="gramEnd"/>
      <w:r w:rsidRPr="005F62F4">
        <w:t xml:space="preserve"> 3D-printed products were variously used as positioning or sculpting guides, cutting guides or drill guides. The authors concluded that ‘it remains unclear whether these interventions actually improve patient outcomes due to lack of comparison with conventional methods and low levels of evidence’ (p. 3284</w:t>
      </w:r>
      <w:proofErr w:type="gramStart"/>
      <w:r w:rsidRPr="005F62F4">
        <w:t>), and</w:t>
      </w:r>
      <w:proofErr w:type="gramEnd"/>
      <w:r w:rsidRPr="005F62F4">
        <w:t xml:space="preserve"> cited an example where conventional manufacturing techniques provided better auricle resemblance than the 3D-printed comparator.</w:t>
      </w:r>
    </w:p>
    <w:p w14:paraId="1442E0BB" w14:textId="308D0233" w:rsidR="00430DA4" w:rsidRPr="005F62F4" w:rsidRDefault="00430DA4" w:rsidP="00430DA4">
      <w:pPr>
        <w:pStyle w:val="Para"/>
      </w:pPr>
      <w:r w:rsidRPr="005F62F4">
        <w:fldChar w:fldCharType="begin" w:fldLock="1"/>
      </w:r>
      <w:r w:rsidR="009A43DD" w:rsidRPr="005F62F4">
        <w:instrText>ADDIN CSL_CITATION {"citationItems":[{"id":"ITEM-1","itemData":{"DOI":"10.14639/0392-100X-1984","ISSN":"1827675X","PMID":"30197421","abstract":"3D printing systems have revolutionised prototyping in the industrial field by lowering production time from days to hours and costs from thousands to just a few dollars. Today, 3D printers are no more confined to prototyping, but are increasingly employed in medical disciplines with fascinating results, even in many aspects of otorhinolaryngology. All publications on ENT surgery, sourced through updated electronic databases (PubMed, MEDLINE, EMBASE) and published up to March 2017, were examined according to PRISMA guidelines. Overall, 121 studies fulfilled specific inclusion criteria and were included in our systematic review. Studies were classified according to the specific field of application (otologic, rhinologic, head and neck) and area of interest (surgical and preclinical education, customised surgical planning, tissue engineering and implantable prosthesis). Technological aspects, clinical implications and limits of 3D printing processes are discussed focusing on current benefits and future perspectives.","author":[{"dropping-particle":"","family":"Canzi","given":"Pietro","non-dropping-particle":"","parse-names":false,"suffix":""},{"dropping-particle":"","family":"Magnetto","given":"M.","non-dropping-particle":"","parse-names":false,"suffix":""},{"dropping-particle":"","family":"Marconi","given":"S.","non-dropping-particle":"","parse-names":false,"suffix":""},{"dropping-particle":"","family":"Morbini","given":"P.","non-dropping-particle":"","parse-names":false,"suffix":""},{"dropping-particle":"","family":"Mauramati","given":"S.","non-dropping-particle":"","parse-names":false,"suffix":""},{"dropping-particle":"","family":"Aprile","given":"F.","non-dropping-particle":"","parse-names":false,"suffix":""},{"dropping-particle":"","family":"Avato","given":"I.","non-dropping-particle":"","parse-names":false,"suffix":""},{"dropping-particle":"","family":"Auricchio","given":"F.","non-dropping-particle":"","parse-names":false,"suffix":""},{"dropping-particle":"","family":"Benazzo","given":"M.","non-dropping-particle":"","parse-names":false,"suffix":""}],"container-title":"Acta Otorhinolaryngologica Italica","id":"ITEM-1","issue":"4","issued":{"date-parts":[["2018"]]},"page":"286-303","title":"New frontiers and emerging applications of 3D printing in ENT surgery: a systematic review of the literature","type":"article-journal","volume":"38"},"uris":["http://www.mendeley.com/documents/?uuid=140e7b04-ebcd-4727-8076-1e105e8ef78f"]}],"mendeley":{"formattedCitation":"(Canzi et al. 2018)","manualFormatting":"Canzi et al. (2018)","plainTextFormattedCitation":"(Canzi et al. 2018)","previouslyFormattedCitation":"(Canzi et al. 2018)"},"properties":{"noteIndex":0},"schema":"https://github.com/citation-style-language/schema/raw/master/csl-citation.json"}</w:instrText>
      </w:r>
      <w:r w:rsidRPr="005F62F4">
        <w:fldChar w:fldCharType="separate"/>
      </w:r>
      <w:r w:rsidRPr="005F62F4">
        <w:rPr>
          <w:noProof/>
        </w:rPr>
        <w:t>Canzi et al. (2018)</w:t>
      </w:r>
      <w:r w:rsidRPr="005F62F4">
        <w:fldChar w:fldCharType="end"/>
      </w:r>
      <w:r w:rsidRPr="005F62F4">
        <w:t xml:space="preserve"> described ‘new frontiers and emerging applications’ of 3D printed technologies in the ear nose and throat (ENT) field, including otology, rhinology and head and neck surgery. The authors divided uses into 3 categories: surgical and pre-clinical educations, customised surgical planning, and tissue engineering and implantable prostheses. Customised head and neck surgical planning was the most frequent application reported, and the context of </w:t>
      </w:r>
      <w:proofErr w:type="gramStart"/>
      <w:r w:rsidRPr="005F62F4">
        <w:t>the vast majority of</w:t>
      </w:r>
      <w:proofErr w:type="gramEnd"/>
      <w:r w:rsidRPr="005F62F4">
        <w:t xml:space="preserve"> these studies was surgical management of tumours requiring mandibular resection and/or reconstruction.</w:t>
      </w:r>
    </w:p>
    <w:p w14:paraId="64B4198F" w14:textId="172F555C" w:rsidR="00430DA4" w:rsidRPr="005F62F4" w:rsidRDefault="00430DA4" w:rsidP="00430DA4">
      <w:pPr>
        <w:pStyle w:val="Para"/>
      </w:pPr>
      <w:r w:rsidRPr="005F62F4">
        <w:t xml:space="preserve">Finally, review of costs associated with medical 3D-printing applications found that the use of </w:t>
      </w:r>
      <w:proofErr w:type="spellStart"/>
      <w:r w:rsidRPr="005F62F4">
        <w:t>biomodels</w:t>
      </w:r>
      <w:proofErr w:type="spellEnd"/>
      <w:r w:rsidRPr="005F62F4">
        <w:t xml:space="preserve"> saved a mean of 66 operative minutes in the setting of </w:t>
      </w:r>
      <w:r w:rsidRPr="005F62F4">
        <w:rPr>
          <w:rStyle w:val="Strong"/>
        </w:rPr>
        <w:t>oral and maxillofacial surgery</w:t>
      </w:r>
      <w:r w:rsidRPr="005F62F4">
        <w:t xml:space="preserve"> (p</w:t>
      </w:r>
      <w:r w:rsidR="005F6896" w:rsidRPr="005F62F4">
        <w:t> = </w:t>
      </w:r>
      <w:r w:rsidRPr="005F62F4">
        <w:t>0.003). The use of surgical guides resulted in a mean operative time saving of 83</w:t>
      </w:r>
      <w:r w:rsidR="0075478F" w:rsidRPr="005F62F4">
        <w:t> </w:t>
      </w:r>
      <w:r w:rsidRPr="005F62F4">
        <w:t>minutes that approached significance (p</w:t>
      </w:r>
      <w:r w:rsidR="005F6896" w:rsidRPr="005F62F4">
        <w:t> = </w:t>
      </w:r>
      <w:r w:rsidRPr="005F62F4">
        <w:t xml:space="preserve">0.05) </w:t>
      </w:r>
      <w:r w:rsidRPr="005F62F4">
        <w:fldChar w:fldCharType="begin" w:fldLock="1"/>
      </w:r>
      <w:r w:rsidRPr="005F62F4">
        <w:instrText>ADDIN CSL_CITATION {"citationItems":[{"id":"ITEM-1","itemData":{"DOI":"10.1016/j.acra.2019.08.011","ISSN":"18784046","PMID":"31542197","abstract":"RATIONALE AND OBJECTIVE: Three-dimensional (3D) printed anatomic models and surgical guides have been shown to reduce operative time. The purpose of this study was to generate an economic analysis of the cost-saving potential of 3D printed anatomic models and surgical guides in orthopedic and maxillofacial surgical applications. MATERIALS AND METHODS: A targeted literature search identified operating room cost-per-minute and studies that quantified time saved using 3D printed constructs. Studies that reported operative time differences due to 3D printed anatomic models or surgical guides were reviewed and cataloged. A mean of $62 per operating room minute (range of $22–$133 per minute) was used as the reference standard for operating room time cost. Different financial scenarios were modeled with the provided cost-per-minute of operating room time (using high, mean, and low values) and mean time saved using 3D printed constructs. RESULTS: Seven studies using 3D printed anatomic models in surgical care demonstrated a mean 62 minutes ($3720/case saved from reduced time) of time saved, and 25 studies of 3D printed surgical guides demonstrated a mean 23 minutes time saved ($1488/case saved from reduced time). An estimated 63 models or guides per year (or 1.2/week) were predicted to be the minimum number to breakeven and account for annual fixed costs. CONCLUSION: Based on the literature-based financial analyses, medical 3D printing appears to reduce operating room costs secondary to shortening procedure times. While resource-intensive, 3D printed constructs used in patients’ operative care provides considerable downstream value to health systems.","author":[{"dropping-particle":"","family":"Ballard","given":"David H.","non-dropping-particle":"","parse-names":false,"suffix":""},{"dropping-particle":"","family":"Mills","given":"Patrick","non-dropping-particle":"","parse-names":false,"suffix":""},{"dropping-particle":"","family":"Duszak","given":"Richard","non-dropping-particle":"","parse-names":false,"suffix":""},{"dropping-particle":"","family":"Weisman","given":"Jeffery A.","non-dropping-particle":"","parse-names":false,"suffix":""},{"dropping-particle":"","family":"Rybicki","given":"Frank J.","non-dropping-particle":"","parse-names":false,"suffix":""},{"dropping-particle":"","family":"Woodard","given":"Pamela K.","non-dropping-particle":"","parse-names":false,"suffix":""}],"container-title":"Academic Radiology","id":"ITEM-1","issue":"8","issued":{"date-parts":[["2020"]]},"page":"1103-1113","publisher":"Elsevier Inc.","title":"Medical 3D printing cost-savings in orthopedic and maxillofacial surgery: cost analysis of operating room time saved with 3D printed anatomic models and surgical guides","type":"article-journal","volume":"27"},"uris":["http://www.mendeley.com/documents/?uuid=dd63fa1e-4562-407f-a955-e571eae74dff"]}],"mendeley":{"formattedCitation":"(Ballard et al. 2020)","plainTextFormattedCitation":"(Ballard et al. 2020)","previouslyFormattedCitation":"(Ballard et al. 2020)"},"properties":{"noteIndex":0},"schema":"https://github.com/citation-style-language/schema/raw/master/csl-citation.json"}</w:instrText>
      </w:r>
      <w:r w:rsidRPr="005F62F4">
        <w:fldChar w:fldCharType="separate"/>
      </w:r>
      <w:r w:rsidRPr="005F62F4">
        <w:rPr>
          <w:noProof/>
        </w:rPr>
        <w:t>(Ballard et al. 2020)</w:t>
      </w:r>
      <w:r w:rsidRPr="005F62F4">
        <w:fldChar w:fldCharType="end"/>
      </w:r>
      <w:r w:rsidRPr="005F62F4">
        <w:t>.</w:t>
      </w:r>
    </w:p>
    <w:p w14:paraId="6C45628E" w14:textId="77777777" w:rsidR="00430DA4" w:rsidRPr="005F62F4" w:rsidRDefault="00430DA4" w:rsidP="004F2931">
      <w:pPr>
        <w:pStyle w:val="HeadingA3"/>
      </w:pPr>
      <w:bookmarkStart w:id="312" w:name="_Toc120178365"/>
      <w:bookmarkStart w:id="313" w:name="_Ref120189522"/>
      <w:r w:rsidRPr="005F62F4">
        <w:t>Orthopaedic surgery</w:t>
      </w:r>
      <w:bookmarkEnd w:id="312"/>
      <w:bookmarkEnd w:id="313"/>
    </w:p>
    <w:p w14:paraId="3CE2D919" w14:textId="0C137D77" w:rsidR="00430DA4" w:rsidRPr="005F62F4" w:rsidRDefault="00430DA4" w:rsidP="00430DA4">
      <w:pPr>
        <w:pStyle w:val="Para"/>
      </w:pPr>
      <w:r w:rsidRPr="005F62F4">
        <w:fldChar w:fldCharType="begin" w:fldLock="1"/>
      </w:r>
      <w:r w:rsidRPr="005F62F4">
        <w:instrText>ADDIN CSL_CITATION {"citationItems":[{"id":"ITEM-1","itemData":{"DOI":"10.1016/j.arthro.2022.02.023","ISSN":"15263231","PMID":"35247513","abstract":"Purpose: To evaluate the accuracy and precision of postoperative coronal plane alignment using 3D-printed patient-specific instrumentation (PSI) in the setting of proximal tibial or distal femoral osteotomies. Methods: A systematic review evaluating the accuracy of 3D-printed PSI for coronal plane alignment correcting knee osteotomies was performed. The primary outcomes were accuracy of coronal plane limb alignment correction and number of correction outliers. Secondary variables were duration of surgery, number of intraoperative fluoroscopic images, complications, cost, and clinical outcomes (as applicable). Results: Ninety-three studies were identified, and 14 were included in the final analysis. Overall, mean postoperative deviation from target correction ranged from 0.3° to 1° for all studies using hip-knee angle measurements and 2.3% to 4.9% for all studies using weight-bearing line measurements. The incidence of correction outliers was assessed in 8 total studies and ranged from 0 to 25% (total n = 10 knees) of patients corrected with 3D-printed PSI. Osteotomies performed with 3D-printed cutting guides or wedges demonstrated significantly shorter operative times (P &lt;.05) and fewer intraoperative fluoroscopic images (P &lt;.05) than control groups in four case control studies. Conclusion: Patients undergoing distal femoral osteotomy or proximal tibial osteotomy procedures with 3D-printed patient-specific cutting guides and wedges had highly accurate coronal plane alignment with a low rate of outliers. Patients treated with 3D printed PSI also demonstrated significantly shorter operative times and decreased intraoperative fluoroscopy when compared to conventional techniques. Level of Evidence: Level IV, systematic review of Level III-IV studies","author":[{"dropping-particle":"","family":"Aman","given":"Zachary S.","non-dropping-particle":"","parse-names":false,"suffix":""},{"dropping-particle":"","family":"DePhillipo","given":"Nicholas N.","non-dropping-particle":"","parse-names":false,"suffix":""},{"dropping-particle":"","family":"Peebles","given":"Liam A.","non-dropping-particle":"","parse-names":false,"suffix":""},{"dropping-particle":"","family":"Familiari","given":"Filippo","non-dropping-particle":"","parse-names":false,"suffix":""},{"dropping-particle":"","family":"LaPrade","given":"Robert F.","non-dropping-particle":"","parse-names":false,"suffix":""},{"dropping-particle":"","family":"Dekker","given":"Travis J.","non-dropping-particle":"","parse-names":false,"suffix":""}],"container-title":"Arthroscopy - Journal of Arthroscopic and Related Surgery","id":"ITEM-1","issue":"9","issued":{"date-parts":[["2022"]]},"page":"2741-2758","publisher":"Elsevier Inc.","title":"Improved accuracy of coronal alignment can be attained using 3D-printed patient-specific instrumentation for knee osteotomies: a systematic review of level III and IV studies","type":"article-journal","volume":"38"},"uris":["http://www.mendeley.com/documents/?uuid=b89833b8-3828-4cb3-a446-d440362ffa09"]}],"mendeley":{"formattedCitation":"(Aman et al. 2022)","manualFormatting":"Aman et al. (2022)","plainTextFormattedCitation":"(Aman et al. 2022)","previouslyFormattedCitation":"(Aman et al. 2022)"},"properties":{"noteIndex":0},"schema":"https://github.com/citation-style-language/schema/raw/master/csl-citation.json"}</w:instrText>
      </w:r>
      <w:r w:rsidRPr="005F62F4">
        <w:fldChar w:fldCharType="separate"/>
      </w:r>
      <w:r w:rsidRPr="005F62F4">
        <w:rPr>
          <w:noProof/>
        </w:rPr>
        <w:t>Aman et al. (2022)</w:t>
      </w:r>
      <w:r w:rsidRPr="005F62F4">
        <w:fldChar w:fldCharType="end"/>
      </w:r>
      <w:r w:rsidRPr="005F62F4">
        <w:t xml:space="preserve"> evaluated the use of 3D-printed cutting guides or spacers in </w:t>
      </w:r>
      <w:r w:rsidRPr="005F62F4">
        <w:rPr>
          <w:rStyle w:val="Strong"/>
        </w:rPr>
        <w:t>knee osteotomy</w:t>
      </w:r>
      <w:r w:rsidRPr="005F62F4">
        <w:t xml:space="preserve"> procedures. Their review found that such ‘patient-specific instrumentation’ was associated with high accuracy of coronal plate alignment. While only 6 studies identified were comparative in nature, the majority of these (5) reported superior accuracy using 3D-printed cutting guides or wedges over ‘comparative techniques’ – however, 3D printed cutting guides were the only patient-specific instrumentation in only 3 of these. Within the latter studies, 2 found better accuracy with use of the 3D cutting guide compared with the conventional group, while another found these guides superior to a navigation protocol, but not conventional surgery. One of these reported no significant differences in functional outcome scores, postoperative active flexion, or recurvatum between 3D-printed cutting guides and conventional techniques at 1 year follow-up. The authors noted that ‘future randomi</w:t>
      </w:r>
      <w:r w:rsidR="0050412F" w:rsidRPr="005F62F4">
        <w:t>s</w:t>
      </w:r>
      <w:r w:rsidRPr="005F62F4">
        <w:t xml:space="preserve">ed control trials evaluating efficacy on clinical outcomes and overall effect on total radiation exposure are needed before 3D-printed [patient-specific instruments] can be regarded as an essential device for these procedures’ </w:t>
      </w:r>
      <w:r w:rsidRPr="005F62F4">
        <w:fldChar w:fldCharType="begin" w:fldLock="1"/>
      </w:r>
      <w:r w:rsidRPr="005F62F4">
        <w:instrText>ADDIN CSL_CITATION {"citationItems":[{"id":"ITEM-1","itemData":{"DOI":"10.1016/j.arthro.2022.02.023","ISSN":"15263231","PMID":"35247513","abstract":"Purpose: To evaluate the accuracy and precision of postoperative coronal plane alignment using 3D-printed patient-specific instrumentation (PSI) in the setting of proximal tibial or distal femoral osteotomies. Methods: A systematic review evaluating the accuracy of 3D-printed PSI for coronal plane alignment correcting knee osteotomies was performed. The primary outcomes were accuracy of coronal plane limb alignment correction and number of correction outliers. Secondary variables were duration of surgery, number of intraoperative fluoroscopic images, complications, cost, and clinical outcomes (as applicable). Results: Ninety-three studies were identified, and 14 were included in the final analysis. Overall, mean postoperative deviation from target correction ranged from 0.3° to 1° for all studies using hip-knee angle measurements and 2.3% to 4.9% for all studies using weight-bearing line measurements. The incidence of correction outliers was assessed in 8 total studies and ranged from 0 to 25% (total n = 10 knees) of patients corrected with 3D-printed PSI. Osteotomies performed with 3D-printed cutting guides or wedges demonstrated significantly shorter operative times (P &lt;.05) and fewer intraoperative fluoroscopic images (P &lt;.05) than control groups in four case control studies. Conclusion: Patients undergoing distal femoral osteotomy or proximal tibial osteotomy procedures with 3D-printed patient-specific cutting guides and wedges had highly accurate coronal plane alignment with a low rate of outliers. Patients treated with 3D printed PSI also demonstrated significantly shorter operative times and decreased intraoperative fluoroscopy when compared to conventional techniques. Level of Evidence: Level IV, systematic review of Level III-IV studies","author":[{"dropping-particle":"","family":"Aman","given":"Zachary S.","non-dropping-particle":"","parse-names":false,"suffix":""},{"dropping-particle":"","family":"DePhillipo","given":"Nicholas N.","non-dropping-particle":"","parse-names":false,"suffix":""},{"dropping-particle":"","family":"Peebles","given":"Liam A.","non-dropping-particle":"","parse-names":false,"suffix":""},{"dropping-particle":"","family":"Familiari","given":"Filippo","non-dropping-particle":"","parse-names":false,"suffix":""},{"dropping-particle":"","family":"LaPrade","given":"Robert F.","non-dropping-particle":"","parse-names":false,"suffix":""},{"dropping-particle":"","family":"Dekker","given":"Travis J.","non-dropping-particle":"","parse-names":false,"suffix":""}],"container-title":"Arthroscopy - Journal of Arthroscopic and Related Surgery","id":"ITEM-1","issue":"9","issued":{"date-parts":[["2022"]]},"page":"2741-2758","publisher":"Elsevier Inc.","title":"Improved accuracy of coronal alignment can be attained using 3D-printed patient-specific instrumentation for knee osteotomies: a systematic review of level III and IV studies","type":"article-journal","volume":"38"},"uris":["http://www.mendeley.com/documents/?uuid=b89833b8-3828-4cb3-a446-d440362ffa09"]}],"mendeley":{"formattedCitation":"(Aman et al. 2022)","manualFormatting":"(Aman et al. 2022. p. 2753)","plainTextFormattedCitation":"(Aman et al. 2022)","previouslyFormattedCitation":"(Aman et al. 2022)"},"properties":{"noteIndex":0},"schema":"https://github.com/citation-style-language/schema/raw/master/csl-citation.json"}</w:instrText>
      </w:r>
      <w:r w:rsidRPr="005F62F4">
        <w:fldChar w:fldCharType="separate"/>
      </w:r>
      <w:r w:rsidRPr="005F62F4">
        <w:rPr>
          <w:noProof/>
        </w:rPr>
        <w:t>(Aman et al. 2022. p. 2753)</w:t>
      </w:r>
      <w:r w:rsidRPr="005F62F4">
        <w:fldChar w:fldCharType="end"/>
      </w:r>
      <w:r w:rsidRPr="005F62F4">
        <w:t>.</w:t>
      </w:r>
    </w:p>
    <w:p w14:paraId="65AF6321" w14:textId="39487C70" w:rsidR="00430DA4" w:rsidRPr="005F62F4" w:rsidRDefault="00430DA4" w:rsidP="00430DA4">
      <w:pPr>
        <w:pStyle w:val="Para"/>
      </w:pPr>
      <w:r w:rsidRPr="005F62F4">
        <w:fldChar w:fldCharType="begin" w:fldLock="1"/>
      </w:r>
      <w:r w:rsidR="009A43DD" w:rsidRPr="005F62F4">
        <w:instrText>ADDIN CSL_CITATION {"citationItems":[{"id":"ITEM-1","itemData":{"DOI":"10.1186/s12891-019-2940-2","ISSN":"14712474","PMID":"31759392","abstract":"Background: Total knee arthroplasty using patient-specific instrumentation (TKA-PSI), which are disposable cutting block guides generated to fit each patient's 3-dimensional knee anatomy, has been developed to treat patients with end-stage osteoarthritis of the knee. Surrogate markers such as radiographic malalignment have been well investigated, however, patient-important outcomes are not well examined to elucidate the efficacy of TKA-PSI. The aim of this review is to determine if TKA-PSI improves patient-reported outcome measures (PROM), surgery time, blood loss, transfusion and complications (e.g. surgical site infection, deep venous thrombosis, and revision TKA). Methods: We searched the Cochrane Central Register of Controlled Trials (CENTRAL), MEDLINE, EMBASE, and ongoing clinical trials. For PROMs, surgery time, blood loss, and transfusion rate, we included randomized controlled trials (RCT) comparing TKA-PSI and standard TKA to treat osteoarthritis of the knee. For complications, we also included non-randomized comparative studies (non-RCT). Results: This review includes 38 studies, 24 of which were RCT and 14 of which were non-RCT. These included a total of 3487 patients. The predominant population in the included studies highly reflected the general population, with 62% being female, aged over 60 and having end-stage osteoarthritis of the knee. TKA-PSI did not improve PROMs as compared to standard TKA for less than 1-year (mean difference 0.48, 95% confidence interval (CI) -1.92-0.97 in the Oxford knee score, mean 3-month follow-up) and for 1-year or more (mean difference 0.25, 95%CI - 4.39-4.89 in the WOMAC score, mean 29-month follow-up). TKA-PSI did not reduce surgery time (mean difference - 3.09 min, 95%CI -6.73-0.55). TKA-PSI decreased blood loss with a small effect size corresponding to a 0.4 g/dl hemoglobin decrease (95%CI 0.18-0.88), but did not decrease transfusion rate (risk difference - 0.04, 95%CI -0.09-0.01). TKA-PSI did not reduce complication rates (risk difference 0.00, 95%CI - 0.01-0.01 in the composite outcome). Conclusions: TKA-PSI does not improve patient-reported outcome measures, surgery time, and complication rates as compared to standard TKA. TKA-PSI decreases blood loss with a small effect, which is not enough to reduce transfusion rate.","author":[{"dropping-particle":"","family":"Kizaki","given":"Kazuha","non-dropping-particle":"","parse-names":false,"suffix":""},{"dropping-particle":"","family":"Shanmugaraj","given":"Ajaykumar","non-dropping-particle":"","parse-names":false,"suffix":""},{"dropping-particle":"","family":"Yamashita","given":"Fumiharu","non-dropping-particle":"","parse-names":false,"suffix":""},{"dropping-particle":"","family":"Simunovic","given":"Nicole","non-dropping-particle":"","parse-names":false,"suffix":""},{"dropping-particle":"","family":"Duong","given":"Andrew","non-dropping-particle":"","parse-names":false,"suffix":""},{"dropping-particle":"","family":"Khanna","given":"Vickas","non-dropping-particle":"","parse-names":false,"suffix":""},{"dropping-particle":"","family":"Ayeni","given":"Olufemi R.","non-dropping-particle":"","parse-names":false,"suffix":""}],"container-title":"BMC Musculoskeletal Disorders","id":"ITEM-1","issue":"1","issued":{"date-parts":[["2019"]]},"page":"1-18","publisher":"BMC Musculoskeletal Disorders","title":"Total knee arthroplasty using patient-specific instrumentation for osteoarthritis of the knee: a meta-analysis","type":"article-journal","volume":"20"},"uris":["http://www.mendeley.com/documents/?uuid=35402da0-6490-46c3-8f99-7b2ba38a7bbd"]}],"mendeley":{"formattedCitation":"(Kizaki et al. 2019)","manualFormatting":"Kizaki et al. (2019)","plainTextFormattedCitation":"(Kizaki et al. 2019)","previouslyFormattedCitation":"(Kizaki et al. 2019)"},"properties":{"noteIndex":0},"schema":"https://github.com/citation-style-language/schema/raw/master/csl-citation.json"}</w:instrText>
      </w:r>
      <w:r w:rsidRPr="005F62F4">
        <w:fldChar w:fldCharType="separate"/>
      </w:r>
      <w:r w:rsidRPr="005F62F4">
        <w:rPr>
          <w:noProof/>
        </w:rPr>
        <w:t>Kizaki et al. (2019)</w:t>
      </w:r>
      <w:r w:rsidRPr="005F62F4">
        <w:fldChar w:fldCharType="end"/>
      </w:r>
      <w:r w:rsidRPr="005F62F4">
        <w:t xml:space="preserve"> found that the use of patient-specific cutting block guides in </w:t>
      </w:r>
      <w:r w:rsidRPr="005F62F4">
        <w:rPr>
          <w:rStyle w:val="Strong"/>
        </w:rPr>
        <w:t>total knee arthroplasty</w:t>
      </w:r>
      <w:r w:rsidRPr="005F62F4">
        <w:t xml:space="preserve"> does not result in better patient-reported outcome measures, shorter surgery time </w:t>
      </w:r>
      <w:r w:rsidRPr="005F62F4">
        <w:lastRenderedPageBreak/>
        <w:t xml:space="preserve">or lower complication rates compared with standard procedures. While blood loss was found to be slightly lower, the effect was too small to affect transfusion rates. In a review of literature pertaining to </w:t>
      </w:r>
      <w:r w:rsidRPr="005F62F4">
        <w:rPr>
          <w:rStyle w:val="Strong"/>
        </w:rPr>
        <w:t>revision total hip and knee arthroplasty</w:t>
      </w:r>
      <w:r w:rsidRPr="005F62F4">
        <w:t xml:space="preserve"> procedures assisted by 3D printing techniques, the authors noted that the technology was primarily used to produce customised prostheses and articulating spacers </w:t>
      </w:r>
      <w:r w:rsidRPr="005F62F4">
        <w:fldChar w:fldCharType="begin" w:fldLock="1"/>
      </w:r>
      <w:r w:rsidRPr="005F62F4">
        <w:instrText>ADDIN CSL_CITATION {"citationItems":[{"id":"ITEM-1","itemData":{"DOI":"10.1186/s13018-021-02646-5","ISSN":"1749799X","PMID":"34389036","abstract":"Background: This study investigates whether three-dimensional (3D) printing-assisted revision total hip/knee arthroplasty could improve its clinical and radiological outcomes and assess the depth and breadth of research conducted on 3D printing-assisted revision total hip and knee arthroplasty. Methods: A literature search was carried out on PubMed, Web of Science, EMBASE, and the Cochrane Library. Only studies that investigated 3D printing-assisted revision total hip and knee arthroplasty were included. The author, publication year, study design, number of patients, patients’ age, the time of follow-up, surgery category, Coleman score, clinical outcomes measured, clinical outcomes conclusion, radiological outcomes measured, and radiological outcomes conclusion were extracted and analyzed. Results: Ten articles were included in our review. Three articles investigated the outcome of revision total knee arthroplasty, and seven investigated the outcome of revision total hip arthroplasty. Two papers compared a 3D printing group with a control group, and the other eight reported 3D printing treatment outcomes alone. Nine articles investigated the clinical outcomes of total hip/knee arthroplasty, and eight studied the radiological outcomes of total hip/knee arthroplasty. Conclusion: 3D printing is being introduced in revision total hip and knee arthroplasty. Current literature suggests satisfactory clinical and radiological outcomes could be obtained with the assistance of 3D printing. Further long-term follow-up studies are required, particularly focusing on cost-benefit analysis, resource availability, and, importantly, the durability and biomechanics of customized prostheses using 3D printing compared to traditional techniques.","author":[{"dropping-particle":"","family":"Zhang","given":"Rui","non-dropping-particle":"","parse-names":false,"suffix":""},{"dropping-particle":"","family":"Lin","given":"Jiajun","non-dropping-particle":"","parse-names":false,"suffix":""},{"dropping-particle":"","family":"Chen","given":"Fenyong","non-dropping-particle":"","parse-names":false,"suffix":""},{"dropping-particle":"","family":"Liu","given":"Wenge","non-dropping-particle":"","parse-names":false,"suffix":""},{"dropping-particle":"","family":"Chen","given":"Min","non-dropping-particle":"","parse-names":false,"suffix":""}],"container-title":"Journal of Orthopaedic Surgery and Research","id":"ITEM-1","issue":"1","issued":{"date-parts":[["2021"]]},"page":"1-10","publisher":"Journal of Orthopaedic Surgery and Research","title":"Clinical and radiological outcomes in three-dimensional printing assisted revision total hip and knee arthroplasty: a systematic review","type":"article-journal","volume":"16"},"uris":["http://www.mendeley.com/documents/?uuid=df2a90c1-395c-4372-8627-609ed01f8e99"]}],"mendeley":{"formattedCitation":"(Zhang et al. 2021)","plainTextFormattedCitation":"(Zhang et al. 2021)","previouslyFormattedCitation":"(Zhang et al. 2021)"},"properties":{"noteIndex":0},"schema":"https://github.com/citation-style-language/schema/raw/master/csl-citation.json"}</w:instrText>
      </w:r>
      <w:r w:rsidRPr="005F62F4">
        <w:fldChar w:fldCharType="separate"/>
      </w:r>
      <w:r w:rsidRPr="005F62F4">
        <w:rPr>
          <w:noProof/>
        </w:rPr>
        <w:t>(Zhang et al. 2021)</w:t>
      </w:r>
      <w:r w:rsidRPr="005F62F4">
        <w:fldChar w:fldCharType="end"/>
      </w:r>
      <w:r w:rsidRPr="005F62F4">
        <w:t>.</w:t>
      </w:r>
    </w:p>
    <w:p w14:paraId="147ADB08" w14:textId="05DA0648" w:rsidR="00430DA4" w:rsidRPr="005F62F4" w:rsidRDefault="00430DA4" w:rsidP="00430DA4">
      <w:pPr>
        <w:pStyle w:val="Para"/>
      </w:pPr>
      <w:r w:rsidRPr="005F62F4">
        <w:fldChar w:fldCharType="begin" w:fldLock="1"/>
      </w:r>
      <w:r w:rsidR="009A43DD" w:rsidRPr="005F62F4">
        <w:instrText>ADDIN CSL_CITATION {"citationItems":[{"id":"ITEM-1","itemData":{"DOI":"10.1016/j.otsr.2021.103111","ISSN":"18770568","PMID":"34648997","abstract":"Background: Acetabular fractures are caused by high energy injuries. The treatment aims to reconstruct the articular surface, restoring the anatomical structure. The surgical management of these fractures is difficult because it requires familiarity with the 3D anatomy of the pelvis. With the use of 3D printing technique for planning surgery, this limitation could be overcome. Hypothesis: Studies examining the use of 3D printing in pre-operative planning of acetabular fractures tend to agree on its usefulness. Methods: A systematic review of two electronic medical databases was performed by three independent authors, using the following inclusion criteria: any type of acetabular fracture and pre-operative use of 3D printing to plan the surgery. Results: Among 93 screened articles, following selection criteria, six randomised controlled human trials (hRCT) were eligible for the study; articles compare a group in which a pre-contouring plate was performed through 3D printing with a control group in which the plate was intraoperatively modelled. Conclusion: This review demonstrates the advantage of 3D printing in terms of surgical time, reduction of blood losses, quality of fracture reduction, and fixation, and reporting best clinical outcomes. Level of Evidence: II.","author":[{"dropping-particle":"","family":"Papotto","given":"Giacomo","non-dropping-particle":"","parse-names":false,"suffix":""},{"dropping-particle":"","family":"Testa","given":"Gianluca","non-dropping-particle":"","parse-names":false,"suffix":""},{"dropping-particle":"","family":"Mobilia","given":"Giuseppe","non-dropping-particle":"","parse-names":false,"suffix":""},{"dropping-particle":"","family":"Perez","given":"Stefano","non-dropping-particle":"","parse-names":false,"suffix":""},{"dropping-particle":"","family":"Dimartino","given":"Sara","non-dropping-particle":"","parse-names":false,"suffix":""},{"dropping-particle":"","family":"Giardina","given":"Serena Maria Chiara","non-dropping-particle":"","parse-names":false,"suffix":""},{"dropping-particle":"","family":"Sessa","given":"Giuseppe","non-dropping-particle":"","parse-names":false,"suffix":""},{"dropping-particle":"","family":"Pavone","given":"Vito","non-dropping-particle":"","parse-names":false,"suffix":""}],"container-title":"Orthopaedics and Traumatology: Surgery and Research","id":"ITEM-1","issue":"2","issued":{"date-parts":[["2022"]]},"page":"103111","publisher":"Elsevier Masson SAS","title":"Use of 3D printing and pre-contouring plate in the surgical planning of acetabular fractures: a systematic review","type":"article-journal","volume":"108"},"uris":["http://www.mendeley.com/documents/?uuid=d33969db-22c9-41b2-b780-386793a66a25"]}],"mendeley":{"formattedCitation":"(Papotto et al. 2022)","manualFormatting":"Papotto et al. (2022)","plainTextFormattedCitation":"(Papotto et al. 2022)","previouslyFormattedCitation":"(Papotto et al. 2022)"},"properties":{"noteIndex":0},"schema":"https://github.com/citation-style-language/schema/raw/master/csl-citation.json"}</w:instrText>
      </w:r>
      <w:r w:rsidRPr="005F62F4">
        <w:fldChar w:fldCharType="separate"/>
      </w:r>
      <w:r w:rsidRPr="005F62F4">
        <w:rPr>
          <w:noProof/>
        </w:rPr>
        <w:t>Papotto et al. (2022)</w:t>
      </w:r>
      <w:r w:rsidRPr="005F62F4">
        <w:fldChar w:fldCharType="end"/>
      </w:r>
      <w:r w:rsidRPr="005F62F4">
        <w:t xml:space="preserve"> reviewed the use of 3D printing of </w:t>
      </w:r>
      <w:proofErr w:type="spellStart"/>
      <w:r w:rsidRPr="005F62F4">
        <w:t>biomodels</w:t>
      </w:r>
      <w:proofErr w:type="spellEnd"/>
      <w:r w:rsidRPr="005F62F4">
        <w:t xml:space="preserve"> to enable pre-bending of plates to repair </w:t>
      </w:r>
      <w:r w:rsidRPr="005F62F4">
        <w:rPr>
          <w:rStyle w:val="Strong"/>
        </w:rPr>
        <w:t>acetabular fractures</w:t>
      </w:r>
      <w:r w:rsidRPr="005F62F4">
        <w:t>, compared with traditional intraoperative modelling. The authors noted that the anatomical complexity of the acetabulum, and lack of surgical access, renders the treatment of acetabular fractures particularly challenging. The studies they identified demonstrated (variably) reductions in surgical time, decreased intraoperative fluoroscopy, decreased blood loss, improved quality of reduction and lower complication rates.</w:t>
      </w:r>
    </w:p>
    <w:p w14:paraId="483186EA" w14:textId="08825D55" w:rsidR="00430DA4" w:rsidRPr="005F62F4" w:rsidRDefault="00430DA4" w:rsidP="00430DA4">
      <w:pPr>
        <w:pStyle w:val="Para"/>
      </w:pPr>
      <w:r w:rsidRPr="005F62F4">
        <w:t xml:space="preserve">A review of costs associated with medical 3D-printing applications found that the use of </w:t>
      </w:r>
      <w:proofErr w:type="spellStart"/>
      <w:r w:rsidRPr="005F62F4">
        <w:t>biomodels</w:t>
      </w:r>
      <w:proofErr w:type="spellEnd"/>
      <w:r w:rsidRPr="005F62F4">
        <w:t xml:space="preserve"> saved a mean 53 operative minutes in the setting of orthopaedic surgery (p</w:t>
      </w:r>
      <w:r w:rsidR="005F6896" w:rsidRPr="005F62F4">
        <w:t> = </w:t>
      </w:r>
      <w:r w:rsidRPr="005F62F4">
        <w:t>0.04). The use of surgical guides resulted in a mean operative time saving of 12 minutes (p</w:t>
      </w:r>
      <w:r w:rsidR="005F6896" w:rsidRPr="005F62F4">
        <w:t> = </w:t>
      </w:r>
      <w:r w:rsidRPr="005F62F4">
        <w:t xml:space="preserve">0.004) </w:t>
      </w:r>
      <w:r w:rsidRPr="005F62F4">
        <w:fldChar w:fldCharType="begin" w:fldLock="1"/>
      </w:r>
      <w:r w:rsidRPr="005F62F4">
        <w:instrText>ADDIN CSL_CITATION {"citationItems":[{"id":"ITEM-1","itemData":{"DOI":"10.1016/j.acra.2019.08.011","ISSN":"18784046","PMID":"31542197","abstract":"RATIONALE AND OBJECTIVE: Three-dimensional (3D) printed anatomic models and surgical guides have been shown to reduce operative time. The purpose of this study was to generate an economic analysis of the cost-saving potential of 3D printed anatomic models and surgical guides in orthopedic and maxillofacial surgical applications. MATERIALS AND METHODS: A targeted literature search identified operating room cost-per-minute and studies that quantified time saved using 3D printed constructs. Studies that reported operative time differences due to 3D printed anatomic models or surgical guides were reviewed and cataloged. A mean of $62 per operating room minute (range of $22–$133 per minute) was used as the reference standard for operating room time cost. Different financial scenarios were modeled with the provided cost-per-minute of operating room time (using high, mean, and low values) and mean time saved using 3D printed constructs. RESULTS: Seven studies using 3D printed anatomic models in surgical care demonstrated a mean 62 minutes ($3720/case saved from reduced time) of time saved, and 25 studies of 3D printed surgical guides demonstrated a mean 23 minutes time saved ($1488/case saved from reduced time). An estimated 63 models or guides per year (or 1.2/week) were predicted to be the minimum number to breakeven and account for annual fixed costs. CONCLUSION: Based on the literature-based financial analyses, medical 3D printing appears to reduce operating room costs secondary to shortening procedure times. While resource-intensive, 3D printed constructs used in patients’ operative care provides considerable downstream value to health systems.","author":[{"dropping-particle":"","family":"Ballard","given":"David H.","non-dropping-particle":"","parse-names":false,"suffix":""},{"dropping-particle":"","family":"Mills","given":"Patrick","non-dropping-particle":"","parse-names":false,"suffix":""},{"dropping-particle":"","family":"Duszak","given":"Richard","non-dropping-particle":"","parse-names":false,"suffix":""},{"dropping-particle":"","family":"Weisman","given":"Jeffery A.","non-dropping-particle":"","parse-names":false,"suffix":""},{"dropping-particle":"","family":"Rybicki","given":"Frank J.","non-dropping-particle":"","parse-names":false,"suffix":""},{"dropping-particle":"","family":"Woodard","given":"Pamela K.","non-dropping-particle":"","parse-names":false,"suffix":""}],"container-title":"Academic Radiology","id":"ITEM-1","issue":"8","issued":{"date-parts":[["2020"]]},"page":"1103-1113","publisher":"Elsevier Inc.","title":"Medical 3D printing cost-savings in orthopedic and maxillofacial surgery: cost analysis of operating room time saved with 3D printed anatomic models and surgical guides","type":"article-journal","volume":"27"},"uris":["http://www.mendeley.com/documents/?uuid=dd63fa1e-4562-407f-a955-e571eae74dff"]}],"mendeley":{"formattedCitation":"(Ballard et al. 2020)","plainTextFormattedCitation":"(Ballard et al. 2020)","previouslyFormattedCitation":"(Ballard et al. 2020)"},"properties":{"noteIndex":0},"schema":"https://github.com/citation-style-language/schema/raw/master/csl-citation.json"}</w:instrText>
      </w:r>
      <w:r w:rsidRPr="005F62F4">
        <w:fldChar w:fldCharType="separate"/>
      </w:r>
      <w:r w:rsidRPr="005F62F4">
        <w:rPr>
          <w:noProof/>
        </w:rPr>
        <w:t>(Ballard et al. 2020)</w:t>
      </w:r>
      <w:r w:rsidRPr="005F62F4">
        <w:fldChar w:fldCharType="end"/>
      </w:r>
      <w:r w:rsidRPr="005F62F4">
        <w:t>.</w:t>
      </w:r>
    </w:p>
    <w:p w14:paraId="2F11A403" w14:textId="77777777" w:rsidR="00430DA4" w:rsidRPr="005F62F4" w:rsidRDefault="00430DA4" w:rsidP="004F2931">
      <w:pPr>
        <w:pStyle w:val="HeadingA3"/>
      </w:pPr>
      <w:bookmarkStart w:id="314" w:name="_Toc120178366"/>
      <w:r w:rsidRPr="005F62F4">
        <w:t>Cardiovascular applications</w:t>
      </w:r>
      <w:bookmarkEnd w:id="314"/>
    </w:p>
    <w:p w14:paraId="52CDDB3C" w14:textId="77777777" w:rsidR="00430DA4" w:rsidRPr="005F62F4" w:rsidRDefault="00430DA4" w:rsidP="00430DA4">
      <w:pPr>
        <w:pStyle w:val="Para"/>
      </w:pPr>
      <w:r w:rsidRPr="005F62F4">
        <w:t xml:space="preserve">A systematic review by </w:t>
      </w:r>
      <w:r w:rsidRPr="005F62F4">
        <w:fldChar w:fldCharType="begin" w:fldLock="1"/>
      </w:r>
      <w:r w:rsidRPr="005F62F4">
        <w:instrText>ADDIN CSL_CITATION {"citationItems":[{"id":"ITEM-1","itemData":{"DOI":"10.1590/1806-9282.65.6.818","ISSN":"01044230","PMID":"31340310","abstract":"BACKGROUND: The use of the 3D printer in complex cardiac surgery planning. OBJECTIVES: To analyze the use and benefits of 3D printing in heart valve surgery through a systematic review of the literature. METHODS: This systematic review was reported following the Preferred Reporting Items for Systematic Review and registered in the Prospero (International Prospective Register of Systematic Reviews) database under the number CRD42017059034. We used the following databases: PubMed, EMBASE, Scopus, Web of Science and Lilacs. We included articles about the keywords “Heart Valves”, “Heart Valve Prosthesis Implantation”, “Heart Valve Prosthesis”, “Printing, Three-Dimensional”, and related entry terms. Two reviewers independently conducted data extraction and a third reviewer solved disagreements. All tables used for data extraction are available at a separate website. We used the Cochrane Collaboration tool to assess the risk of bias of the studies included. RESULTS: We identified 301 articles and 13 case reports and case series that met the inclusion criteria. Our studies included 34 patients aged from 3 months to 94 years. CONCLUSIONS: Up to the present time, there are no studies including a considerable number of patients. A 3D-printed model produced based on the patient enables the surgeon to plan the surgical procedure and choose the best material, size, format, and thickness to be used. This planning leads to reduced surgery time, exposure, and consequently, lower risk of infection.","author":[{"dropping-particle":"","family":"Boll","given":"Liliana Fortini Cavalheiro","non-dropping-particle":"","parse-names":false,"suffix":""},{"dropping-particle":"","family":"Rodrigues","given":"Guilherme Oberto","non-dropping-particle":"","parse-names":false,"suffix":""},{"dropping-particle":"","family":"Rodrigues","given":"Clarissa Garcia","non-dropping-particle":"","parse-names":false,"suffix":""},{"dropping-particle":"","family":"Bertollo","given":"Felipe Luiz","non-dropping-particle":"","parse-names":false,"suffix":""},{"dropping-particle":"","family":"Irigoyen","given":"Maria Claudia","non-dropping-particle":"","parse-names":false,"suffix":""},{"dropping-particle":"","family":"Goldmeier","given":"Silvia","non-dropping-particle":"","parse-names":false,"suffix":""}],"container-title":"Revista da Associacao Medica Brasileira","id":"ITEM-1","issue":"6","issued":{"date-parts":[["2019"]]},"page":"818-824","title":"Using a 3D printer in cardiac valve surgery: a systematic review","type":"article-journal","volume":"65"},"uris":["http://www.mendeley.com/documents/?uuid=68f8f7e5-589e-4195-9c87-e9e674eb785e"]}],"mendeley":{"formattedCitation":"(Boll et al. 2019)","manualFormatting":"Boll et al. (2019)","plainTextFormattedCitation":"(Boll et al. 2019)","previouslyFormattedCitation":"(Boll et al. 2019)"},"properties":{"noteIndex":0},"schema":"https://github.com/citation-style-language/schema/raw/master/csl-citation.json"}</w:instrText>
      </w:r>
      <w:r w:rsidRPr="005F62F4">
        <w:fldChar w:fldCharType="separate"/>
      </w:r>
      <w:r w:rsidRPr="005F62F4">
        <w:rPr>
          <w:noProof/>
        </w:rPr>
        <w:t>Boll et al. (2019)</w:t>
      </w:r>
      <w:r w:rsidRPr="005F62F4">
        <w:fldChar w:fldCharType="end"/>
      </w:r>
      <w:r w:rsidRPr="005F62F4">
        <w:t xml:space="preserve"> returned 13 articles that collectively reported on a total of 34 subjects identified in the literature. The review suggested that 3D-printed models of the heart can assist in planning for valve surgery, for example by enabling the planning and selection of valve material, size, format, and thickness. Despite the small number of studies and subjects included, the authors conclude that ‘this results in a reduction in surgery time, lower exposure of the operative field, reduced risk of infection and earlier rehabilitation’ </w:t>
      </w:r>
      <w:r w:rsidRPr="005F62F4">
        <w:fldChar w:fldCharType="begin" w:fldLock="1"/>
      </w:r>
      <w:r w:rsidRPr="005F62F4">
        <w:instrText>ADDIN CSL_CITATION {"citationItems":[{"id":"ITEM-1","itemData":{"DOI":"10.1590/1806-9282.65.6.818","ISSN":"01044230","PMID":"31340310","abstract":"BACKGROUND: The use of the 3D printer in complex cardiac surgery planning. OBJECTIVES: To analyze the use and benefits of 3D printing in heart valve surgery through a systematic review of the literature. METHODS: This systematic review was reported following the Preferred Reporting Items for Systematic Review and registered in the Prospero (International Prospective Register of Systematic Reviews) database under the number CRD42017059034. We used the following databases: PubMed, EMBASE, Scopus, Web of Science and Lilacs. We included articles about the keywords “Heart Valves”, “Heart Valve Prosthesis Implantation”, “Heart Valve Prosthesis”, “Printing, Three-Dimensional”, and related entry terms. Two reviewers independently conducted data extraction and a third reviewer solved disagreements. All tables used for data extraction are available at a separate website. We used the Cochrane Collaboration tool to assess the risk of bias of the studies included. RESULTS: We identified 301 articles and 13 case reports and case series that met the inclusion criteria. Our studies included 34 patients aged from 3 months to 94 years. CONCLUSIONS: Up to the present time, there are no studies including a considerable number of patients. A 3D-printed model produced based on the patient enables the surgeon to plan the surgical procedure and choose the best material, size, format, and thickness to be used. This planning leads to reduced surgery time, exposure, and consequently, lower risk of infection.","author":[{"dropping-particle":"","family":"Boll","given":"Liliana Fortini Cavalheiro","non-dropping-particle":"","parse-names":false,"suffix":""},{"dropping-particle":"","family":"Rodrigues","given":"Guilherme Oberto","non-dropping-particle":"","parse-names":false,"suffix":""},{"dropping-particle":"","family":"Rodrigues","given":"Clarissa Garcia","non-dropping-particle":"","parse-names":false,"suffix":""},{"dropping-particle":"","family":"Bertollo","given":"Felipe Luiz","non-dropping-particle":"","parse-names":false,"suffix":""},{"dropping-particle":"","family":"Irigoyen","given":"Maria Claudia","non-dropping-particle":"","parse-names":false,"suffix":""},{"dropping-particle":"","family":"Goldmeier","given":"Silvia","non-dropping-particle":"","parse-names":false,"suffix":""}],"container-title":"Revista da Associacao Medica Brasileira","id":"ITEM-1","issue":"6","issued":{"date-parts":[["2019"]]},"page":"818-824","title":"Using a 3D printer in cardiac valve surgery: a systematic review","type":"article-journal","volume":"65"},"uris":["http://www.mendeley.com/documents/?uuid=68f8f7e5-589e-4195-9c87-e9e674eb785e"]}],"mendeley":{"formattedCitation":"(Boll et al. 2019)","manualFormatting":"(Boll et al. 2019, p. 823)","plainTextFormattedCitation":"(Boll et al. 2019)","previouslyFormattedCitation":"(Boll et al. 2019)"},"properties":{"noteIndex":0},"schema":"https://github.com/citation-style-language/schema/raw/master/csl-citation.json"}</w:instrText>
      </w:r>
      <w:r w:rsidRPr="005F62F4">
        <w:fldChar w:fldCharType="separate"/>
      </w:r>
      <w:r w:rsidRPr="005F62F4">
        <w:rPr>
          <w:noProof/>
        </w:rPr>
        <w:t>(Boll et al. 2019, p. 823)</w:t>
      </w:r>
      <w:r w:rsidRPr="005F62F4">
        <w:fldChar w:fldCharType="end"/>
      </w:r>
      <w:r w:rsidRPr="005F62F4">
        <w:t>.</w:t>
      </w:r>
    </w:p>
    <w:p w14:paraId="3E6065F6" w14:textId="77777777" w:rsidR="00430DA4" w:rsidRPr="005F62F4" w:rsidRDefault="00430DA4" w:rsidP="00430DA4">
      <w:pPr>
        <w:pStyle w:val="Para"/>
      </w:pPr>
      <w:r w:rsidRPr="005F62F4">
        <w:t xml:space="preserve">A review by </w:t>
      </w:r>
      <w:r w:rsidRPr="005F62F4">
        <w:fldChar w:fldCharType="begin" w:fldLock="1"/>
      </w:r>
      <w:r w:rsidRPr="005F62F4">
        <w:instrText>ADDIN CSL_CITATION {"citationItems":[{"id":"ITEM-1","itemData":{"DOI":"10.4022/jafib.2433","ISSN":"19416911","abstract":"Objective:This systematic review and meta-analysis compared computed tomography (CT)-derived three-dimensional (3D) modeling versus two-dimensional transesophageal echocardiography (TEE) for left atrial appendage occluder (LAAO) device planning. Background:LAAO device planning is commonly performed with TEE. However, procedures often require multiple devices and deployments due to inaccurate sizing from TEE. The use of CT three-dimensional (3D) models for LAAO device planning may improve accuracy. Methods:Four clinical studies that reported procedural and clinical outcomes for CT-derived 3D modeling versus TEE for LAAO device planning were identified. End points were accurate device sizing, procedure failure, number of devices used per procedure, fluoroscopy time, and post-procedure leak. Risk ratio (RR) and mean difference (MD) with a 95% confidence interval (CI) were calculated by the Mantel-Haenszel and inverse variance methods. Results:A total of 166 participants were included. When compared with conventional imaging, the use of 3D printed models was associated with less fluoroscopy time (MD -6.98 minutes, 95% CI -12.68 to -1.28, p=0.02) and lower risk of occluder device peri-prosthetic leak (RR 0.23, 95% CI 0.07-0.73, p=0.01) for LAAO. There were signals towards lower number of devices per procedure (MD -0.56 devices, 95% CI -1.16-0.05, p=0.07) and less total procedure time (MD -13.50 minutes, 95% CI -28.14-1.14, p=0.07) with printed modeling for LAAO. There was no difference between modalities in rates of procedure failure. Conclusions: CT-derived 3D printed models for LAAO device planning may offer the advantages of lower LAAO device peri-prosthetic leak and less fluoroscopy time when compared with conventional TEE guidance.","author":[{"dropping-particle":"Saint","family":"Croix","given":"Garly","non-dropping-particle":"","parse-names":false,"suffix":""},{"dropping-particle":"","family":"Zaidi","given":"Syed Imran","non-dropping-particle":"","parse-names":false,"suffix":""},{"dropping-particle":"","family":"Loescher","given":"Viky S.","non-dropping-particle":"","parse-names":false,"suffix":""},{"dropping-particle":"","family":"Mihos","given":"Christos G.","non-dropping-particle":"","parse-names":false,"suffix":""}],"container-title":"Journal of Atrial Fibrillation","id":"ITEM-1","issue":"4","issued":{"date-parts":[["2020"]]},"page":"11-15","title":"Computed tomography-derived three-dimensional printed models versus two-dimensional transesophageal echocardiography for left atrial appendage occlusion device planning: A systematic review and meta-analysis","type":"article-journal","volume":"13"},"uris":["http://www.mendeley.com/documents/?uuid=ade82c29-5d68-499a-8142-7d538a94779f"]}],"mendeley":{"formattedCitation":"(Croix et al. 2020)","manualFormatting":"Croix et al. (2020)","plainTextFormattedCitation":"(Croix et al. 2020)","previouslyFormattedCitation":"(Croix et al. 2020)"},"properties":{"noteIndex":0},"schema":"https://github.com/citation-style-language/schema/raw/master/csl-citation.json"}</w:instrText>
      </w:r>
      <w:r w:rsidRPr="005F62F4">
        <w:fldChar w:fldCharType="separate"/>
      </w:r>
      <w:r w:rsidRPr="005F62F4">
        <w:rPr>
          <w:noProof/>
        </w:rPr>
        <w:t>Croix et al. (2020)</w:t>
      </w:r>
      <w:r w:rsidRPr="005F62F4">
        <w:fldChar w:fldCharType="end"/>
      </w:r>
      <w:r w:rsidRPr="005F62F4">
        <w:t xml:space="preserve"> compared CT-derived 3D modelling with 2-dimensional transesophageal echocardiography (TEE) for left atrial appendage </w:t>
      </w:r>
      <w:proofErr w:type="spellStart"/>
      <w:r w:rsidRPr="005F62F4">
        <w:t>occluder</w:t>
      </w:r>
      <w:proofErr w:type="spellEnd"/>
      <w:r w:rsidRPr="005F62F4">
        <w:t xml:space="preserve"> device planning in the treatment of atrial fibrillation. Based on 4 clinical studies identified (with 166 subjects), the review found that the use of 3D-printed models was associated with reduced fluoroscopy time and lower risk of complications (specifically </w:t>
      </w:r>
      <w:proofErr w:type="spellStart"/>
      <w:r w:rsidRPr="005F62F4">
        <w:t>occluder</w:t>
      </w:r>
      <w:proofErr w:type="spellEnd"/>
      <w:r w:rsidRPr="005F62F4">
        <w:t xml:space="preserve"> device peri-prosthetic leak). There were non-significant reductions in the number of devices per procedure and total procedure time, and no difference in rates of procedure failure.</w:t>
      </w:r>
    </w:p>
    <w:p w14:paraId="2507D2BD" w14:textId="77777777" w:rsidR="00EF55D6" w:rsidRDefault="00EF55D6">
      <w:pPr>
        <w:spacing w:after="200" w:line="276" w:lineRule="auto"/>
        <w:rPr>
          <w:rFonts w:eastAsiaTheme="majorEastAsia" w:cstheme="majorBidi"/>
          <w:b/>
          <w:bCs/>
          <w:color w:val="005A9F" w:themeColor="text2"/>
          <w:sz w:val="32"/>
          <w:szCs w:val="28"/>
        </w:rPr>
      </w:pPr>
      <w:bookmarkStart w:id="315" w:name="_Toc120178367"/>
      <w:r>
        <w:br w:type="page"/>
      </w:r>
    </w:p>
    <w:p w14:paraId="13346E0E" w14:textId="72864B68" w:rsidR="00430DA4" w:rsidRPr="005F62F4" w:rsidRDefault="00430DA4" w:rsidP="004F2931">
      <w:pPr>
        <w:pStyle w:val="HeadingA2"/>
      </w:pPr>
      <w:r w:rsidRPr="005F62F4">
        <w:lastRenderedPageBreak/>
        <w:t>Conclusions</w:t>
      </w:r>
      <w:bookmarkEnd w:id="315"/>
    </w:p>
    <w:p w14:paraId="5D6EC0D6" w14:textId="14740C26" w:rsidR="00430DA4" w:rsidRPr="005F62F4" w:rsidRDefault="00430DA4" w:rsidP="00430DA4">
      <w:pPr>
        <w:pStyle w:val="Para"/>
        <w:rPr>
          <w:lang w:eastAsia="en-AU"/>
        </w:rPr>
      </w:pPr>
      <w:r w:rsidRPr="005F62F4">
        <w:rPr>
          <w:lang w:eastAsia="en-AU"/>
        </w:rPr>
        <w:t xml:space="preserve">Generally, there is support for the use of surgical guides and </w:t>
      </w:r>
      <w:proofErr w:type="spellStart"/>
      <w:r w:rsidRPr="005F62F4">
        <w:rPr>
          <w:lang w:eastAsia="en-AU"/>
        </w:rPr>
        <w:t>biomodels</w:t>
      </w:r>
      <w:proofErr w:type="spellEnd"/>
      <w:r w:rsidRPr="005F62F4">
        <w:rPr>
          <w:lang w:eastAsia="en-AU"/>
        </w:rPr>
        <w:t xml:space="preserve"> in a range of surgical contexts relevant to the placement of prostheses. The systematic reviews identified highlighted the large number of current and emerging applications of 3D-printing technologies in implant procedures.</w:t>
      </w:r>
    </w:p>
    <w:p w14:paraId="7CE8C2F5" w14:textId="4302CE65" w:rsidR="00430DA4" w:rsidRPr="005F62F4" w:rsidRDefault="00430DA4" w:rsidP="00430DA4">
      <w:pPr>
        <w:pStyle w:val="Para"/>
        <w:rPr>
          <w:lang w:eastAsia="en-AU"/>
        </w:rPr>
      </w:pPr>
      <w:r w:rsidRPr="005F62F4">
        <w:rPr>
          <w:lang w:eastAsia="en-AU"/>
        </w:rPr>
        <w:t xml:space="preserve">In terms of outcomes, the literature frequently suggests that the use of these technologies produces results that are not inferior to ‘conventional’ </w:t>
      </w:r>
      <w:proofErr w:type="gramStart"/>
      <w:r w:rsidRPr="005F62F4">
        <w:rPr>
          <w:lang w:eastAsia="en-AU"/>
        </w:rPr>
        <w:t>techniques, and</w:t>
      </w:r>
      <w:proofErr w:type="gramEnd"/>
      <w:r w:rsidRPr="005F62F4">
        <w:rPr>
          <w:lang w:eastAsia="en-AU"/>
        </w:rPr>
        <w:t xml:space="preserve"> may facilitate potential improvements in accuracy of implant placement, decreased operative and/or ischaemic time, reduced interoperative fluoroscopy and complication rates.</w:t>
      </w:r>
    </w:p>
    <w:p w14:paraId="088C1C74" w14:textId="4E4E5E55" w:rsidR="00430DA4" w:rsidRPr="005F62F4" w:rsidRDefault="00430DA4" w:rsidP="00430DA4">
      <w:pPr>
        <w:pStyle w:val="Para"/>
      </w:pPr>
      <w:r w:rsidRPr="005F62F4">
        <w:t xml:space="preserve">Despite these findings, </w:t>
      </w:r>
      <w:r w:rsidRPr="005F62F4">
        <w:rPr>
          <w:lang w:eastAsia="en-AU"/>
        </w:rPr>
        <w:t xml:space="preserve">the outcomes associated with 3D-printing technologies are dependent on a number of factors which include the choice of software and manufacturing technique </w:t>
      </w:r>
      <w:r w:rsidRPr="005F62F4">
        <w:rPr>
          <w:lang w:eastAsia="en-AU"/>
        </w:rPr>
        <w:fldChar w:fldCharType="begin" w:fldLock="1"/>
      </w:r>
      <w:r w:rsidR="009A43DD" w:rsidRPr="005F62F4">
        <w:rPr>
          <w:lang w:eastAsia="en-AU"/>
        </w:rPr>
        <w:instrText>ADDIN CSL_CITATION {"citationItems":[{"id":"ITEM-1","itemData":{"DOI":"10.1016/j.joms.2020.09.005","ISSN":"15315053","PMID":"33031773","abstract":"Purpose: To explore the advantages of virtual surgical planning (VSP) and traditional surgical planning (TSP) to determine whether the current VSP technique is superior to the TSP technique for orthognathic surgery. Methods: An electronic search was carried out in the CENTRAL, PubMed, and Embase databases to identify randomized clinical trials (RCTs) that compared the VSP and TSP techniques regarding their surgical accuracy for hard tissue, prediction precision for soft tissue, required time for planning and surgery, cost and patient-reported outcomes. Results: Eight articles from 5 RCTs, involving 199 patients, were identified. The findings showed that the VSP and TSP techniques were similar in surgical accuracy for hard tissue in the sagittal plane, although the VSP technique was significantly more accurate in certain reference areas, especially in the anterior area of the maxilla. Both the VSP and TSP techniques had significantly better surgical accuracy for the maxilla than for the mandible. The VSP technique showed clinically significantly greater precision for soft tissue prediction in the sagittal plane. Patients who were treated via the VSP technique presented a more symmetrical frontal view, regardless of whether hard or soft tissue was involved. The VSP technique required more time for software planning, but it showed an advantage in time savings when considering the entire preoperative process. Accompanied by the use of an accurate computer-aided splint, the VSP technique could effectively reduce the operative time. Apart from the initial financial investment of software and hardware, the total cost of the VSP technique was similar to that of the TSP technique. Patients who were treated via the VSP or TSP technique showed similar improvements in quality-of-life. Conclusions: Currently, the VSP technique has become a good alternative to the TSP technique for orthognathic surgery, especially regarding frontal-esthetic considerations. Studies reporting indicators with good representativeness and sensitivity using an identical comparative method are recommended.","author":[{"dropping-particle":"","family":"Chen","given":"Zhixing","non-dropping-particle":"","parse-names":false,"suffix":""},{"dropping-particle":"","family":"Mo","given":"Shuixue","non-dropping-particle":"","parse-names":false,"suffix":""},{"dropping-particle":"","family":"Fan","given":"Xuemin","non-dropping-particle":"","parse-names":false,"suffix":""},{"dropping-particle":"","family":"You","given":"Yuting","non-dropping-particle":"","parse-names":false,"suffix":""},{"dropping-particle":"","family":"Ye","given":"Guangrong","non-dropping-particle":"","parse-names":false,"suffix":""},{"dropping-particle":"","family":"Zhou","given":"Nuo","non-dropping-particle":"","parse-names":false,"suffix":""}],"container-title":"Journal of Oral and Maxillofacial Surgery","id":"ITEM-1","issue":"2","issued":{"date-parts":[["2021"]]},"page":"471.e1-471.e19","publisher":"American Association of Oral and Maxillofacial Surgeons","title":"A meta-analysis and systematic review comparing the effectiveness of traditional and virtual surgical planning for orthognathic surgery: based on randomized clinical trials","type":"article-journal","volume":"79"},"uris":["http://www.mendeley.com/documents/?uuid=1f2ad3b5-f004-4feb-a5bb-9950fe63cf4d"]},{"id":"ITEM-2","itemData":{"DOI":"10.2186/jpr.JPR_D_20_00184","ISSN":"18831958","PMID":"33504723","abstract":"Purpose: To review the current clinical studies regarding the accuracy of implant computer-guided surgery in partially edentulous patients and investigate potential influencing factors. Study selection: Electronic searches on the PubMed and Cochrane Central Register of Controlled Trials databases, and subsequent manual searches were performed. Two reviewers selected the studies following our inclusion and exclusion criteria. Qualitative review and meta-analysis of the implant placement accuracy were performed to analyze potential influencing factors. Angular deviation, coronal deviation, apical deviation, and depth deviation were evaluated as the accuracy outcomes. Results: Eighteen studies were included in this systematic review, including six randomized controlled trials, nine prospective studies, and three retrospective clinical studies. A total of 1317 implants placed in 642 partially edentulous patients were reviewed. Eight studies were evaluated using meta-analysis. Fully guided surgery showed statistically higher accuracy in angular (P &lt;0.001), coronal (P &lt;0.001), and apical deviation (P &lt;0.05) compared with pilot-drill guided surgery. A statistically significant difference (P &lt;0.001) was also observed in coronal deviation between the bounded edentulous (BES) and distal extension spaces (DES). A significantly lower angular deviation (P &lt;0.001) was found in implants placed using computer-aided design/computer-aided manufacturing (CAD/CAM) compared to the conventional surgical guides. Conclusion: The edentulous space type, surgical guide manufacturing procedure, and guided surgery protocol can influence the accuracy of computer-guided surgery in partially edentulous patients. Higher accuracy was found when the implants were placed in BES, with CAD/CAM manufactured surgical guides, using a fully guided surgery protocol.","author":[{"dropping-particle":"","family":"Putra","given":"Ramadhan Hardani","non-dropping-particle":"","parse-names":false,"suffix":""},{"dropping-particle":"","family":"Yoda","given":"Nobuhiro","non-dropping-particle":"","parse-names":false,"suffix":""},{"dropping-particle":"","family":"Astuti","given":"Eha Renwi","non-dropping-particle":"","parse-names":false,"suffix":""},{"dropping-particle":"","family":"Sasaki","given":"Keiichi","non-dropping-particle":"","parse-names":false,"suffix":""}],"container-title":"Journal of Prosthodontic Research","id":"ITEM-2","issue":"1","issued":{"date-parts":[["2022"]]},"page":"29-39","title":"The accuracy of implant placement with computer-guided surgery in partially edentulous patients and possible influencing factors: a systematic review and meta-analysis","type":"article-journal","volume":"66"},"uris":["http://www.mendeley.com/documents/?uuid=f03441fa-f49b-4a95-972a-b4edc6c98154"]},{"id":"ITEM-3","itemData":{"DOI":"10.1016/j.bjoms.2019.12.007","author":[{"dropping-particle":"","family":"Walker-Finch","given":"K","non-dropping-particle":"","parse-names":false,"suffix":""},{"dropping-particle":"","family":"Ucer","given":"C","non-dropping-particle":"","parse-names":false,"suffix":""}],"container-title":"British Journal of Oral and Maxillofacial Surgery","id":"ITEM-3","issued":{"date-parts":[["2020"]]},"page":"268-276","title":"Five-year survival rates for implants placed using digitally-designed static surgical guides: a systematic review","type":"article-journal","volume":"58"},"uris":["http://www.mendeley.com/documents/?uuid=ba3a127d-bef5-40b4-b9ed-76d38719b539"]}],"mendeley":{"formattedCitation":"(Chen et al. 2021; Putra et al. 2022; Walker-Finch and Ucer 2020)","plainTextFormattedCitation":"(Chen et al. 2021; Putra et al. 2022; Walker-Finch and Ucer 2020)","previouslyFormattedCitation":"(Chen et al. 2021; Putra et al. 2022; Walker-Finch and Ucer 2020)"},"properties":{"noteIndex":0},"schema":"https://github.com/citation-style-language/schema/raw/master/csl-citation.json"}</w:instrText>
      </w:r>
      <w:r w:rsidRPr="005F62F4">
        <w:rPr>
          <w:lang w:eastAsia="en-AU"/>
        </w:rPr>
        <w:fldChar w:fldCharType="separate"/>
      </w:r>
      <w:r w:rsidRPr="005F62F4">
        <w:rPr>
          <w:noProof/>
          <w:lang w:eastAsia="en-AU"/>
        </w:rPr>
        <w:t>(Chen et al. 2021; Putra et al. 2022; Walker-Finch and Ucer 2020)</w:t>
      </w:r>
      <w:r w:rsidRPr="005F62F4">
        <w:rPr>
          <w:lang w:eastAsia="en-AU"/>
        </w:rPr>
        <w:fldChar w:fldCharType="end"/>
      </w:r>
      <w:r w:rsidRPr="005F62F4">
        <w:rPr>
          <w:lang w:eastAsia="en-AU"/>
        </w:rPr>
        <w:t xml:space="preserve">. </w:t>
      </w:r>
      <w:r w:rsidRPr="005F62F4">
        <w:t xml:space="preserve">It is important to note, therefore, that while this summary supplements our systematic review focused on surgical guides and </w:t>
      </w:r>
      <w:proofErr w:type="spellStart"/>
      <w:r w:rsidRPr="005F62F4">
        <w:t>biomodels</w:t>
      </w:r>
      <w:proofErr w:type="spellEnd"/>
      <w:r w:rsidRPr="005F62F4">
        <w:t xml:space="preserve"> listed on the </w:t>
      </w:r>
      <w:r w:rsidR="00AC7180" w:rsidRPr="005F62F4">
        <w:t>PL</w:t>
      </w:r>
      <w:r w:rsidRPr="005F62F4">
        <w:t>, the findings described here cannot necessarily be attributed to those products.</w:t>
      </w:r>
    </w:p>
    <w:p w14:paraId="799B7C83" w14:textId="2E5BCF1A" w:rsidR="00430DA4" w:rsidRPr="005F62F4" w:rsidRDefault="00430DA4" w:rsidP="00D47157">
      <w:pPr>
        <w:pStyle w:val="Pullquote"/>
      </w:pPr>
      <w:r w:rsidRPr="005F62F4">
        <w:t>The advantages and disadvantages of different 3D virtual software systems on the market should be further explored…the comparative advantages of different software programs have not been clarified</w:t>
      </w:r>
      <w:r w:rsidR="00824DA5" w:rsidRPr="005F62F4">
        <w:t>.</w:t>
      </w:r>
      <w:r w:rsidRPr="005F62F4">
        <w:t xml:space="preserve"> </w:t>
      </w:r>
      <w:r w:rsidRPr="005F62F4">
        <w:fldChar w:fldCharType="begin" w:fldLock="1"/>
      </w:r>
      <w:r w:rsidRPr="005F62F4">
        <w:instrText>ADDIN CSL_CITATION {"citationItems":[{"id":"ITEM-1","itemData":{"DOI":"10.1016/j.joms.2020.09.005","ISSN":"15315053","PMID":"33031773","abstract":"Purpose: To explore the advantages of virtual surgical planning (VSP) and traditional surgical planning (TSP) to determine whether the current VSP technique is superior to the TSP technique for orthognathic surgery. Methods: An electronic search was carried out in the CENTRAL, PubMed, and Embase databases to identify randomized clinical trials (RCTs) that compared the VSP and TSP techniques regarding their surgical accuracy for hard tissue, prediction precision for soft tissue, required time for planning and surgery, cost and patient-reported outcomes. Results: Eight articles from 5 RCTs, involving 199 patients, were identified. The findings showed that the VSP and TSP techniques were similar in surgical accuracy for hard tissue in the sagittal plane, although the VSP technique was significantly more accurate in certain reference areas, especially in the anterior area of the maxilla. Both the VSP and TSP techniques had significantly better surgical accuracy for the maxilla than for the mandible. The VSP technique showed clinically significantly greater precision for soft tissue prediction in the sagittal plane. Patients who were treated via the VSP technique presented a more symmetrical frontal view, regardless of whether hard or soft tissue was involved. The VSP technique required more time for software planning, but it showed an advantage in time savings when considering the entire preoperative process. Accompanied by the use of an accurate computer-aided splint, the VSP technique could effectively reduce the operative time. Apart from the initial financial investment of software and hardware, the total cost of the VSP technique was similar to that of the TSP technique. Patients who were treated via the VSP or TSP technique showed similar improvements in quality-of-life. Conclusions: Currently, the VSP technique has become a good alternative to the TSP technique for orthognathic surgery, especially regarding frontal-esthetic considerations. Studies reporting indicators with good representativeness and sensitivity using an identical comparative method are recommended.","author":[{"dropping-particle":"","family":"Chen","given":"Zhixing","non-dropping-particle":"","parse-names":false,"suffix":""},{"dropping-particle":"","family":"Mo","given":"Shuixue","non-dropping-particle":"","parse-names":false,"suffix":""},{"dropping-particle":"","family":"Fan","given":"Xuemin","non-dropping-particle":"","parse-names":false,"suffix":""},{"dropping-particle":"","family":"You","given":"Yuting","non-dropping-particle":"","parse-names":false,"suffix":""},{"dropping-particle":"","family":"Ye","given":"Guangrong","non-dropping-particle":"","parse-names":false,"suffix":""},{"dropping-particle":"","family":"Zhou","given":"Nuo","non-dropping-particle":"","parse-names":false,"suffix":""}],"container-title":"Journal of Oral and Maxillofacial Surgery","id":"ITEM-1","issue":"2","issued":{"date-parts":[["2021"]]},"page":"471.e1-471.e19","publisher":"American Association of Oral and Maxillofacial Surgeons","title":"A meta-analysis and systematic review comparing the effectiveness of traditional and virtual surgical planning for orthognathic surgery: based on randomized clinical trials","type":"article-journal","volume":"79"},"uris":["http://www.mendeley.com/documents/?uuid=1f2ad3b5-f004-4feb-a5bb-9950fe63cf4d"]}],"mendeley":{"formattedCitation":"(Chen et al. 2021)","manualFormatting":"(Chen et al. 2021, p. e17)","plainTextFormattedCitation":"(Chen et al. 2021)","previouslyFormattedCitation":"(Chen et al. 2021)"},"properties":{"noteIndex":0},"schema":"https://github.com/citation-style-language/schema/raw/master/csl-citation.json"}</w:instrText>
      </w:r>
      <w:r w:rsidRPr="005F62F4">
        <w:fldChar w:fldCharType="separate"/>
      </w:r>
      <w:r w:rsidRPr="005F62F4">
        <w:rPr>
          <w:noProof/>
        </w:rPr>
        <w:t>(Chen et al. 2021, p. e17)</w:t>
      </w:r>
      <w:r w:rsidRPr="005F62F4">
        <w:fldChar w:fldCharType="end"/>
      </w:r>
    </w:p>
    <w:p w14:paraId="5D04A540" w14:textId="1F724886" w:rsidR="00430DA4" w:rsidRPr="005F62F4" w:rsidRDefault="00430DA4" w:rsidP="00430DA4">
      <w:pPr>
        <w:pStyle w:val="Para"/>
      </w:pPr>
      <w:r w:rsidRPr="005F62F4">
        <w:t xml:space="preserve">It is also worth highlighting that a number of studies noted that a </w:t>
      </w:r>
      <w:proofErr w:type="gramStart"/>
      <w:r w:rsidRPr="005F62F4">
        <w:t>pre-fabricated</w:t>
      </w:r>
      <w:proofErr w:type="gramEnd"/>
      <w:r w:rsidRPr="005F62F4">
        <w:t xml:space="preserve"> surgical guide cannot always be used intraoperatively as planned. In some cases, surgical guides are unsuitable or break, and planned protocols </w:t>
      </w:r>
      <w:proofErr w:type="gramStart"/>
      <w:r w:rsidRPr="005F62F4">
        <w:t>have to</w:t>
      </w:r>
      <w:proofErr w:type="gramEnd"/>
      <w:r w:rsidRPr="005F62F4">
        <w:t xml:space="preserve"> be abandoned</w:t>
      </w:r>
      <w:r w:rsidR="000D09DA" w:rsidRPr="005F62F4">
        <w:t>.</w:t>
      </w:r>
      <w:r w:rsidRPr="005F62F4">
        <w:t xml:space="preserve"> </w:t>
      </w:r>
      <w:r w:rsidR="000D09DA" w:rsidRPr="005F62F4">
        <w:t xml:space="preserve">They are subject to manufacturing errors and do not eliminate surgical errors, and therefore should not replace surgical skill </w:t>
      </w:r>
      <w:r w:rsidRPr="005F62F4">
        <w:fldChar w:fldCharType="begin" w:fldLock="1"/>
      </w:r>
      <w:r w:rsidR="009A43DD" w:rsidRPr="005F62F4">
        <w:instrText>ADDIN CSL_CITATION {"citationItems":[{"id":"ITEM-1","itemData":{"DOI":"10.1111/clr.13635","ISBN":"4201913139","ISSN":"16000501","PMID":"32654230","abstract":"Objective: To analyze the outcomes of static computer-aided implant placement (sCAIP) compared to partially guided (PGIP) and free-handed (FHIP) implant placement. Material and Methods: This study was registered in PROSPERO (CRD42019131397). A comprehensive literature search was performed by two independent examiners. Only randomized controlled trials (RCTs) were selected. Treatment modalities included sCAIP, PGIP, and FHIP. Data pertaining to the outcomes of interest were extracted. Random-effects meta-analyses were feasible for a subset of outcomes. Results: From an initial list of 2,870 records, fourteen articles for a total of ten RCTs were selected. Data from 7 of these studies allowed for the conduction of three meta-analyses comparing accuracy of implant placement across modalities. Survival rate up to 12 months post-loading was high (&gt;98%) and comparable between treatments (low-quality evidence). No tangible differences in terms of patient perception of intra- or postoperative discomfort were observed (low-quality evidence). Quantitative analyses revealed significantly lower angular (MD = 4.41°, 95% CI 3.99–4.83, p &lt;.00001), coronal (MD = 0.65 mm, 95% CI 0.50–0.79, p &lt;.00001), and apical (MD = 1.13 mm, 95% CI 0.92–1.34, p &lt;.00001) deviation values for sCAIP as compared to FHIP (8 studies, 383 patients, 878 implants, high-quality evidence). A similar discrepancy, in favor of sCAIP, was observed for angular deviation only as compared to PGIP (MD = 2.11°, 95% CI 1.06–3.16, p &lt;.00001). Conclusions: sCAIP is associated with superior accuracy compared to PGIP and FHIP.","author":[{"dropping-particle":"","family":"Tattan","given":"Mustafa","non-dropping-particle":"","parse-names":false,"suffix":""},{"dropping-particle":"","family":"Chambrone","given":"Leandro","non-dropping-particle":"","parse-names":false,"suffix":""},{"dropping-particle":"","family":"González-Martín","given":"Oscar","non-dropping-particle":"","parse-names":false,"suffix":""},{"dropping-particle":"","family":"Avila-Ortiz","given":"Gustavo","non-dropping-particle":"","parse-names":false,"suffix":""}],"container-title":"Clinical Oral Implants Research","id":"ITEM-1","issue":"10","issued":{"date-parts":[["2020"]]},"page":"889-916","title":"Static computer-aided, partially guided, and free-handed implant placement: A systematic review and meta-analysis of randomized controlled trials","type":"article-journal","volume":"31"},"uris":["http://www.mendeley.com/documents/?uuid=4da4b88c-20de-4290-a950-8b6bfb8008ca"]},{"id":"ITEM-2","itemData":{"DOI":"10.1111/prd.12440","ISSN":"16000757","PMID":"35906928","abstract":"Flapless and fully guided implant placement has the potential to maximize efficacy outcomes and at the same time to minimize surgical invasiveness. The aim of the current systematic review was to answer the following PICO question: “In adult human subjects undergoing dental implant placement (P), is minimally invasive flapless computer-aided fully guided (either dynamic or static computer-aided implant placement (sCAIP)) (I) superior to flapped conventional (free-handed implant placement (FHIP) or cast-based/drill partially guided implant placement (dPGIP)) surgery (C), in terms of efficacy, patient morbidity, long-term prognosis, and costs (O)?” Randomized clinical trials (RCTs) fulfilling specific inclusion criteria established to answer the PICO question were included. Two review authors independently searched for eligible studies, screened the titles and abstracts, performed full-text analysis, extracted the data from the published reports, and performed the risk of bias assessment. In cases of disagreement, a third review author took the final decision during ad hoc consensus meetings. The study results were summarized using random effects meta-analyses, which were based (wherever possible) on individual patient data (IPD). A total of 10 manuscripts reporting on five RCTs, involving a total of 124 participants and 449 implants, and comparing flapless sCAIP with flapped FHIP/cast-based partially guided implant placement (cPGIP), were included. There was no RCT analyzing flapless dynamic computer-aided implant placement (dCAIP) or flapped dPGIP. Intergroup meta-analyses indicated less depth deviation (difference in means (MD) = −0.28 mm; 95% confidence interval (CI): −0.59 to 0.03; moderate certainty), angular deviation (MD = −3.88 degrees; 95% CI: −7.00 to −0.77; high certainty), coronal (MD = −0.6 mm; 95% CI: −1.21 to 0.01; low certainty) and apical (MD = −0.75 mm; 95% CI: −1.43 to −0.07; moderate certainty) three-dimensional bodily deviations, postoperative pain (MD = −17.09 mm on the visual analogue scale (VAS); 95% CI: −33.38 to −0.80; low certainty), postoperative swelling (MD = −6.59 mm on the VAS; 95% CI: −19.03 to 5.85; very low certainty), intraoperative discomfort (MD = −9.36 mm on the VAS; 95% CI: −17.10 to −1.61) and surgery duration (MD = −24.28 minutes; 95% CI: −28.62 to −19.95) in flapless sCAIP than in flapped FHIP/cPGIP. Despite being more accurate than flapped FHIP/cPGIP, flapless sCAIP still resulted in deviations with respect to …","author":[{"dropping-particle":"","family":"Romandini","given":"Mario","non-dropping-particle":"","parse-names":false,"suffix":""},{"dropping-particle":"","family":"Ruales-Carrera","given":"Edwin","non-dropping-particle":"","parse-names":false,"suffix":""},{"dropping-particle":"","family":"Sadilina","given":"Sofya","non-dropping-particle":"","parse-names":false,"suffix":""},{"dropping-particle":"","family":"Hämmerle","given":"Christoph H.F.","non-dropping-particle":"","parse-names":false,"suffix":""},{"dropping-particle":"","family":"Sanz","given":"Mariano","non-dropping-particle":"","parse-names":false,"suffix":""}],"container-title":"Periodontology 2000","id":"ITEM-2","issued":{"date-parts":[["2022"]]},"page":"1-24","title":"Minimal invasiveness at dental implant placement: a systematic review with meta-analyses on flapless fully guided surgery","type":"article-journal","volume":"00"},"uris":["http://www.mendeley.com/documents/?uuid=55d04839-3cc0-4adf-948e-9760d3fa95e6"]},{"id":"ITEM-3","itemData":{"DOI":"10.1016/j.jormas.2020.10.010","ISSN":"24687855","PMID":"33161170","abstract":"In the present study, we tried to review the current literature, focusing on the effect of different guide systems on the accuracy of the digital surgical guides. A search in PubMed's database, without any date restriction, was performed using keywords based on the PICO question. 54 of the 2378 articles’ were chosen for full-text assessment. Articles were screened using predetermined inclusion and exclusion criteria. 21 articles were included in the qualitative assessment. Descriptive analysis was performed for numeric parameters using mean ± standard deviation. Six types of guide systems were used in the included articles. The commonest guide system was SimPlant (45.64%) followed by NobleGuide (23.00%). The pooled mean angle deviation, global coronal deviation, and global apical deviation were 3.43 mm (95% CI = 2.96, 3.90), 1.16 mm (95% CI = 0.98, 1.24) and 1.35 mm (95% CI = 1.11, 1.59), respectively. The maximum mean(SD) of angle deviation, global coronal deviation, and global apical deviation happened in Stent Cad 4.1(1.86) degrees, NobleGuide 1.86(0.56) mm, and OnDemend3d 1.56(1.48) mm, respectively. Although a final statement could not be made on which system is better, it is certain that the software affects the deviation and could be as important as the implant itself. Clinical significance: The choice of guide systems used for the production of static guide systems which was studied in this article could affect the accuracy of the implant placement procedure.","author":[{"dropping-particle":"","family":"Eftekhar Ashtiani","given":"R.","non-dropping-particle":"","parse-names":false,"suffix":""},{"dropping-particle":"","family":"Ghasemi","given":"Z.","non-dropping-particle":"","parse-names":false,"suffix":""},{"dropping-particle":"","family":"Nami","given":"M.","non-dropping-particle":"","parse-names":false,"suffix":""},{"dropping-particle":"","family":"Mighani","given":"F.","non-dropping-particle":"","parse-names":false,"suffix":""},{"dropping-particle":"","family":"Namdari","given":"M.","non-dropping-particle":"","parse-names":false,"suffix":""}],"container-title":"Journal of Stomatology, Oral and Maxillofacial Surgery","id":"ITEM-3","issue":"6","issued":{"date-parts":[["2021"]]},"page":"600-607","publisher":"Elsevier Masson SAS","title":"Accuracy of static digital surgical guides for dental implants based on the guide system: A systematic review","type":"article-journal","volume":"122"},"uris":["http://www.mendeley.com/documents/?uuid=c2fbc0a1-1580-4807-b300-7b1cde962270"]},{"id":"ITEM-4","itemData":{"DOI":"10.1007/s00405-022-07291-0","ISBN":"0123456789","ISSN":"14344726","PMID":"35166908","abstract":"Purpose: 3D-printing (three-dimensional printing) is an emerging technology with promising applications for patient-specific interventions. Nonetheless, knowledge on the clinical applicability of 3D-printing in otology and research on its use remains scattered. Understanding these new treatment options is a prerequisite for clinical implementation, which could improve patient outcomes. This review aims to explore current applications of 3D-printed patient-specific otologic interventions, including state of the evidence, strengths, limitations, and future possibilities. Methods: Following the PRISMA statement, relevant studies were identified through Pubmed, EMBASE, the Cochrane Library, and Web of Science. Data on the manufacturing process and interventions were extracted by two reviewers. Study quality was assessed using Joanna Briggs Institute’s critical appraisal tools. Results: Screening yielded 590 studies; 63 were found eligible and included for analysis. 3D-printed models were used as guides, templates, implants, and devices. Outer ear interventions comprised 73% of the studies. Overall, optimistic sentiments on 3D-printed models were reported, including increased surgical precision/confidence, faster manufacturing/operation time, and reduced costs/complications. Nevertheless, study quality was low as most studies failed to use relevant objective outcomes, compare new interventions with conventional treatment, and sufficiently describe manufacturing. Conclusion: Several clinical interventions using patient-specific 3D-printing in otology are considered promising. However, it remains unclear whether these interventions actually improve patient outcomes due to lack of comparison with conventional methods and low levels of evidence. Further, the reproducibility of the 3D-printed interventions is compromised by insufficient reporting. Future efforts should focus on objective, comparative outcomes evaluated in large-scale studies.","author":[{"dropping-particle":"","family":"Omari","given":"Adam","non-dropping-particle":"","parse-names":false,"suffix":""},{"dropping-particle":"","family":"Frendø","given":"Martin","non-dropping-particle":"","parse-names":false,"suffix":""},{"dropping-particle":"","family":"Sørensen","given":"Mads Sølvsten","non-dropping-particle":"","parse-names":false,"suffix":""},{"dropping-particle":"","family":"Andersen","given":"Steven Arild Wuyts","non-dropping-particle":"","parse-names":false,"suffix":""},{"dropping-particle":"","family":"Frithioff","given":"Andreas","non-dropping-particle":"","parse-names":false,"suffix":""}],"container-title":"European Archives of Oto-Rhino-Laryngology","id":"ITEM-4","issue":"7","issued":{"date-parts":[["2022"]]},"page":"3269-3288","publisher":"Springer Berlin Heidelberg","title":"The cutting edge of customized surgery: 3D-printed models for patient-specific interventions in otology and auricular management—a systematic review","type":"article-journal","volume":"279"},"uris":["http://www.mendeley.com/documents/?uuid=b0b8c197-04a3-43fd-ab61-353169bacc38"]},{"id":"ITEM-5","itemData":{"DOI":"10.1016/j.bjoms.2019.12.007","author":[{"dropping-particle":"","family":"Walker-Finch","given":"K","non-dropping-particle":"","parse-names":false,"suffix":""},{"dropping-particle":"","family":"Ucer","given":"C","non-dropping-particle":"","parse-names":false,"suffix":""}],"container-title":"British Journal of Oral and Maxillofacial Surgery","id":"ITEM-5","issued":{"date-parts":[["2020"]]},"page":"268-276","title":"Five-year survival rates for implants placed using digitally-designed static surgical guides: a systematic review","type":"article-journal","volume":"58"},"uris":["http://www.mendeley.com/documents/?uuid=ba3a127d-bef5-40b4-b9ed-76d38719b539"]}],"mendeley":{"formattedCitation":"(Eftekhar Ashtiani et al. 2021; Omari et al. 2022; Romandini et al. 2022; Tattan et al. 2020; Walker-Finch and Ucer 2020)","plainTextFormattedCitation":"(Eftekhar Ashtiani et al. 2021; Omari et al. 2022; Romandini et al. 2022; Tattan et al. 2020; Walker-Finch and Ucer 2020)","previouslyFormattedCitation":"(Eftekhar Ashtiani et al. 2021; Omari et al. 2022; Romandini et al. 2022; Tattan et al. 2020; Walker-Finch and Ucer 2020)"},"properties":{"noteIndex":0},"schema":"https://github.com/citation-style-language/schema/raw/master/csl-citation.json"}</w:instrText>
      </w:r>
      <w:r w:rsidRPr="005F62F4">
        <w:fldChar w:fldCharType="separate"/>
      </w:r>
      <w:r w:rsidRPr="005F62F4">
        <w:rPr>
          <w:noProof/>
        </w:rPr>
        <w:t>(Eftekhar Ashtiani et al. 2021; Omari et al. 2022; Romandini et al. 2022; Tattan et al. 2020; Walker-Finch and Ucer 2020)</w:t>
      </w:r>
      <w:r w:rsidRPr="005F62F4">
        <w:fldChar w:fldCharType="end"/>
      </w:r>
      <w:r w:rsidRPr="005F62F4">
        <w:t>.</w:t>
      </w:r>
    </w:p>
    <w:p w14:paraId="16447C2B" w14:textId="431F9247" w:rsidR="00430DA4" w:rsidRPr="005F62F4" w:rsidRDefault="00430DA4" w:rsidP="00D47157">
      <w:pPr>
        <w:pStyle w:val="Pullquote"/>
      </w:pPr>
      <w:r w:rsidRPr="005F62F4">
        <w:t>The template-derived surgical plans are frequently abandoned, putting their utility into question</w:t>
      </w:r>
      <w:r w:rsidR="00824DA5" w:rsidRPr="005F62F4">
        <w:t>.</w:t>
      </w:r>
      <w:r w:rsidRPr="005F62F4">
        <w:t xml:space="preserve"> </w:t>
      </w:r>
      <w:r w:rsidRPr="005F62F4">
        <w:fldChar w:fldCharType="begin" w:fldLock="1"/>
      </w:r>
      <w:r w:rsidRPr="005F62F4">
        <w:instrText>ADDIN CSL_CITATION {"citationItems":[{"id":"ITEM-1","itemData":{"DOI":"10.1007/s00405-022-07291-0","ISBN":"0123456789","ISSN":"14344726","PMID":"35166908","abstract":"Purpose: 3D-printing (three-dimensional printing) is an emerging technology with promising applications for patient-specific interventions. Nonetheless, knowledge on the clinical applicability of 3D-printing in otology and research on its use remains scattered. Understanding these new treatment options is a prerequisite for clinical implementation, which could improve patient outcomes. This review aims to explore current applications of 3D-printed patient-specific otologic interventions, including state of the evidence, strengths, limitations, and future possibilities. Methods: Following the PRISMA statement, relevant studies were identified through Pubmed, EMBASE, the Cochrane Library, and Web of Science. Data on the manufacturing process and interventions were extracted by two reviewers. Study quality was assessed using Joanna Briggs Institute’s critical appraisal tools. Results: Screening yielded 590 studies; 63 were found eligible and included for analysis. 3D-printed models were used as guides, templates, implants, and devices. Outer ear interventions comprised 73% of the studies. Overall, optimistic sentiments on 3D-printed models were reported, including increased surgical precision/confidence, faster manufacturing/operation time, and reduced costs/complications. Nevertheless, study quality was low as most studies failed to use relevant objective outcomes, compare new interventions with conventional treatment, and sufficiently describe manufacturing. Conclusion: Several clinical interventions using patient-specific 3D-printing in otology are considered promising. However, it remains unclear whether these interventions actually improve patient outcomes due to lack of comparison with conventional methods and low levels of evidence. Further, the reproducibility of the 3D-printed interventions is compromised by insufficient reporting. Future efforts should focus on objective, comparative outcomes evaluated in large-scale studies.","author":[{"dropping-particle":"","family":"Omari","given":"Adam","non-dropping-particle":"","parse-names":false,"suffix":""},{"dropping-particle":"","family":"Frendø","given":"Martin","non-dropping-particle":"","parse-names":false,"suffix":""},{"dropping-particle":"","family":"Sørensen","given":"Mads Sølvsten","non-dropping-particle":"","parse-names":false,"suffix":""},{"dropping-particle":"","family":"Andersen","given":"Steven Arild Wuyts","non-dropping-particle":"","parse-names":false,"suffix":""},{"dropping-particle":"","family":"Frithioff","given":"Andreas","non-dropping-particle":"","parse-names":false,"suffix":""}],"container-title":"European Archives of Oto-Rhino-Laryngology","id":"ITEM-1","issue":"7","issued":{"date-parts":[["2022"]]},"page":"3269-3288","publisher":"Springer Berlin Heidelberg","title":"The cutting edge of customized surgery: 3D-printed models for patient-specific interventions in otology and auricular management—a systematic review","type":"article-journal","volume":"279"},"uris":["http://www.mendeley.com/documents/?uuid=b0b8c197-04a3-43fd-ab61-353169bacc38"]}],"mendeley":{"formattedCitation":"(Omari et al. 2022)","manualFormatting":"(Omari et al. 2022, p. 3284)","plainTextFormattedCitation":"(Omari et al. 2022)","previouslyFormattedCitation":"(Omari et al. 2022)"},"properties":{"noteIndex":0},"schema":"https://github.com/citation-style-language/schema/raw/master/csl-citation.json"}</w:instrText>
      </w:r>
      <w:r w:rsidRPr="005F62F4">
        <w:fldChar w:fldCharType="separate"/>
      </w:r>
      <w:r w:rsidRPr="005F62F4">
        <w:rPr>
          <w:noProof/>
        </w:rPr>
        <w:t>(Omari et al. 2022, p. 3284)</w:t>
      </w:r>
      <w:r w:rsidRPr="005F62F4">
        <w:fldChar w:fldCharType="end"/>
      </w:r>
    </w:p>
    <w:p w14:paraId="6E35FCDE" w14:textId="6F293F37" w:rsidR="000D09DA" w:rsidRPr="005F62F4" w:rsidRDefault="00B217CA" w:rsidP="00D47157">
      <w:pPr>
        <w:pStyle w:val="Pullquote"/>
      </w:pPr>
      <w:r w:rsidRPr="005F62F4">
        <w:t xml:space="preserve">Surgeons must therefore have the skills and experience to revert to freehand </w:t>
      </w:r>
      <w:proofErr w:type="gramStart"/>
      <w:r w:rsidRPr="005F62F4">
        <w:t>placement, or</w:t>
      </w:r>
      <w:proofErr w:type="gramEnd"/>
      <w:r w:rsidRPr="005F62F4">
        <w:t xml:space="preserve"> face the prospect of abandoning the procedure altogether. Inexperienced surgeons should not consider guided procedures a means by which they can attempt complex treatments that are beyond their skill set</w:t>
      </w:r>
      <w:r w:rsidR="00824DA5" w:rsidRPr="005F62F4">
        <w:t>.</w:t>
      </w:r>
      <w:r w:rsidRPr="005F62F4">
        <w:t xml:space="preserve"> </w:t>
      </w:r>
      <w:r w:rsidRPr="005F62F4">
        <w:fldChar w:fldCharType="begin" w:fldLock="1"/>
      </w:r>
      <w:r w:rsidR="00736457" w:rsidRPr="005F62F4">
        <w:instrText>ADDIN CSL_CITATION {"citationItems":[{"id":"ITEM-1","itemData":{"DOI":"10.1016/j.bjoms.2019.12.007","author":[{"dropping-particle":"","family":"Walker-Finch","given":"K","non-dropping-particle":"","parse-names":false,"suffix":""},{"dropping-particle":"","family":"Ucer","given":"C","non-dropping-particle":"","parse-names":false,"suffix":""}],"container-title":"British Journal of Oral and Maxillofacial Surgery","id":"ITEM-1","issued":{"date-parts":[["2020"]]},"page":"268-276","title":"Five-year survival rates for implants placed using digitally-designed static surgical guides: a systematic review","type":"article-journal","volume":"58"},"uris":["http://www.mendeley.com/documents/?uuid=ba3a127d-bef5-40b4-b9ed-76d38719b539"]}],"mendeley":{"formattedCitation":"(Walker-Finch and Ucer 2020)","manualFormatting":"(Walker-Finch and Ucer 2020, p. 274)","plainTextFormattedCitation":"(Walker-Finch and Ucer 2020)","previouslyFormattedCitation":"(Walker-Finch and Ucer 2020)"},"properties":{"noteIndex":0},"schema":"https://github.com/citation-style-language/schema/raw/master/csl-citation.json"}</w:instrText>
      </w:r>
      <w:r w:rsidRPr="005F62F4">
        <w:fldChar w:fldCharType="separate"/>
      </w:r>
      <w:r w:rsidRPr="005F62F4">
        <w:rPr>
          <w:noProof/>
        </w:rPr>
        <w:t>(Walker-Finch and Ucer 2020, p. 274)</w:t>
      </w:r>
      <w:r w:rsidRPr="005F62F4">
        <w:fldChar w:fldCharType="end"/>
      </w:r>
    </w:p>
    <w:p w14:paraId="5C5C3105" w14:textId="5A1E2C18" w:rsidR="00430DA4" w:rsidRPr="005F62F4" w:rsidRDefault="00430DA4" w:rsidP="00430DA4">
      <w:pPr>
        <w:pStyle w:val="Para"/>
      </w:pPr>
      <w:r w:rsidRPr="005F62F4">
        <w:lastRenderedPageBreak/>
        <w:t>While a number of studies of 3D-printed technologies, including surgical guides a</w:t>
      </w:r>
      <w:r w:rsidR="002B0360" w:rsidRPr="005F62F4">
        <w:t>n</w:t>
      </w:r>
      <w:r w:rsidRPr="005F62F4">
        <w:t xml:space="preserve">d </w:t>
      </w:r>
      <w:proofErr w:type="spellStart"/>
      <w:r w:rsidRPr="005F62F4">
        <w:t>biomodels</w:t>
      </w:r>
      <w:proofErr w:type="spellEnd"/>
      <w:r w:rsidRPr="005F62F4">
        <w:t xml:space="preserve">, mentioned cost (often considered in the context of surgical time savings), economic viability remains an ‘open question’ </w:t>
      </w:r>
      <w:r w:rsidRPr="005F62F4">
        <w:fldChar w:fldCharType="begin" w:fldLock="1"/>
      </w:r>
      <w:r w:rsidRPr="005F62F4">
        <w:instrText>ADDIN CSL_CITATION {"citationItems":[{"id":"ITEM-1","itemData":{"DOI":"10.1097/PRS.0000000000006261","ISBN":"0000000000","ISSN":"15294242","PMID":"31764662","abstract":"BACKGROUND: Computer-assisted mandibular reconstruction facilitates preoperative surgery simulation and transfers the virtual plan to a real operation. This systematic review and meta-analysis aimed to compare the accuracy, efficiency, postoperative complications, and economic viability between computer-assisted mandibular reconstruction and conventional freehand mandibular reconstruction. METHODS: The PubMed, Embase, Cochrane Library, and Google Scholar databases were searched up to November of 2018. The accuracy, efficiency, postoperative complications, and economic viability of computer-assisted mandibular reconstruction compared to conventional freehand mandibular reconstruction were systematically reviewed. Continuous and dichotomous data were pooled in mean difference (or standardized mean difference if necessary) and odds ratio, subsequently, with 95 percent confidence interval. RESULTS: A total of 12 studies were included in the systematic review, and data extracted from 11 of them were combined in meta-analysis. The accuracy of computer-assisted mandibular reconstruction was better than or equal to that of conventional freehand mandibular reconstruction according to qualitative analysis, although the quantitative comparison from meta-analysis was excluded because of the diversity of measurements. As for efficiency, computer-assisted mandibular reconstruction, when compared to conventional freehand mandibular reconstruction, revealed a shorter ischemic time, reconstructive time, total operative time, and length of stay. There was no difference in postoperative complication rate. CONCLUSIONS: Computer-assisted mandibular reconstruction showed increased efficiency considering the reduced ischemic time, total operative time, reconstructive time, and length of stay. However, the accuracy, reconstruction outcomes, and perioperative cost should be further elucidated because of diverse measurements and the lack of included studies.","author":[{"dropping-particle":"","family":"Powcharoen","given":"Warit","non-dropping-particle":"","parse-names":false,"suffix":""},{"dropping-particle":"","family":"Yang","given":"Wei Fa","non-dropping-particle":"","parse-names":false,"suffix":""},{"dropping-particle":"","family":"Yan Li","given":"Kar","non-dropping-particle":"","parse-names":false,"suffix":""},{"dropping-particle":"","family":"Zhu","given":"Wangyong","non-dropping-particle":"","parse-names":false,"suffix":""},{"dropping-particle":"","family":"Su","given":"Yu Xiong","non-dropping-particle":"","parse-names":false,"suffix":""}],"container-title":"Plastic and reconstructive surgery","id":"ITEM-1","issue":"6","issued":{"date-parts":[["2019"]]},"page":"1417-1428","title":"Computer-assisted versus conventional freehand mandibular reconstruction with fibula free flap: a systematic review and meta-analysis","type":"article-journal","volume":"144"},"uris":["http://www.mendeley.com/documents/?uuid=dee362cd-8e98-4424-b1dd-024c1574dfa8"]}],"mendeley":{"formattedCitation":"(Powcharoen et al. 2019)","manualFormatting":"(Powcharoen et al. 2019, p. 1426)","plainTextFormattedCitation":"(Powcharoen et al. 2019)","previouslyFormattedCitation":"(Powcharoen et al. 2019)"},"properties":{"noteIndex":0},"schema":"https://github.com/citation-style-language/schema/raw/master/csl-citation.json"}</w:instrText>
      </w:r>
      <w:r w:rsidRPr="005F62F4">
        <w:fldChar w:fldCharType="separate"/>
      </w:r>
      <w:r w:rsidRPr="005F62F4">
        <w:rPr>
          <w:noProof/>
        </w:rPr>
        <w:t>(Powcharoen et al. 2019, p. 1426)</w:t>
      </w:r>
      <w:r w:rsidRPr="005F62F4">
        <w:fldChar w:fldCharType="end"/>
      </w:r>
      <w:r w:rsidRPr="005F62F4">
        <w:t>, and dependent on costs and cost structures present in any given healthcare setting.</w:t>
      </w:r>
    </w:p>
    <w:p w14:paraId="57D17DE2" w14:textId="3D291803" w:rsidR="00430DA4" w:rsidRPr="005F62F4" w:rsidRDefault="00430DA4" w:rsidP="00D47157">
      <w:pPr>
        <w:pStyle w:val="Pullquote"/>
      </w:pPr>
      <w:r w:rsidRPr="005F62F4">
        <w:t>Expenses related to the operating room and inpatient services vary among different cent</w:t>
      </w:r>
      <w:r w:rsidR="00671E99">
        <w:t>re</w:t>
      </w:r>
      <w:r w:rsidR="00B220A8" w:rsidRPr="005F62F4">
        <w:t>s</w:t>
      </w:r>
      <w:r w:rsidRPr="005F62F4">
        <w:t xml:space="preserve"> and countries. Health insurance coverage also varies in different areas. Therefore, the economic viability of computer-assisted mandibular reconstruction remains an open question</w:t>
      </w:r>
      <w:r w:rsidR="00824DA5" w:rsidRPr="005F62F4">
        <w:t>.</w:t>
      </w:r>
      <w:r w:rsidRPr="005F62F4">
        <w:t xml:space="preserve"> </w:t>
      </w:r>
      <w:r w:rsidRPr="005F62F4">
        <w:fldChar w:fldCharType="begin" w:fldLock="1"/>
      </w:r>
      <w:r w:rsidRPr="005F62F4">
        <w:instrText>ADDIN CSL_CITATION {"citationItems":[{"id":"ITEM-1","itemData":{"DOI":"10.1097/PRS.0000000000006261","ISBN":"0000000000","ISSN":"15294242","PMID":"31764662","abstract":"BACKGROUND: Computer-assisted mandibular reconstruction facilitates preoperative surgery simulation and transfers the virtual plan to a real operation. This systematic review and meta-analysis aimed to compare the accuracy, efficiency, postoperative complications, and economic viability between computer-assisted mandibular reconstruction and conventional freehand mandibular reconstruction. METHODS: The PubMed, Embase, Cochrane Library, and Google Scholar databases were searched up to November of 2018. The accuracy, efficiency, postoperative complications, and economic viability of computer-assisted mandibular reconstruction compared to conventional freehand mandibular reconstruction were systematically reviewed. Continuous and dichotomous data were pooled in mean difference (or standardized mean difference if necessary) and odds ratio, subsequently, with 95 percent confidence interval. RESULTS: A total of 12 studies were included in the systematic review, and data extracted from 11 of them were combined in meta-analysis. The accuracy of computer-assisted mandibular reconstruction was better than or equal to that of conventional freehand mandibular reconstruction according to qualitative analysis, although the quantitative comparison from meta-analysis was excluded because of the diversity of measurements. As for efficiency, computer-assisted mandibular reconstruction, when compared to conventional freehand mandibular reconstruction, revealed a shorter ischemic time, reconstructive time, total operative time, and length of stay. There was no difference in postoperative complication rate. CONCLUSIONS: Computer-assisted mandibular reconstruction showed increased efficiency considering the reduced ischemic time, total operative time, reconstructive time, and length of stay. However, the accuracy, reconstruction outcomes, and perioperative cost should be further elucidated because of diverse measurements and the lack of included studies.","author":[{"dropping-particle":"","family":"Powcharoen","given":"Warit","non-dropping-particle":"","parse-names":false,"suffix":""},{"dropping-particle":"","family":"Yang","given":"Wei Fa","non-dropping-particle":"","parse-names":false,"suffix":""},{"dropping-particle":"","family":"Yan Li","given":"Kar","non-dropping-particle":"","parse-names":false,"suffix":""},{"dropping-particle":"","family":"Zhu","given":"Wangyong","non-dropping-particle":"","parse-names":false,"suffix":""},{"dropping-particle":"","family":"Su","given":"Yu Xiong","non-dropping-particle":"","parse-names":false,"suffix":""}],"container-title":"Plastic and reconstructive surgery","id":"ITEM-1","issue":"6","issued":{"date-parts":[["2019"]]},"page":"1417-1428","title":"Computer-assisted versus conventional freehand mandibular reconstruction with fibula free flap: a systematic review and meta-analysis","type":"article-journal","volume":"144"},"uris":["http://www.mendeley.com/documents/?uuid=dee362cd-8e98-4424-b1dd-024c1574dfa8"]}],"mendeley":{"formattedCitation":"(Powcharoen et al. 2019)","manualFormatting":"(Powcharoen et al. 2019, p. 1426)","plainTextFormattedCitation":"(Powcharoen et al. 2019)","previouslyFormattedCitation":"(Powcharoen et al. 2019)"},"properties":{"noteIndex":0},"schema":"https://github.com/citation-style-language/schema/raw/master/csl-citation.json"}</w:instrText>
      </w:r>
      <w:r w:rsidRPr="005F62F4">
        <w:fldChar w:fldCharType="separate"/>
      </w:r>
      <w:r w:rsidRPr="005F62F4">
        <w:rPr>
          <w:noProof/>
        </w:rPr>
        <w:t>(Powcharoen et al. 2019, p. 1426)</w:t>
      </w:r>
      <w:r w:rsidRPr="005F62F4">
        <w:fldChar w:fldCharType="end"/>
      </w:r>
      <w:r w:rsidRPr="005F62F4">
        <w:t>.</w:t>
      </w:r>
    </w:p>
    <w:p w14:paraId="1AD7249D" w14:textId="77777777" w:rsidR="00430DA4" w:rsidRPr="005F62F4" w:rsidRDefault="00430DA4" w:rsidP="00430DA4">
      <w:pPr>
        <w:pStyle w:val="Para"/>
      </w:pPr>
      <w:r w:rsidRPr="005F62F4">
        <w:t xml:space="preserve">As an example of modelling, however, </w:t>
      </w:r>
      <w:r w:rsidRPr="005F62F4">
        <w:fldChar w:fldCharType="begin" w:fldLock="1"/>
      </w:r>
      <w:r w:rsidRPr="005F62F4">
        <w:instrText>ADDIN CSL_CITATION {"citationItems":[{"id":"ITEM-1","itemData":{"DOI":"10.1016/j.acra.2019.08.011","ISSN":"18784046","PMID":"31542197","abstract":"RATIONALE AND OBJECTIVE: Three-dimensional (3D) printed anatomic models and surgical guides have been shown to reduce operative time. The purpose of this study was to generate an economic analysis of the cost-saving potential of 3D printed anatomic models and surgical guides in orthopedic and maxillofacial surgical applications. MATERIALS AND METHODS: A targeted literature search identified operating room cost-per-minute and studies that quantified time saved using 3D printed constructs. Studies that reported operative time differences due to 3D printed anatomic models or surgical guides were reviewed and cataloged. A mean of $62 per operating room minute (range of $22–$133 per minute) was used as the reference standard for operating room time cost. Different financial scenarios were modeled with the provided cost-per-minute of operating room time (using high, mean, and low values) and mean time saved using 3D printed constructs. RESULTS: Seven studies using 3D printed anatomic models in surgical care demonstrated a mean 62 minutes ($3720/case saved from reduced time) of time saved, and 25 studies of 3D printed surgical guides demonstrated a mean 23 minutes time saved ($1488/case saved from reduced time). An estimated 63 models or guides per year (or 1.2/week) were predicted to be the minimum number to breakeven and account for annual fixed costs. CONCLUSION: Based on the literature-based financial analyses, medical 3D printing appears to reduce operating room costs secondary to shortening procedure times. While resource-intensive, 3D printed constructs used in patients’ operative care provides considerable downstream value to health systems.","author":[{"dropping-particle":"","family":"Ballard","given":"David H.","non-dropping-particle":"","parse-names":false,"suffix":""},{"dropping-particle":"","family":"Mills","given":"Patrick","non-dropping-particle":"","parse-names":false,"suffix":""},{"dropping-particle":"","family":"Duszak","given":"Richard","non-dropping-particle":"","parse-names":false,"suffix":""},{"dropping-particle":"","family":"Weisman","given":"Jeffery A.","non-dropping-particle":"","parse-names":false,"suffix":""},{"dropping-particle":"","family":"Rybicki","given":"Frank J.","non-dropping-particle":"","parse-names":false,"suffix":""},{"dropping-particle":"","family":"Woodard","given":"Pamela K.","non-dropping-particle":"","parse-names":false,"suffix":""}],"container-title":"Academic Radiology","id":"ITEM-1","issue":"8","issued":{"date-parts":[["2020"]]},"page":"1103-1113","publisher":"Elsevier Inc.","title":"Medical 3D printing cost-savings in orthopedic and maxillofacial surgery: cost analysis of operating room time saved with 3D printed anatomic models and surgical guides","type":"article-journal","volume":"27"},"uris":["http://www.mendeley.com/documents/?uuid=dd63fa1e-4562-407f-a955-e571eae74dff"]}],"mendeley":{"formattedCitation":"(Ballard et al. 2020)","manualFormatting":"Ballard et al. (2020)","plainTextFormattedCitation":"(Ballard et al. 2020)","previouslyFormattedCitation":"(Ballard et al. 2020)"},"properties":{"noteIndex":0},"schema":"https://github.com/citation-style-language/schema/raw/master/csl-citation.json"}</w:instrText>
      </w:r>
      <w:r w:rsidRPr="005F62F4">
        <w:fldChar w:fldCharType="separate"/>
      </w:r>
      <w:r w:rsidRPr="005F62F4">
        <w:rPr>
          <w:noProof/>
        </w:rPr>
        <w:t>Ballard et al. (2020)</w:t>
      </w:r>
      <w:r w:rsidRPr="005F62F4">
        <w:fldChar w:fldCharType="end"/>
      </w:r>
      <w:r w:rsidRPr="005F62F4">
        <w:t xml:space="preserve"> estimated that, in the context of oral and maxillofacial and orthopaedic surgeries in the United States, the production of at least 63 models or guides per year would be needed to offset annual fixed costs of maintaining a 3D printing lab.</w:t>
      </w:r>
    </w:p>
    <w:p w14:paraId="4AA468E3" w14:textId="77777777" w:rsidR="00430DA4" w:rsidRPr="005F62F4" w:rsidRDefault="00430DA4" w:rsidP="002749D0">
      <w:pPr>
        <w:pStyle w:val="ParaKeep"/>
      </w:pPr>
      <w:r w:rsidRPr="005F62F4">
        <w:t>Another key finding is the limitations of the existing literature, as articulated by the authors of the systematic reviews and meta-analyses described here. These commonly included:</w:t>
      </w:r>
    </w:p>
    <w:p w14:paraId="20589BBE" w14:textId="631613CB" w:rsidR="00430DA4" w:rsidRPr="005F62F4" w:rsidRDefault="00430DA4" w:rsidP="007C4445">
      <w:pPr>
        <w:pStyle w:val="Bullet1"/>
      </w:pPr>
      <w:r w:rsidRPr="005F62F4">
        <w:t xml:space="preserve">the limited number of studies identified for inclusion in the reviews </w:t>
      </w:r>
      <w:r w:rsidRPr="005F62F4">
        <w:fldChar w:fldCharType="begin" w:fldLock="1"/>
      </w:r>
      <w:r w:rsidR="009A43DD" w:rsidRPr="005F62F4">
        <w:instrText>ADDIN CSL_CITATION {"citationItems":[{"id":"ITEM-1","itemData":{"DOI":"10.1097/PRS.0000000000006261","ISBN":"0000000000","ISSN":"15294242","PMID":"31764662","abstract":"BACKGROUND: Computer-assisted mandibular reconstruction facilitates preoperative surgery simulation and transfers the virtual plan to a real operation. This systematic review and meta-analysis aimed to compare the accuracy, efficiency, postoperative complications, and economic viability between computer-assisted mandibular reconstruction and conventional freehand mandibular reconstruction. METHODS: The PubMed, Embase, Cochrane Library, and Google Scholar databases were searched up to November of 2018. The accuracy, efficiency, postoperative complications, and economic viability of computer-assisted mandibular reconstruction compared to conventional freehand mandibular reconstruction were systematically reviewed. Continuous and dichotomous data were pooled in mean difference (or standardized mean difference if necessary) and odds ratio, subsequently, with 95 percent confidence interval. RESULTS: A total of 12 studies were included in the systematic review, and data extracted from 11 of them were combined in meta-analysis. The accuracy of computer-assisted mandibular reconstruction was better than or equal to that of conventional freehand mandibular reconstruction according to qualitative analysis, although the quantitative comparison from meta-analysis was excluded because of the diversity of measurements. As for efficiency, computer-assisted mandibular reconstruction, when compared to conventional freehand mandibular reconstruction, revealed a shorter ischemic time, reconstructive time, total operative time, and length of stay. There was no difference in postoperative complication rate. CONCLUSIONS: Computer-assisted mandibular reconstruction showed increased efficiency considering the reduced ischemic time, total operative time, reconstructive time, and length of stay. However, the accuracy, reconstruction outcomes, and perioperative cost should be further elucidated because of diverse measurements and the lack of included studies.","author":[{"dropping-particle":"","family":"Powcharoen","given":"Warit","non-dropping-particle":"","parse-names":false,"suffix":""},{"dropping-particle":"","family":"Yang","given":"Wei Fa","non-dropping-particle":"","parse-names":false,"suffix":""},{"dropping-particle":"","family":"Yan Li","given":"Kar","non-dropping-particle":"","parse-names":false,"suffix":""},{"dropping-particle":"","family":"Zhu","given":"Wangyong","non-dropping-particle":"","parse-names":false,"suffix":""},{"dropping-particle":"","family":"Su","given":"Yu Xiong","non-dropping-particle":"","parse-names":false,"suffix":""}],"container-title":"Plastic and reconstructive surgery","id":"ITEM-1","issue":"6","issued":{"date-parts":[["2019"]]},"page":"1417-1428","title":"Computer-assisted versus conventional freehand mandibular reconstruction with fibula free flap: a systematic review and meta-analysis","type":"article-journal","volume":"144"},"uris":["http://www.mendeley.com/documents/?uuid=dee362cd-8e98-4424-b1dd-024c1574dfa8"]},{"id":"ITEM-2","itemData":{"DOI":"10.1038/s41405-021-00086-1","ISSN":"2056807X","abstract":"Objective: The purpose of the systematic review and meta-analysis was to evaluate implant failure rates and their association with guided and free-hand implant placement techniques. Materials and methods: A literature search was conducted across PubMed, Medline via Ovid, Cochrane database, and Google Scholar. The search was completed in September 2020. Series of meta-analyses were conducted to compare implant failure rates with guided and free-hand techniques. Results: A total of 3387 articles were identified from the electronic search. After applying the inclusion criteria, eight articles were selected for qualitative assessment and four for quantitative synthesis (meta-analysis). The included studies had a risk ratio of 0.29 (95% CI: 0.15, 0.58), P &lt; 0.001 for the use of guided implant placement. Implant failure rates were affected by the different placement techniques indicated by the test for overall effect (Z = 3.53, P = 0.0004). The incidence of implant failure in guided surgery versus free-hand surgery was found to be 2.25% and 6.42%, respectively. Conclusion: Both guided and free-hand implant placement techniques resulted in a high implant survival rate. However, implant failure rates were almost three times higher in the free-hand implant placement category. A guided implant placement approach is recommended for a successful outcome.","author":[{"dropping-particle":"","family":"Abdelhay","given":"Nancy","non-dropping-particle":"","parse-names":false,"suffix":""},{"dropping-particle":"","family":"Prasad","given":"Soni","non-dropping-particle":"","parse-names":false,"suffix":""},{"dropping-particle":"","family":"Gibson","given":"Monica Prasad","non-dropping-particle":"","parse-names":false,"suffix":""}],"container-title":"BDJ Open","id":"ITEM-2","issue":"1","issued":{"date-parts":[["2021"]]},"page":"1-9","publisher":"Springer US","title":"Failure rates associated with guided versus non-guided dental implant placement: a systematic review and meta-analysis","type":"article-journal","volume":"7"},"uris":["http://www.mendeley.com/documents/?uuid=8d94bdba-fc3d-4f8b-a81c-b0e3c1d1a154"]},{"id":"ITEM-3","itemData":{"DOI":"10.1016/j.bjoms.2019.12.007","author":[{"dropping-particle":"","family":"Walker-Finch","given":"K","non-dropping-particle":"","parse-names":false,"suffix":""},{"dropping-particle":"","family":"Ucer","given":"C","non-dropping-particle":"","parse-names":false,"suffix":""}],"container-title":"British Journal of Oral and Maxillofacial Surgery","id":"ITEM-3","issued":{"date-parts":[["2020"]]},"page":"268-276","title":"Five-year survival rates for implants placed using digitally-designed static surgical guides: a systematic review","type":"article-journal","volume":"58"},"uris":["http://www.mendeley.com/documents/?uuid=ba3a127d-bef5-40b4-b9ed-76d38719b539"]},{"id":"ITEM-4","itemData":{"DOI":"0.5037/jomr.2018.9101","author":[{"dropping-particle":"","family":"Seo","given":"C","non-dropping-particle":"","parse-names":false,"suffix":""},{"dropping-particle":"","family":"Juodzbalys","given":"G","non-dropping-particle":"","parse-names":false,"suffix":""}],"container-title":"Journal of Oral &amp; Maxillofacial Research","id":"ITEM-4","issue":"1","issued":{"date-parts":[["2018"]]},"page":"e1","title":"Accuracy of guided surgery via stereolithographic mucosa-supported surgical guide in implant surgery for edentulous patient: a systematic review","type":"article-journal","volume":"9"},"uris":["http://www.mendeley.com/documents/?uuid=f79602de-f7fd-4621-aa03-8ee2693d4489"]},{"id":"ITEM-5","itemData":{"DOI":"10.2186/jpr.JPR_D_20_00184","ISSN":"18831958","PMID":"33504723","abstract":"Purpose: To review the current clinical studies regarding the accuracy of implant computer-guided surgery in partially edentulous patients and investigate potential influencing factors. Study selection: Electronic searches on the PubMed and Cochrane Central Register of Controlled Trials databases, and subsequent manual searches were performed. Two reviewers selected the studies following our inclusion and exclusion criteria. Qualitative review and meta-analysis of the implant placement accuracy were performed to analyze potential influencing factors. Angular deviation, coronal deviation, apical deviation, and depth deviation were evaluated as the accuracy outcomes. Results: Eighteen studies were included in this systematic review, including six randomized controlled trials, nine prospective studies, and three retrospective clinical studies. A total of 1317 implants placed in 642 partially edentulous patients were reviewed. Eight studies were evaluated using meta-analysis. Fully guided surgery showed statistically higher accuracy in angular (P &lt;0.001), coronal (P &lt;0.001), and apical deviation (P &lt;0.05) compared with pilot-drill guided surgery. A statistically significant difference (P &lt;0.001) was also observed in coronal deviation between the bounded edentulous (BES) and distal extension spaces (DES). A significantly lower angular deviation (P &lt;0.001) was found in implants placed using computer-aided design/computer-aided manufacturing (CAD/CAM) compared to the conventional surgical guides. Conclusion: The edentulous space type, surgical guide manufacturing procedure, and guided surgery protocol can influence the accuracy of computer-guided surgery in partially edentulous patients. Higher accuracy was found when the implants were placed in BES, with CAD/CAM manufactured surgical guides, using a fully guided surgery protocol.","author":[{"dropping-particle":"","family":"Putra","given":"Ramadhan Hardani","non-dropping-particle":"","parse-names":false,"suffix":""},{"dropping-particle":"","family":"Yoda","given":"Nobuhiro","non-dropping-particle":"","parse-names":false,"suffix":""},{"dropping-particle":"","family":"Astuti","given":"Eha Renwi","non-dropping-particle":"","parse-names":false,"suffix":""},{"dropping-particle":"","family":"Sasaki","given":"Keiichi","non-dropping-particle":"","parse-names":false,"suffix":""}],"container-title":"Journal of Prosthodontic Research","id":"ITEM-5","issue":"1","issued":{"date-parts":[["2022"]]},"page":"29-39","title":"The accuracy of implant placement with computer-guided surgery in partially edentulous patients and possible influencing factors: a systematic review and meta-analysis","type":"article-journal","volume":"66"},"uris":["http://www.mendeley.com/documents/?uuid=f03441fa-f49b-4a95-972a-b4edc6c98154"]},{"id":"ITEM-6","itemData":{"DOI":"10.1007/s00405-022-07291-0","ISBN":"0123456789","ISSN":"14344726","PMID":"35166908","abstract":"Purpose: 3D-printing (three-dimensional printing) is an emerging technology with promising applications for patient-specific interventions. Nonetheless, knowledge on the clinical applicability of 3D-printing in otology and research on its use remains scattered. Understanding these new treatment options is a prerequisite for clinical implementation, which could improve patient outcomes. This review aims to explore current applications of 3D-printed patient-specific otologic interventions, including state of the evidence, strengths, limitations, and future possibilities. Methods: Following the PRISMA statement, relevant studies were identified through Pubmed, EMBASE, the Cochrane Library, and Web of Science. Data on the manufacturing process and interventions were extracted by two reviewers. Study quality was assessed using Joanna Briggs Institute’s critical appraisal tools. Results: Screening yielded 590 studies; 63 were found eligible and included for analysis. 3D-printed models were used as guides, templates, implants, and devices. Outer ear interventions comprised 73% of the studies. Overall, optimistic sentiments on 3D-printed models were reported, including increased surgical precision/confidence, faster manufacturing/operation time, and reduced costs/complications. Nevertheless, study quality was low as most studies failed to use relevant objective outcomes, compare new interventions with conventional treatment, and sufficiently describe manufacturing. Conclusion: Several clinical interventions using patient-specific 3D-printing in otology are considered promising. However, it remains unclear whether these interventions actually improve patient outcomes due to lack of comparison with conventional methods and low levels of evidence. Further, the reproducibility of the 3D-printed interventions is compromised by insufficient reporting. Future efforts should focus on objective, comparative outcomes evaluated in large-scale studies.","author":[{"dropping-particle":"","family":"Omari","given":"Adam","non-dropping-particle":"","parse-names":false,"suffix":""},{"dropping-particle":"","family":"Frendø","given":"Martin","non-dropping-particle":"","parse-names":false,"suffix":""},{"dropping-particle":"","family":"Sørensen","given":"Mads Sølvsten","non-dropping-particle":"","parse-names":false,"suffix":""},{"dropping-particle":"","family":"Andersen","given":"Steven Arild Wuyts","non-dropping-particle":"","parse-names":false,"suffix":""},{"dropping-particle":"","family":"Frithioff","given":"Andreas","non-dropping-particle":"","parse-names":false,"suffix":""}],"container-title":"European Archives of Oto-Rhino-Laryngology","id":"ITEM-6","issue":"7","issued":{"date-parts":[["2022"]]},"page":"3269-3288","publisher":"Springer Berlin Heidelberg","title":"The cutting edge of customized surgery: 3D-printed models for patient-specific interventions in otology and auricular management—a systematic review","type":"article-journal","volume":"279"},"uris":["http://www.mendeley.com/documents/?uuid=b0b8c197-04a3-43fd-ab61-353169bacc38"]}],"mendeley":{"formattedCitation":"(Abdelhay et al. 2021; Omari et al. 2022; Powcharoen et al. 2019; Putra et al. 2022; Seo and Juodzbalys 2018; Walker-Finch and Ucer 2020)","plainTextFormattedCitation":"(Abdelhay et al. 2021; Omari et al. 2022; Powcharoen et al. 2019; Putra et al. 2022; Seo and Juodzbalys 2018; Walker-Finch and Ucer 2020)","previouslyFormattedCitation":"(Abdelhay et al. 2021; Omari et al. 2022; Powcharoen et al. 2019; Putra et al. 2022; Seo and Juodzbalys 2018; Walker-Finch and Ucer 2020)"},"properties":{"noteIndex":0},"schema":"https://github.com/citation-style-language/schema/raw/master/csl-citation.json"}</w:instrText>
      </w:r>
      <w:r w:rsidRPr="005F62F4">
        <w:fldChar w:fldCharType="separate"/>
      </w:r>
      <w:r w:rsidRPr="005F62F4">
        <w:rPr>
          <w:noProof/>
        </w:rPr>
        <w:t>(Abdelhay et al. 2021; Omari et al. 2022; Powcharoen et al. 2019; Putra et al. 2022; Seo and Juodzbalys 2018; Walker-Finch and Ucer 2020)</w:t>
      </w:r>
      <w:r w:rsidRPr="005F62F4">
        <w:fldChar w:fldCharType="end"/>
      </w:r>
    </w:p>
    <w:p w14:paraId="025B823F" w14:textId="73E4FEC0" w:rsidR="00430DA4" w:rsidRPr="005F62F4" w:rsidRDefault="00430DA4" w:rsidP="007C4445">
      <w:pPr>
        <w:pStyle w:val="Bullet1"/>
      </w:pPr>
      <w:r w:rsidRPr="005F62F4">
        <w:t>the small sample sizes in included studies and inclusion of case reports</w:t>
      </w:r>
      <w:r w:rsidRPr="005F62F4" w:rsidDel="003B238F">
        <w:t xml:space="preserve"> </w:t>
      </w:r>
      <w:r w:rsidRPr="005F62F4">
        <w:fldChar w:fldCharType="begin" w:fldLock="1"/>
      </w:r>
      <w:r w:rsidRPr="005F62F4">
        <w:instrText>ADDIN CSL_CITATION {"citationItems":[{"id":"ITEM-1","itemData":{"DOI":"10.1186/s13018-021-02646-5","ISSN":"1749799X","PMID":"34389036","abstract":"Background: This study investigates whether three-dimensional (3D) printing-assisted revision total hip/knee arthroplasty could improve its clinical and radiological outcomes and assess the depth and breadth of research conducted on 3D printing-assisted revision total hip and knee arthroplasty. Methods: A literature search was carried out on PubMed, Web of Science, EMBASE, and the Cochrane Library. Only studies that investigated 3D printing-assisted revision total hip and knee arthroplasty were included. The author, publication year, study design, number of patients, patients’ age, the time of follow-up, surgery category, Coleman score, clinical outcomes measured, clinical outcomes conclusion, radiological outcomes measured, and radiological outcomes conclusion were extracted and analyzed. Results: Ten articles were included in our review. Three articles investigated the outcome of revision total knee arthroplasty, and seven investigated the outcome of revision total hip arthroplasty. Two papers compared a 3D printing group with a control group, and the other eight reported 3D printing treatment outcomes alone. Nine articles investigated the clinical outcomes of total hip/knee arthroplasty, and eight studied the radiological outcomes of total hip/knee arthroplasty. Conclusion: 3D printing is being introduced in revision total hip and knee arthroplasty. Current literature suggests satisfactory clinical and radiological outcomes could be obtained with the assistance of 3D printing. Further long-term follow-up studies are required, particularly focusing on cost-benefit analysis, resource availability, and, importantly, the durability and biomechanics of customized prostheses using 3D printing compared to traditional techniques.","author":[{"dropping-particle":"","family":"Zhang","given":"Rui","non-dropping-particle":"","parse-names":false,"suffix":""},{"dropping-particle":"","family":"Lin","given":"Jiajun","non-dropping-particle":"","parse-names":false,"suffix":""},{"dropping-particle":"","family":"Chen","given":"Fenyong","non-dropping-particle":"","parse-names":false,"suffix":""},{"dropping-particle":"","family":"Liu","given":"Wenge","non-dropping-particle":"","parse-names":false,"suffix":""},{"dropping-particle":"","family":"Chen","given":"Min","non-dropping-particle":"","parse-names":false,"suffix":""}],"container-title":"Journal of Orthopaedic Surgery and Research","id":"ITEM-1","issue":"1","issued":{"date-parts":[["2021"]]},"page":"1-10","publisher":"Journal of Orthopaedic Surgery and Research","title":"Clinical and radiological outcomes in three-dimensional printing assisted revision total hip and knee arthroplasty: a systematic review","type":"article-journal","volume":"16"},"uris":["http://www.mendeley.com/documents/?uuid=df2a90c1-395c-4372-8627-609ed01f8e99"]},{"id":"ITEM-2","itemData":{"DOI":"10.1007/s00405-022-07291-0","ISBN":"0123456789","ISSN":"14344726","PMID":"35166908","abstract":"Purpose: 3D-printing (three-dimensional printing) is an emerging technology with promising applications for patient-specific interventions. Nonetheless, knowledge on the clinical applicability of 3D-printing in otology and research on its use remains scattered. Understanding these new treatment options is a prerequisite for clinical implementation, which could improve patient outcomes. This review aims to explore current applications of 3D-printed patient-specific otologic interventions, including state of the evidence, strengths, limitations, and future possibilities. Methods: Following the PRISMA statement, relevant studies were identified through Pubmed, EMBASE, the Cochrane Library, and Web of Science. Data on the manufacturing process and interventions were extracted by two reviewers. Study quality was assessed using Joanna Briggs Institute’s critical appraisal tools. Results: Screening yielded 590 studies; 63 were found eligible and included for analysis. 3D-printed models were used as guides, templates, implants, and devices. Outer ear interventions comprised 73% of the studies. Overall, optimistic sentiments on 3D-printed models were reported, including increased surgical precision/confidence, faster manufacturing/operation time, and reduced costs/complications. Nevertheless, study quality was low as most studies failed to use relevant objective outcomes, compare new interventions with conventional treatment, and sufficiently describe manufacturing. Conclusion: Several clinical interventions using patient-specific 3D-printing in otology are considered promising. However, it remains unclear whether these interventions actually improve patient outcomes due to lack of comparison with conventional methods and low levels of evidence. Further, the reproducibility of the 3D-printed interventions is compromised by insufficient reporting. Future efforts should focus on objective, comparative outcomes evaluated in large-scale studies.","author":[{"dropping-particle":"","family":"Omari","given":"Adam","non-dropping-particle":"","parse-names":false,"suffix":""},{"dropping-particle":"","family":"Frendø","given":"Martin","non-dropping-particle":"","parse-names":false,"suffix":""},{"dropping-particle":"","family":"Sørensen","given":"Mads Sølvsten","non-dropping-particle":"","parse-names":false,"suffix":""},{"dropping-particle":"","family":"Andersen","given":"Steven Arild Wuyts","non-dropping-particle":"","parse-names":false,"suffix":""},{"dropping-particle":"","family":"Frithioff","given":"Andreas","non-dropping-particle":"","parse-names":false,"suffix":""}],"container-title":"European Archives of Oto-Rhino-Laryngology","id":"ITEM-2","issue":"7","issued":{"date-parts":[["2022"]]},"page":"3269-3288","publisher":"Springer Berlin Heidelberg","title":"The cutting edge of customized surgery: 3D-printed models for patient-specific interventions in otology and auricular management—a systematic review","type":"article-journal","volume":"279"},"uris":["http://www.mendeley.com/documents/?uuid=b0b8c197-04a3-43fd-ab61-353169bacc38"]},{"id":"ITEM-3","itemData":{"DOI":"10.4022/jafib.2433","ISSN":"19416911","abstract":"Objective:This systematic review and meta-analysis compared computed tomography (CT)-derived three-dimensional (3D) modeling versus two-dimensional transesophageal echocardiography (TEE) for left atrial appendage occluder (LAAO) device planning. Background:LAAO device planning is commonly performed with TEE. However, procedures often require multiple devices and deployments due to inaccurate sizing from TEE. The use of CT three-dimensional (3D) models for LAAO device planning may improve accuracy. Methods:Four clinical studies that reported procedural and clinical outcomes for CT-derived 3D modeling versus TEE for LAAO device planning were identified. End points were accurate device sizing, procedure failure, number of devices used per procedure, fluoroscopy time, and post-procedure leak. Risk ratio (RR) and mean difference (MD) with a 95% confidence interval (CI) were calculated by the Mantel-Haenszel and inverse variance methods. Results:A total of 166 participants were included. When compared with conventional imaging, the use of 3D printed models was associated with less fluoroscopy time (MD -6.98 minutes, 95% CI -12.68 to -1.28, p=0.02) and lower risk of occluder device peri-prosthetic leak (RR 0.23, 95% CI 0.07-0.73, p=0.01) for LAAO. There were signals towards lower number of devices per procedure (MD -0.56 devices, 95% CI -1.16-0.05, p=0.07) and less total procedure time (MD -13.50 minutes, 95% CI -28.14-1.14, p=0.07) with printed modeling for LAAO. There was no difference between modalities in rates of procedure failure. Conclusions: CT-derived 3D printed models for LAAO device planning may offer the advantages of lower LAAO device peri-prosthetic leak and less fluoroscopy time when compared with conventional TEE guidance.","author":[{"dropping-particle":"Saint","family":"Croix","given":"Garly","non-dropping-particle":"","parse-names":false,"suffix":""},{"dropping-particle":"","family":"Zaidi","given":"Syed Imran","non-dropping-particle":"","parse-names":false,"suffix":""},{"dropping-particle":"","family":"Loescher","given":"Viky S.","non-dropping-particle":"","parse-names":false,"suffix":""},{"dropping-particle":"","family":"Mihos","given":"Christos G.","non-dropping-particle":"","parse-names":false,"suffix":""}],"container-title":"Journal of Atrial Fibrillation","id":"ITEM-3","issue":"4","issued":{"date-parts":[["2020"]]},"page":"11-15","title":"Computed tomography-derived three-dimensional printed models versus two-dimensional transesophageal echocardiography for left atrial appendage occlusion device planning: A systematic review and meta-analysis","type":"article-journal","volume":"13"},"uris":["http://www.mendeley.com/documents/?uuid=ade82c29-5d68-499a-8142-7d538a94779f"]},{"id":"ITEM-4","itemData":{"DOI":"10.1590/1806-9282.65.6.818","ISSN":"01044230","PMID":"31340310","abstract":"BACKGROUND: The use of the 3D printer in complex cardiac surgery planning. OBJECTIVES: To analyze the use and benefits of 3D printing in heart valve surgery through a systematic review of the literature. METHODS: This systematic review was reported following the Preferred Reporting Items for Systematic Review and registered in the Prospero (International Prospective Register of Systematic Reviews) database under the number CRD42017059034. We used the following databases: PubMed, EMBASE, Scopus, Web of Science and Lilacs. We included articles about the keywords “Heart Valves”, “Heart Valve Prosthesis Implantation”, “Heart Valve Prosthesis”, “Printing, Three-Dimensional”, and related entry terms. Two reviewers independently conducted data extraction and a third reviewer solved disagreements. All tables used for data extraction are available at a separate website. We used the Cochrane Collaboration tool to assess the risk of bias of the studies included. RESULTS: We identified 301 articles and 13 case reports and case series that met the inclusion criteria. Our studies included 34 patients aged from 3 months to 94 years. CONCLUSIONS: Up to the present time, there are no studies including a considerable number of patients. A 3D-printed model produced based on the patient enables the surgeon to plan the surgical procedure and choose the best material, size, format, and thickness to be used. This planning leads to reduced surgery time, exposure, and consequently, lower risk of infection.","author":[{"dropping-particle":"","family":"Boll","given":"Liliana Fortini Cavalheiro","non-dropping-particle":"","parse-names":false,"suffix":""},{"dropping-particle":"","family":"Rodrigues","given":"Guilherme Oberto","non-dropping-particle":"","parse-names":false,"suffix":""},{"dropping-particle":"","family":"Rodrigues","given":"Clarissa Garcia","non-dropping-particle":"","parse-names":false,"suffix":""},{"dropping-particle":"","family":"Bertollo","given":"Felipe Luiz","non-dropping-particle":"","parse-names":false,"suffix":""},{"dropping-particle":"","family":"Irigoyen","given":"Maria Claudia","non-dropping-particle":"","parse-names":false,"suffix":""},{"dropping-particle":"","family":"Goldmeier","given":"Silvia","non-dropping-particle":"","parse-names":false,"suffix":""}],"container-title":"Revista da Associacao Medica Brasileira","id":"ITEM-4","issue":"6","issued":{"date-parts":[["2019"]]},"page":"818-824","title":"Using a 3D printer in cardiac valve surgery: a systematic review","type":"article-journal","volume":"65"},"uris":["http://www.mendeley.com/documents/?uuid=68f8f7e5-589e-4195-9c87-e9e674eb785e"]}],"mendeley":{"formattedCitation":"(Boll et al. 2019; Croix et al. 2020; Omari et al. 2022; Zhang et al. 2021)","plainTextFormattedCitation":"(Boll et al. 2019; Croix et al. 2020; Omari et al. 2022; Zhang et al. 2021)","previouslyFormattedCitation":"(Boll et al. 2019; Croix et al. 2020; Omari et al. 2022; Zhang et al. 2021)"},"properties":{"noteIndex":0},"schema":"https://github.com/citation-style-language/schema/raw/master/csl-citation.json"}</w:instrText>
      </w:r>
      <w:r w:rsidRPr="005F62F4">
        <w:fldChar w:fldCharType="separate"/>
      </w:r>
      <w:r w:rsidRPr="005F62F4">
        <w:rPr>
          <w:noProof/>
        </w:rPr>
        <w:t>(Boll et al. 2019; Croix et al. 2020; Omari et al. 2022; Zhang et al. 2021)</w:t>
      </w:r>
      <w:r w:rsidRPr="005F62F4">
        <w:fldChar w:fldCharType="end"/>
      </w:r>
    </w:p>
    <w:p w14:paraId="0BA06389" w14:textId="00EA6F30" w:rsidR="00430DA4" w:rsidRPr="005F62F4" w:rsidRDefault="00430DA4" w:rsidP="007C4445">
      <w:pPr>
        <w:pStyle w:val="Bullet1"/>
      </w:pPr>
      <w:r w:rsidRPr="005F62F4">
        <w:t xml:space="preserve">a </w:t>
      </w:r>
      <w:r w:rsidR="002F51E6" w:rsidRPr="005F62F4">
        <w:t>paucity</w:t>
      </w:r>
      <w:r w:rsidRPr="005F62F4">
        <w:t xml:space="preserve"> of randomised controlled trials, other comparative studies and prospective studies and the significant risk of bias in included studies </w:t>
      </w:r>
      <w:r w:rsidRPr="005F62F4">
        <w:fldChar w:fldCharType="begin" w:fldLock="1"/>
      </w:r>
      <w:r w:rsidR="00674498" w:rsidRPr="005F62F4">
        <w:instrText>ADDIN CSL_CITATION {"citationItems":[{"id":"ITEM-1","itemData":{"DOI":"10.1111/prd.12440","ISSN":"16000757","PMID":"35906928","abstract":"Flapless and fully guided implant placement has the potential to maximize efficacy outcomes and at the same time to minimize surgical invasiveness. The aim of the current systematic review was to answer the following PICO question: “In adult human subjects undergoing dental implant placement (P), is minimally invasive flapless computer-aided fully guided (either dynamic or static computer-aided implant placement (sCAIP)) (I) superior to flapped conventional (free-handed implant placement (FHIP) or cast-based/drill partially guided implant placement (dPGIP)) surgery (C), in terms of efficacy, patient morbidity, long-term prognosis, and costs (O)?” Randomized clinical trials (RCTs) fulfilling specific inclusion criteria established to answer the PICO question were included. Two review authors independently searched for eligible studies, screened the titles and abstracts, performed full-text analysis, extracted the data from the published reports, and performed the risk of bias assessment. In cases of disagreement, a third review author took the final decision during ad hoc consensus meetings. The study results were summarized using random effects meta-analyses, which were based (wherever possible) on individual patient data (IPD). A total of 10 manuscripts reporting on five RCTs, involving a total of 124 participants and 449 implants, and comparing flapless sCAIP with flapped FHIP/cast-based partially guided implant placement (cPGIP), were included. There was no RCT analyzing flapless dynamic computer-aided implant placement (dCAIP) or flapped dPGIP. Intergroup meta-analyses indicated less depth deviation (difference in means (MD) = −0.28 mm; 95% confidence interval (CI): −0.59 to 0.03; moderate certainty), angular deviation (MD = −3.88 degrees; 95% CI: −7.00 to −0.77; high certainty), coronal (MD = −0.6 mm; 95% CI: −1.21 to 0.01; low certainty) and apical (MD = −0.75 mm; 95% CI: −1.43 to −0.07; moderate certainty) three-dimensional bodily deviations, postoperative pain (MD = −17.09 mm on the visual analogue scale (VAS); 95% CI: −33.38 to −0.80; low certainty), postoperative swelling (MD = −6.59 mm on the VAS; 95% CI: −19.03 to 5.85; very low certainty), intraoperative discomfort (MD = −9.36 mm on the VAS; 95% CI: −17.10 to −1.61) and surgery duration (MD = −24.28 minutes; 95% CI: −28.62 to −19.95) in flapless sCAIP than in flapped FHIP/cPGIP. Despite being more accurate than flapped FHIP/cPGIP, flapless sCAIP still resulted in deviations with respect to …","author":[{"dropping-particle":"","family":"Romandini","given":"Mario","non-dropping-particle":"","parse-names":false,"suffix":""},{"dropping-particle":"","family":"Ruales-Carrera","given":"Edwin","non-dropping-particle":"","parse-names":false,"suffix":""},{"dropping-particle":"","family":"Sadilina","given":"Sofya","non-dropping-particle":"","parse-names":false,"suffix":""},{"dropping-particle":"","family":"Hämmerle","given":"Christoph H.F.","non-dropping-particle":"","parse-names":false,"suffix":""},{"dropping-particle":"","family":"Sanz","given":"Mariano","non-dropping-particle":"","parse-names":false,"suffix":""}],"container-title":"Periodontology 2000","id":"ITEM-1","issued":{"date-parts":[["2022"]]},"page":"1-24","title":"Minimal invasiveness at dental implant placement: a systematic review with meta-analyses on flapless fully guided surgery","type":"article-journal","volume":"00"},"uris":["http://www.mendeley.com/documents/?uuid=55d04839-3cc0-4adf-948e-9760d3fa95e6"]},{"id":"ITEM-2","itemData":{"DOI":"10.1097/PRS.0000000000006261","ISBN":"0000000000","ISSN":"15294242","PMID":"31764662","abstract":"BACKGROUND: Computer-assisted mandibular reconstruction facilitates preoperative surgery simulation and transfers the virtual plan to a real operation. This systematic review and meta-analysis aimed to compare the accuracy, efficiency, postoperative complications, and economic viability between computer-assisted mandibular reconstruction and conventional freehand mandibular reconstruction. METHODS: The PubMed, Embase, Cochrane Library, and Google Scholar databases were searched up to November of 2018. The accuracy, efficiency, postoperative complications, and economic viability of computer-assisted mandibular reconstruction compared to conventional freehand mandibular reconstruction were systematically reviewed. Continuous and dichotomous data were pooled in mean difference (or standardized mean difference if necessary) and odds ratio, subsequently, with 95 percent confidence interval. RESULTS: A total of 12 studies were included in the systematic review, and data extracted from 11 of them were combined in meta-analysis. The accuracy of computer-assisted mandibular reconstruction was better than or equal to that of conventional freehand mandibular reconstruction according to qualitative analysis, although the quantitative comparison from meta-analysis was excluded because of the diversity of measurements. As for efficiency, computer-assisted mandibular reconstruction, when compared to conventional freehand mandibular reconstruction, revealed a shorter ischemic time, reconstructive time, total operative time, and length of stay. There was no difference in postoperative complication rate. CONCLUSIONS: Computer-assisted mandibular reconstruction showed increased efficiency considering the reduced ischemic time, total operative time, reconstructive time, and length of stay. However, the accuracy, reconstruction outcomes, and perioperative cost should be further elucidated because of diverse measurements and the lack of included studies.","author":[{"dropping-particle":"","family":"Powcharoen","given":"Warit","non-dropping-particle":"","parse-names":false,"suffix":""},{"dropping-particle":"","family":"Yang","given":"Wei Fa","non-dropping-particle":"","parse-names":false,"suffix":""},{"dropping-particle":"","family":"Yan Li","given":"Kar","non-dropping-particle":"","parse-names":false,"suffix":""},{"dropping-particle":"","family":"Zhu","given":"Wangyong","non-dropping-particle":"","parse-names":false,"suffix":""},{"dropping-particle":"","family":"Su","given":"Yu Xiong","non-dropping-particle":"","parse-names":false,"suffix":""}],"container-title":"Plastic and reconstructive surgery","id":"ITEM-2","issue":"6","issued":{"date-parts":[["2019"]]},"page":"1417-1428","title":"Computer-assisted versus conventional freehand mandibular reconstruction with fibula free flap: a systematic review and meta-analysis","type":"article-journal","volume":"144"},"uris":["http://www.mendeley.com/documents/?uuid=dee362cd-8e98-4424-b1dd-024c1574dfa8"]},{"id":"ITEM-3","itemData":{"DOI":"10.1016/j.joms.2020.09.005","ISSN":"15315053","PMID":"33031773","abstract":"Purpose: To explore the advantages of virtual surgical planning (VSP) and traditional surgical planning (TSP) to determine whether the current VSP technique is superior to the TSP technique for orthognathic surgery. Methods: An electronic search was carried out in the CENTRAL, PubMed, and Embase databases to identify randomized clinical trials (RCTs) that compared the VSP and TSP techniques regarding their surgical accuracy for hard tissue, prediction precision for soft tissue, required time for planning and surgery, cost and patient-reported outcomes. Results: Eight articles from 5 RCTs, involving 199 patients, were identified. The findings showed that the VSP and TSP techniques were similar in surgical accuracy for hard tissue in the sagittal plane, although the VSP technique was significantly more accurate in certain reference areas, especially in the anterior area of the maxilla. Both the VSP and TSP techniques had significantly better surgical accuracy for the maxilla than for the mandible. The VSP technique showed clinically significantly greater precision for soft tissue prediction in the sagittal plane. Patients who were treated via the VSP technique presented a more symmetrical frontal view, regardless of whether hard or soft tissue was involved. The VSP technique required more time for software planning, but it showed an advantage in time savings when considering the entire preoperative process. Accompanied by the use of an accurate computer-aided splint, the VSP technique could effectively reduce the operative time. Apart from the initial financial investment of software and hardware, the total cost of the VSP technique was similar to that of the TSP technique. Patients who were treated via the VSP or TSP technique showed similar improvements in quality-of-life. Conclusions: Currently, the VSP technique has become a good alternative to the TSP technique for orthognathic surgery, especially regarding frontal-esthetic considerations. Studies reporting indicators with good representativeness and sensitivity using an identical comparative method are recommended.","author":[{"dropping-particle":"","family":"Chen","given":"Zhixing","non-dropping-particle":"","parse-names":false,"suffix":""},{"dropping-particle":"","family":"Mo","given":"Shuixue","non-dropping-particle":"","parse-names":false,"suffix":""},{"dropping-particle":"","family":"Fan","given":"Xuemin","non-dropping-particle":"","parse-names":false,"suffix":""},{"dropping-particle":"","family":"You","given":"Yuting","non-dropping-particle":"","parse-names":false,"suffix":""},{"dropping-particle":"","family":"Ye","given":"Guangrong","non-dropping-particle":"","parse-names":false,"suffix":""},{"dropping-particle":"","family":"Zhou","given":"Nuo","non-dropping-particle":"","parse-names":false,"suffix":""}],"container-title":"Journal of Oral and Maxillofacial Surgery","id":"ITEM-3","issue":"2","issued":{"date-parts":[["2021"]]},"page":"471.e1-471.e19","publisher":"American Association of Oral and Maxillofacial Surgeons","title":"A meta-analysis and systematic review comparing the effectiveness of traditional and virtual surgical planning for orthognathic surgery: based on randomized clinical trials","type":"article-journal","volume":"79"},"uris":["http://www.mendeley.com/documents/?uuid=1f2ad3b5-f004-4feb-a5bb-9950fe63cf4d"]},{"id":"ITEM-4","itemData":{"DOI":"10.1038/s41405-021-00086-1","ISSN":"2056807X","abstract":"Objective: The purpose of the systematic review and meta-analysis was to evaluate implant failure rates and their association with guided and free-hand implant placement techniques. Materials and methods: A literature search was conducted across PubMed, Medline via Ovid, Cochrane database, and Google Scholar. The search was completed in September 2020. Series of meta-analyses were conducted to compare implant failure rates with guided and free-hand techniques. Results: A total of 3387 articles were identified from the electronic search. After applying the inclusion criteria, eight articles were selected for qualitative assessment and four for quantitative synthesis (meta-analysis). The included studies had a risk ratio of 0.29 (95% CI: 0.15, 0.58), P &lt; 0.001 for the use of guided implant placement. Implant failure rates were affected by the different placement techniques indicated by the test for overall effect (Z = 3.53, P = 0.0004). The incidence of implant failure in guided surgery versus free-hand surgery was found to be 2.25% and 6.42%, respectively. Conclusion: Both guided and free-hand implant placement techniques resulted in a high implant survival rate. However, implant failure rates were almost three times higher in the free-hand implant placement category. A guided implant placement approach is recommended for a successful outcome.","author":[{"dropping-particle":"","family":"Abdelhay","given":"Nancy","non-dropping-particle":"","parse-names":false,"suffix":""},{"dropping-particle":"","family":"Prasad","given":"Soni","non-dropping-particle":"","parse-names":false,"suffix":""},{"dropping-particle":"","family":"Gibson","given":"Monica Prasad","non-dropping-particle":"","parse-names":false,"suffix":""}],"container-title":"BDJ Open","id":"ITEM-4","issue":"1","issued":{"date-parts":[["2021"]]},"page":"1-9","publisher":"Springer US","title":"Failure rates associated with guided versus non-guided dental implant placement: a systematic review and meta-analysis","type":"article-journal","volume":"7"},"uris":["http://www.mendeley.com/documents/?uuid=8d94bdba-fc3d-4f8b-a81c-b0e3c1d1a154"]},{"id":"ITEM-5","itemData":{"DOI":"10.1016/j.bjoms.2019.12.007","author":[{"dropping-particle":"","family":"Walker-Finch","given":"K","non-dropping-particle":"","parse-names":false,"suffix":""},{"dropping-particle":"","family":"Ucer","given":"C","non-dropping-particle":"","parse-names":false,"suffix":""}],"container-title":"British Journal of Oral and Maxillofacial Surgery","id":"ITEM-5","issued":{"date-parts":[["2020"]]},"page":"268-276","title":"Five-year survival rates for implants placed using digitally-designed static surgical guides: a systematic review","type":"article-journal","volume":"58"},"uris":["http://www.mendeley.com/documents/?uuid=ba3a127d-bef5-40b4-b9ed-76d38719b539"]},{"id":"ITEM-6","itemData":{"DOI":"10.2186/jpr.JPR_D_20_00184","ISSN":"18831958","PMID":"33504723","abstract":"Purpose: To review the current clinical studies regarding the accuracy of implant computer-guided surgery in partially edentulous patients and investigate potential influencing factors. Study selection: Electronic searches on the PubMed and Cochrane Central Register of Controlled Trials databases, and subsequent manual searches were performed. Two reviewers selected the studies following our inclusion and exclusion criteria. Qualitative review and meta-analysis of the implant placement accuracy were performed to analyze potential influencing factors. Angular deviation, coronal deviation, apical deviation, and depth deviation were evaluated as the accuracy outcomes. Results: Eighteen studies were included in this systematic review, including six randomized controlled trials, nine prospective studies, and three retrospective clinical studies. A total of 1317 implants placed in 642 partially edentulous patients were reviewed. Eight studies were evaluated using meta-analysis. Fully guided surgery showed statistically higher accuracy in angular (P &lt;0.001), coronal (P &lt;0.001), and apical deviation (P &lt;0.05) compared with pilot-drill guided surgery. A statistically significant difference (P &lt;0.001) was also observed in coronal deviation between the bounded edentulous (BES) and distal extension spaces (DES). A significantly lower angular deviation (P &lt;0.001) was found in implants placed using computer-aided design/computer-aided manufacturing (CAD/CAM) compared to the conventional surgical guides. Conclusion: The edentulous space type, surgical guide manufacturing procedure, and guided surgery protocol can influence the accuracy of computer-guided surgery in partially edentulous patients. Higher accuracy was found when the implants were placed in BES, with CAD/CAM manufactured surgical guides, using a fully guided surgery protocol.","author":[{"dropping-particle":"","family":"Putra","given":"Ramadhan Hardani","non-dropping-particle":"","parse-names":false,"suffix":""},{"dropping-particle":"","family":"Yoda","given":"Nobuhiro","non-dropping-particle":"","parse-names":false,"suffix":""},{"dropping-particle":"","family":"Astuti","given":"Eha Renwi","non-dropping-particle":"","parse-names":false,"suffix":""},{"dropping-particle":"","family":"Sasaki","given":"Keiichi","non-dropping-particle":"","parse-names":false,"suffix":""}],"container-title":"Journal of Prosthodontic Research","id":"ITEM-6","issue":"1","issued":{"date-parts":[["2022"]]},"page":"29-39","title":"The accuracy of implant placement with computer-guided surgery in partially edentulous patients and possible influencing factors: a systematic review and meta-analysis","type":"article-journal","volume":"66"},"uris":["http://www.mendeley.com/documents/?uuid=f03441fa-f49b-4a95-972a-b4edc6c98154"]},{"id":"ITEM-7","itemData":{"DOI":"10.1007/s00405-022-07291-0","ISBN":"0123456789","ISSN":"14344726","PMID":"35166908","abstract":"Purpose: 3D-printing (three-dimensional printing) is an emerging technology with promising applications for patient-specific interventions. Nonetheless, knowledge on the clinical applicability of 3D-printing in otology and research on its use remains scattered. Understanding these new treatment options is a prerequisite for clinical implementation, which could improve patient outcomes. This review aims to explore current applications of 3D-printed patient-specific otologic interventions, including state of the evidence, strengths, limitations, and future possibilities. Methods: Following the PRISMA statement, relevant studies were identified through Pubmed, EMBASE, the Cochrane Library, and Web of Science. Data on the manufacturing process and interventions were extracted by two reviewers. Study quality was assessed using Joanna Briggs Institute’s critical appraisal tools. Results: Screening yielded 590 studies; 63 were found eligible and included for analysis. 3D-printed models were used as guides, templates, implants, and devices. Outer ear interventions comprised 73% of the studies. Overall, optimistic sentiments on 3D-printed models were reported, including increased surgical precision/confidence, faster manufacturing/operation time, and reduced costs/complications. Nevertheless, study quality was low as most studies failed to use relevant objective outcomes, compare new interventions with conventional treatment, and sufficiently describe manufacturing. Conclusion: Several clinical interventions using patient-specific 3D-printing in otology are considered promising. However, it remains unclear whether these interventions actually improve patient outcomes due to lack of comparison with conventional methods and low levels of evidence. Further, the reproducibility of the 3D-printed interventions is compromised by insufficient reporting. Future efforts should focus on objective, comparative outcomes evaluated in large-scale studies.","author":[{"dropping-particle":"","family":"Omari","given":"Adam","non-dropping-particle":"","parse-names":false,"suffix":""},{"dropping-particle":"","family":"Frendø","given":"Martin","non-dropping-particle":"","parse-names":false,"suffix":""},{"dropping-particle":"","family":"Sørensen","given":"Mads Sølvsten","non-dropping-particle":"","parse-names":false,"suffix":""},{"dropping-particle":"","family":"Andersen","given":"Steven Arild Wuyts","non-dropping-particle":"","parse-names":false,"suffix":""},{"dropping-particle":"","family":"Frithioff","given":"Andreas","non-dropping-particle":"","parse-names":false,"suffix":""}],"container-title":"European Archives of Oto-Rhino-Laryngology","id":"ITEM-7","issue":"7","issued":{"date-parts":[["2022"]]},"page":"3269-3288","publisher":"Springer Berlin Heidelberg","title":"The cutting edge of customized surgery: 3D-printed models for patient-specific interventions in otology and auricular management—a systematic review","type":"article-journal","volume":"279"},"uris":["http://www.mendeley.com/documents/?uuid=b0b8c197-04a3-43fd-ab61-353169bacc38"]},{"id":"ITEM-8","itemData":{"DOI":"10.4022/jafib.2433","ISSN":"19416911","abstract":"Objective:This systematic review and meta-analysis compared computed tomography (CT)-derived three-dimensional (3D) modeling versus two-dimensional transesophageal echocardiography (TEE) for left atrial appendage occluder (LAAO) device planning. Background:LAAO device planning is commonly performed with TEE. However, procedures often require multiple devices and deployments due to inaccurate sizing from TEE. The use of CT three-dimensional (3D) models for LAAO device planning may improve accuracy. Methods:Four clinical studies that reported procedural and clinical outcomes for CT-derived 3D modeling versus TEE for LAAO device planning were identified. End points were accurate device sizing, procedure failure, number of devices used per procedure, fluoroscopy time, and post-procedure leak. Risk ratio (RR) and mean difference (MD) with a 95% confidence interval (CI) were calculated by the Mantel-Haenszel and inverse variance methods. Results:A total of 166 participants were included. When compared with conventional imaging, the use of 3D printed models was associated with less fluoroscopy time (MD -6.98 minutes, 95% CI -12.68 to -1.28, p=0.02) and lower risk of occluder device peri-prosthetic leak (RR 0.23, 95% CI 0.07-0.73, p=0.01) for LAAO. There were signals towards lower number of devices per procedure (MD -0.56 devices, 95% CI -1.16-0.05, p=0.07) and less total procedure time (MD -13.50 minutes, 95% CI -28.14-1.14, p=0.07) with printed modeling for LAAO. There was no difference between modalities in rates of procedure failure. Conclusions: CT-derived 3D printed models for LAAO device planning may offer the advantages of lower LAAO device peri-prosthetic leak and less fluoroscopy time when compared with conventional TEE guidance.","author":[{"dropping-particle":"Saint","family":"Croix","given":"Garly","non-dropping-particle":"","parse-names":false,"suffix":""},{"dropping-particle":"","family":"Zaidi","given":"Syed Imran","non-dropping-particle":"","parse-names":false,"suffix":""},{"dropping-particle":"","family":"Loescher","given":"Viky S.","non-dropping-particle":"","parse-names":false,"suffix":""},{"dropping-particle":"","family":"Mihos","given":"Christos G.","non-dropping-particle":"","parse-names":false,"suffix":""}],"container-title":"Journal of Atrial Fibrillation","id":"ITEM-8","issue":"4","issued":{"date-parts":[["2020"]]},"page":"11-15","title":"Computed tomography-derived three-dimensional printed models versus two-dimensional transesophageal echocardiography for left atrial appendage occlusion device planning: A systematic review and meta-analysis","type":"article-journal","volume":"13"},"uris":["http://www.mendeley.com/documents/?uuid=ade82c29-5d68-499a-8142-7d538a94779f"]},{"id":"ITEM-9","itemData":{"DOI":"10.1097/SAP.0000000000002006","ISBN":"0000000000","ISSN":"15363708","PMID":"31633539","abstract":"Background The fibula free flap (FFF) remains the criterion standard for complex mandibular reconstruction. Surgeons have incorporated virtual surgical planning (VSP) into the reconstructive algorithm with the assertion that VSP increases operative efficiency and may improve clinical outcomes. To date, no large-scale studies have analyzed these claims. This study examines the literature and tests the hypothesis that VSP improves operative efficiency, clinical outcomes, and accuracy when compared with traditional techniques. Methods A systematic review was performed to identify articles utilizing VSP and traditional techniques for FFF-based mandibular reconstruction. Two reviewers independently assessed all articles for methodological quality using a validated instrument (weighted Cohen κ for interrater reliability = 0.70). Outcomes included operative time, length of stay, complications, and accuracy. Meta-analytic comparisons were performed using data from comparative studies using a random-effects model and differences of means analysis for outcomes measured on identical scales. Results One hundred thirty-one articles were identified, and 25 met the inclusion criteria: 12 were VSP only, whereas 13 were comparative. There were 241 VSP patients and 214 traditional patients available for meta-analysis. Patients undergoing reconstruction with VSP had a significant reduction in operative time by 44.64 minutes (95% confidence interval [CI],-74.69 to-14.58 minutes; P &lt; 0.01) and demonstrated a mean trend toward shorter hospital admission (mean difference,-1.24 days; 95% CI,-4.00 to 1.52 days; P = 0.38). There was no statistical difference between cohorts for major (odds ratio, 1.03; 95% CI, 0.46-2.31; P = 0.95) or minor complications (odds ratio, 0.97; 95% CI, 0.54-1.71; P = 0.90). Insufficient data were available for cost analysis and accuracy. Conclusions Virtual surgical planning-guided mandibular reconstruction with FFF is associated with significantly decreased operative time and a mean trend toward shorter hospital admission. While multiple studies reported a high degree of accuracy, no standard measurement was available for meta-analysis.","author":[{"dropping-particle":"","family":"Barr","given":"Meaghan L.","non-dropping-particle":"","parse-names":false,"suffix":""},{"dropping-particle":"","family":"Haveles","given":"Christos S.","non-dropping-particle":"","parse-names":false,"suffix":""},{"dropping-particle":"","family":"Rezzadeh","given":"Kameron S.","non-dropping-particle":"","parse-names":false,"suffix":""},{"dropping-particle":"","family":"Nolan","given":"Ian T.","non-dropping-particle":"","parse-names":false,"suffix":""},{"dropping-particle":"","family":"Castro","given":"Ruben","non-dropping-particle":"","parse-names":false,"suffix":""},{"dropping-particle":"","family":"Lee","given":"Justine C.","non-dropping-particle":"","parse-names":false,"suffix":""},{"dropping-particle":"","family":"Steinbacher","given":"Derek","non-dropping-particle":"","parse-names":false,"suffix":""},{"dropping-particle":"","family":"Pfaff","given":"Miles J.","non-dropping-particle":"","parse-names":false,"suffix":""}],"container-title":"Annals of Plastic Surgery","id":"ITEM-9","issue":"1","issued":{"date-parts":[["2020"]]},"page":"117-122","title":"Virtual surgical planning for mandibular reconstruction with the fibula free flap: a systematic review and meta-analysis","type":"article-journal","volume":"84"},"uris":["http://www.mendeley.com/documents/?uuid=a8f5e4e7-db5b-4bf4-b1f0-e174188033bc"]}],"mendeley":{"formattedCitation":"(Abdelhay et al. 2021; Barr et al. 2020; Chen et al. 2021; Croix et al. 2020; Omari et al. 2022; Powcharoen et al. 2019; Putra et al. 2022; Romandini et al. 2022; Walker-Finch and Ucer 2020)","plainTextFormattedCitation":"(Abdelhay et al. 2021; Barr et al. 2020; Chen et al. 2021; Croix et al. 2020; Omari et al. 2022; Powcharoen et al. 2019; Putra et al. 2022; Romandini et al. 2022; Walker-Finch and Ucer 2020)","previouslyFormattedCitation":"(Abdelhay et al. 2021; Barr et al. 2020; Chen et al. 2021; Croix et al. 2020; Omari et al. 2022; Powcharoen et al. 2019; Putra et al. 2022; Romandini et al. 2022; Walker-Finch and Ucer 2020)"},"properties":{"noteIndex":0},"schema":"https://github.com/citation-style-language/schema/raw/master/csl-citation.json"}</w:instrText>
      </w:r>
      <w:r w:rsidRPr="005F62F4">
        <w:fldChar w:fldCharType="separate"/>
      </w:r>
      <w:r w:rsidR="001A4CE7" w:rsidRPr="005F62F4">
        <w:rPr>
          <w:noProof/>
        </w:rPr>
        <w:t>(Abdelhay et al. 2021; Barr et al. 2020; Chen et al. 2021; Croix et al. 2020; Omari et al. 2022; Powcharoen et al. 2019; Putra et al. 2022; Romandini et al. 2022; Walker-Finch and Ucer 2020)</w:t>
      </w:r>
      <w:r w:rsidRPr="005F62F4">
        <w:fldChar w:fldCharType="end"/>
      </w:r>
    </w:p>
    <w:p w14:paraId="23173E8A" w14:textId="630122AA" w:rsidR="00430DA4" w:rsidRPr="005F62F4" w:rsidRDefault="00430DA4" w:rsidP="007C4445">
      <w:pPr>
        <w:pStyle w:val="Bullet1"/>
      </w:pPr>
      <w:r w:rsidRPr="005F62F4">
        <w:t>heterogenous methodology</w:t>
      </w:r>
      <w:r w:rsidR="00585EEC" w:rsidRPr="005F62F4">
        <w:t>,</w:t>
      </w:r>
      <w:r w:rsidRPr="005F62F4">
        <w:t xml:space="preserve"> including patient cohort, follow</w:t>
      </w:r>
      <w:r w:rsidR="008241EB" w:rsidRPr="005F62F4">
        <w:t>-</w:t>
      </w:r>
      <w:r w:rsidRPr="005F62F4">
        <w:t xml:space="preserve">up and measuring/reporting of outcomes </w:t>
      </w:r>
      <w:r w:rsidRPr="005F62F4">
        <w:fldChar w:fldCharType="begin" w:fldLock="1"/>
      </w:r>
      <w:r w:rsidR="009A43DD" w:rsidRPr="005F62F4">
        <w:instrText>ADDIN CSL_CITATION {"citationItems":[{"id":"ITEM-1","itemData":{"DOI":"10.1111/prd.12440","ISSN":"16000757","PMID":"35906928","abstract":"Flapless and fully guided implant placement has the potential to maximize efficacy outcomes and at the same time to minimize surgical invasiveness. The aim of the current systematic review was to answer the following PICO question: “In adult human subjects undergoing dental implant placement (P), is minimally invasive flapless computer-aided fully guided (either dynamic or static computer-aided implant placement (sCAIP)) (I) superior to flapped conventional (free-handed implant placement (FHIP) or cast-based/drill partially guided implant placement (dPGIP)) surgery (C), in terms of efficacy, patient morbidity, long-term prognosis, and costs (O)?” Randomized clinical trials (RCTs) fulfilling specific inclusion criteria established to answer the PICO question were included. Two review authors independently searched for eligible studies, screened the titles and abstracts, performed full-text analysis, extracted the data from the published reports, and performed the risk of bias assessment. In cases of disagreement, a third review author took the final decision during ad hoc consensus meetings. The study results were summarized using random effects meta-analyses, which were based (wherever possible) on individual patient data (IPD). A total of 10 manuscripts reporting on five RCTs, involving a total of 124 participants and 449 implants, and comparing flapless sCAIP with flapped FHIP/cast-based partially guided implant placement (cPGIP), were included. There was no RCT analyzing flapless dynamic computer-aided implant placement (dCAIP) or flapped dPGIP. Intergroup meta-analyses indicated less depth deviation (difference in means (MD) = −0.28 mm; 95% confidence interval (CI): −0.59 to 0.03; moderate certainty), angular deviation (MD = −3.88 degrees; 95% CI: −7.00 to −0.77; high certainty), coronal (MD = −0.6 mm; 95% CI: −1.21 to 0.01; low certainty) and apical (MD = −0.75 mm; 95% CI: −1.43 to −0.07; moderate certainty) three-dimensional bodily deviations, postoperative pain (MD = −17.09 mm on the visual analogue scale (VAS); 95% CI: −33.38 to −0.80; low certainty), postoperative swelling (MD = −6.59 mm on the VAS; 95% CI: −19.03 to 5.85; very low certainty), intraoperative discomfort (MD = −9.36 mm on the VAS; 95% CI: −17.10 to −1.61) and surgery duration (MD = −24.28 minutes; 95% CI: −28.62 to −19.95) in flapless sCAIP than in flapped FHIP/cPGIP. Despite being more accurate than flapped FHIP/cPGIP, flapless sCAIP still resulted in deviations with respect to …","author":[{"dropping-particle":"","family":"Romandini","given":"Mario","non-dropping-particle":"","parse-names":false,"suffix":""},{"dropping-particle":"","family":"Ruales-Carrera","given":"Edwin","non-dropping-particle":"","parse-names":false,"suffix":""},{"dropping-particle":"","family":"Sadilina","given":"Sofya","non-dropping-particle":"","parse-names":false,"suffix":""},{"dropping-particle":"","family":"Hämmerle","given":"Christoph H.F.","non-dropping-particle":"","parse-names":false,"suffix":""},{"dropping-particle":"","family":"Sanz","given":"Mariano","non-dropping-particle":"","parse-names":false,"suffix":""}],"container-title":"Periodontology 2000","id":"ITEM-1","issued":{"date-parts":[["2022"]]},"page":"1-24","title":"Minimal invasiveness at dental implant placement: a systematic review with meta-analyses on flapless fully guided surgery","type":"article-journal","volume":"00"},"uris":["http://www.mendeley.com/documents/?uuid=55d04839-3cc0-4adf-948e-9760d3fa95e6"]},{"id":"ITEM-2","itemData":{"DOI":"10.1097/PRS.0000000000006261","ISBN":"0000000000","ISSN":"15294242","PMID":"31764662","abstract":"BACKGROUND: Computer-assisted mandibular reconstruction facilitates preoperative surgery simulation and transfers the virtual plan to a real operation. This systematic review and meta-analysis aimed to compare the accuracy, efficiency, postoperative complications, and economic viability between computer-assisted mandibular reconstruction and conventional freehand mandibular reconstruction. METHODS: The PubMed, Embase, Cochrane Library, and Google Scholar databases were searched up to November of 2018. The accuracy, efficiency, postoperative complications, and economic viability of computer-assisted mandibular reconstruction compared to conventional freehand mandibular reconstruction were systematically reviewed. Continuous and dichotomous data were pooled in mean difference (or standardized mean difference if necessary) and odds ratio, subsequently, with 95 percent confidence interval. RESULTS: A total of 12 studies were included in the systematic review, and data extracted from 11 of them were combined in meta-analysis. The accuracy of computer-assisted mandibular reconstruction was better than or equal to that of conventional freehand mandibular reconstruction according to qualitative analysis, although the quantitative comparison from meta-analysis was excluded because of the diversity of measurements. As for efficiency, computer-assisted mandibular reconstruction, when compared to conventional freehand mandibular reconstruction, revealed a shorter ischemic time, reconstructive time, total operative time, and length of stay. There was no difference in postoperative complication rate. CONCLUSIONS: Computer-assisted mandibular reconstruction showed increased efficiency considering the reduced ischemic time, total operative time, reconstructive time, and length of stay. However, the accuracy, reconstruction outcomes, and perioperative cost should be further elucidated because of diverse measurements and the lack of included studies.","author":[{"dropping-particle":"","family":"Powcharoen","given":"Warit","non-dropping-particle":"","parse-names":false,"suffix":""},{"dropping-particle":"","family":"Yang","given":"Wei Fa","non-dropping-particle":"","parse-names":false,"suffix":""},{"dropping-particle":"","family":"Yan Li","given":"Kar","non-dropping-particle":"","parse-names":false,"suffix":""},{"dropping-particle":"","family":"Zhu","given":"Wangyong","non-dropping-particle":"","parse-names":false,"suffix":""},{"dropping-particle":"","family":"Su","given":"Yu Xiong","non-dropping-particle":"","parse-names":false,"suffix":""}],"container-title":"Plastic and reconstructive surgery","id":"ITEM-2","issue":"6","issued":{"date-parts":[["2019"]]},"page":"1417-1428","title":"Computer-assisted versus conventional freehand mandibular reconstruction with fibula free flap: a systematic review and meta-analysis","type":"article-journal","volume":"144"},"uris":["http://www.mendeley.com/documents/?uuid=dee362cd-8e98-4424-b1dd-024c1574dfa8"]},{"id":"ITEM-3","itemData":{"DOI":"10.11607/jomi.7942","ISBN":"4201809226","ISSN":"08822786","PMID":"33270056","abstract":"PURPOSE: To compare the accuracy of different modalities of implant placement-static fully guided, static half-guided, and freehand surgery-through meta-analysis. MATERIALS AND METHODS: A thorough electronic and manual systematic search was conducted to identify applicable randomized clinical trials (RCTs) for evaluating the implant positioning accuracy between different static implant navigation surgeries. The coronal and apical horizontal deviation, vertical deviation, apical angle, and chair time were estimated as the weighted mean differences and standard deviation with confidence intervals. A P value of .05 was set for statistical significance. RESULTS: Based on the 10 RCTs that met the inclusion criteria for the quantitative analyses, results from the meta-analyses demonstrated the following: (1) a coronal deviation significant difference favoring the fully guided approach compared with the half-guided (weighted mean difference of -0.51 mm) and freehand approaches (weighted mean difference of -1.18 mm); (2) a significant weighted mean difference between the fully guided and half-guided approaches in relation to the apical deviation (weighted mean difference of -0.75 mm); (3) the vertical comparison did not yield significant weighted mean differences between the fully guided and half-guided techniques (-0.23 mm) and lacked statistically significant difference between the fully guided and freehand techniques (weighted mean difference of -0.17 mm); (4) the apical angle deviation demonstrated a significant weighted mean difference in favor of the fully guided approach compared with the half-guided group (weighted mean difference of -3.63 degrees); and (5) the comparison of chair time between the investigated groups did not exhibit a significant difference in any of the techniques. CONCLUSION: Static fully guided implant navigation surgery has the highest accuracy for transmitting the presurgical positioning planning to the patient, followed by static half-guided surgery, while the freehand implant placement provides the least accuracy.","author":[{"dropping-particle":"","family":"Gargallo-Albiol","given":"Jordi","non-dropping-particle":"","parse-names":false,"suffix":""},{"dropping-particle":"","family":"Barootchi","given":"Shayan","non-dropping-particle":"","parse-names":false,"suffix":""},{"dropping-particle":"","family":"Marqués-Guasch","given":"Jordi","non-dropping-particle":"","parse-names":false,"suffix":""},{"dropping-particle":"","family":"Wang","given":"Hom-Lay","non-dropping-particle":"","parse-names":false,"suffix":""}],"container-title":"The International Journal of Oral &amp; Maxillofacial Implants","id":"ITEM-3","issue":"6","issued":{"date-parts":[["2020"]]},"page":"1159-1169","title":"Fully guided versus half-guided and freehand implant placement: systematic review and meta-analysis","type":"article-journal","volume":"35"},"uris":["http://www.mendeley.com/documents/?uuid=beed9957-8026-45f9-a97a-0d21731bb9c3"]},{"id":"ITEM-4","itemData":{"DOI":"10.1186/s13018-021-02646-5","ISSN":"1749799X","PMID":"34389036","abstract":"Background: This study investigates whether three-dimensional (3D) printing-assisted revision total hip/knee arthroplasty could improve its clinical and radiological outcomes and assess the depth and breadth of research conducted on 3D printing-assisted revision total hip and knee arthroplasty. Methods: A literature search was carried out on PubMed, Web of Science, EMBASE, and the Cochrane Library. Only studies that investigated 3D printing-assisted revision total hip and knee arthroplasty were included. The author, publication year, study design, number of patients, patients’ age, the time of follow-up, surgery category, Coleman score, clinical outcomes measured, clinical outcomes conclusion, radiological outcomes measured, and radiological outcomes conclusion were extracted and analyzed. Results: Ten articles were included in our review. Three articles investigated the outcome of revision total knee arthroplasty, and seven investigated the outcome of revision total hip arthroplasty. Two papers compared a 3D printing group with a control group, and the other eight reported 3D printing treatment outcomes alone. Nine articles investigated the clinical outcomes of total hip/knee arthroplasty, and eight studied the radiological outcomes of total hip/knee arthroplasty. Conclusion: 3D printing is being introduced in revision total hip and knee arthroplasty. Current literature suggests satisfactory clinical and radiological outcomes could be obtained with the assistance of 3D printing. Further long-term follow-up studies are required, particularly focusing on cost-benefit analysis, resource availability, and, importantly, the durability and biomechanics of customized prostheses using 3D printing compared to traditional techniques.","author":[{"dropping-particle":"","family":"Zhang","given":"Rui","non-dropping-particle":"","parse-names":false,"suffix":""},{"dropping-particle":"","family":"Lin","given":"Jiajun","non-dropping-particle":"","parse-names":false,"suffix":""},{"dropping-particle":"","family":"Chen","given":"Fenyong","non-dropping-particle":"","parse-names":false,"suffix":""},{"dropping-particle":"","family":"Liu","given":"Wenge","non-dropping-particle":"","parse-names":false,"suffix":""},{"dropping-particle":"","family":"Chen","given":"Min","non-dropping-particle":"","parse-names":false,"suffix":""}],"container-title":"Journal of Orthopaedic Surgery and Research","id":"ITEM-4","issue":"1","issued":{"date-parts":[["2021"]]},"page":"1-10","publisher":"Journal of Orthopaedic Surgery and Research","title":"Clinical and radiological outcomes in three-dimensional printing assisted revision total hip and knee arthroplasty: a systematic review","type":"article-journal","volume":"16"},"uris":["http://www.mendeley.com/documents/?uuid=df2a90c1-395c-4372-8627-609ed01f8e99"]},{"id":"ITEM-5","itemData":{"author":[{"dropping-particle":"","family":"Bempt","given":"M","non-dropping-particle":"Van den","parse-names":false,"suffix":""},{"dropping-particle":"","family":"Liebregts","given":"J","non-dropping-particle":"","parse-names":false,"suffix":""},{"dropping-particle":"","family":"Maal","given":"T","non-dropping-particle":"","parse-names":false,"suffix":""},{"dropping-particle":"","family":"Berge","given":"S","non-dropping-particle":"","parse-names":false,"suffix":""},{"dropping-particle":"","family":"Xi","given":"T","non-dropping-particle":"","parse-names":false,"suffix":""}],"container-title":"Journal of Cranio-Maxillo-Facial Surgery","id":"ITEM-5","issue":"2018","issued":{"date-parts":[["2018"]]},"page":"2108 - 2119","title":"Toward a higher accuracy in orthognathic surgery by using intraoperative computer navigation, 3D surgical guides, and/or customized osteosynthesis plates: A systematic review","type":"article-journal","volume":"46"},"uris":["http://www.mendeley.com/documents/?uuid=cfe3097a-b774-4d04-a4cb-f4bb7ffe6f02"]},{"id":"ITEM-6","itemData":{"DOI":"10.2186/jpr.JPR_D_20_00184","ISSN":"18831958","PMID":"33504723","abstract":"Purpose: To review the current clinical studies regarding the accuracy of implant computer-guided surgery in partially edentulous patients and investigate potential influencing factors. Study selection: Electronic searches on the PubMed and Cochrane Central Register of Controlled Trials databases, and subsequent manual searches were performed. Two reviewers selected the studies following our inclusion and exclusion criteria. Qualitative review and meta-analysis of the implant placement accuracy were performed to analyze potential influencing factors. Angular deviation, coronal deviation, apical deviation, and depth deviation were evaluated as the accuracy outcomes. Results: Eighteen studies were included in this systematic review, including six randomized controlled trials, nine prospective studies, and three retrospective clinical studies. A total of 1317 implants placed in 642 partially edentulous patients were reviewed. Eight studies were evaluated using meta-analysis. Fully guided surgery showed statistically higher accuracy in angular (P &lt;0.001), coronal (P &lt;0.001), and apical deviation (P &lt;0.05) compared with pilot-drill guided surgery. A statistically significant difference (P &lt;0.001) was also observed in coronal deviation between the bounded edentulous (BES) and distal extension spaces (DES). A significantly lower angular deviation (P &lt;0.001) was found in implants placed using computer-aided design/computer-aided manufacturing (CAD/CAM) compared to the conventional surgical guides. Conclusion: The edentulous space type, surgical guide manufacturing procedure, and guided surgery protocol can influence the accuracy of computer-guided surgery in partially edentulous patients. Higher accuracy was found when the implants were placed in BES, with CAD/CAM manufactured surgical guides, using a fully guided surgery protocol.","author":[{"dropping-particle":"","family":"Putra","given":"Ramadhan Hardani","non-dropping-particle":"","parse-names":false,"suffix":""},{"dropping-particle":"","family":"Yoda","given":"Nobuhiro","non-dropping-particle":"","parse-names":false,"suffix":""},{"dropping-particle":"","family":"Astuti","given":"Eha Renwi","non-dropping-particle":"","parse-names":false,"suffix":""},{"dropping-particle":"","family":"Sasaki","given":"Keiichi","non-dropping-particle":"","parse-names":false,"suffix":""}],"container-title":"Journal of Prosthodontic Research","id":"ITEM-6","issue":"1","issued":{"date-parts":[["2022"]]},"page":"29-39","title":"The accuracy of implant placement with computer-guided surgery in partially edentulous patients and possible influencing factors: a systematic review and meta-analysis","type":"article-journal","volume":"66"},"uris":["http://www.mendeley.com/documents/?uuid=f03441fa-f49b-4a95-972a-b4edc6c98154"]},{"id":"ITEM-7","itemData":{"DOI":"10.1016/j.otsr.2021.103111","ISSN":"18770568","PMID":"34648997","abstract":"Background: Acetabular fractures are caused by high energy injuries. The treatment aims to reconstruct the articular surface, restoring the anatomical structure. The surgical management of these fractures is difficult because it requires familiarity with the 3D anatomy of the pelvis. With the use of 3D printing technique for planning surgery, this limitation could be overcome. Hypothesis: Studies examining the use of 3D printing in pre-operative planning of acetabular fractures tend to agree on its usefulness. Methods: A systematic review of two electronic medical databases was performed by three independent authors, using the following inclusion criteria: any type of acetabular fracture and pre-operative use of 3D printing to plan the surgery. Results: Among 93 screened articles, following selection criteria, six randomised controlled human trials (hRCT) were eligible for the study; articles compare a group in which a pre-contouring plate was performed through 3D printing with a control group in which the plate was intraoperatively modelled. Conclusion: This review demonstrates the advantage of 3D printing in terms of surgical time, reduction of blood losses, quality of fracture reduction, and fixation, and reporting best clinical outcomes. Level of Evidence: II.","author":[{"dropping-particle":"","family":"Papotto","given":"Giacomo","non-dropping-particle":"","parse-names":false,"suffix":""},{"dropping-particle":"","family":"Testa","given":"Gianluca","non-dropping-particle":"","parse-names":false,"suffix":""},{"dropping-particle":"","family":"Mobilia","given":"Giuseppe","non-dropping-particle":"","parse-names":false,"suffix":""},{"dropping-particle":"","family":"Perez","given":"Stefano","non-dropping-particle":"","parse-names":false,"suffix":""},{"dropping-particle":"","family":"Dimartino","given":"Sara","non-dropping-particle":"","parse-names":false,"suffix":""},{"dropping-particle":"","family":"Giardina","given":"Serena Maria Chiara","non-dropping-particle":"","parse-names":false,"suffix":""},{"dropping-particle":"","family":"Sessa","given":"Giuseppe","non-dropping-particle":"","parse-names":false,"suffix":""},{"dropping-particle":"","family":"Pavone","given":"Vito","non-dropping-particle":"","parse-names":false,"suffix":""}],"container-title":"Orthopaedics and Traumatology: Surgery and Research","id":"ITEM-7","issue":"2","issued":{"date-parts":[["2022"]]},"page":"103111","publisher":"Elsevier Masson SAS","title":"Use of 3D printing and pre-contouring plate in the surgical planning of acetabular fractures: a systematic review","type":"article-journal","volume":"108"},"uris":["http://www.mendeley.com/documents/?uuid=d33969db-22c9-41b2-b780-386793a66a25"]},{"id":"ITEM-8","itemData":{"DOI":"10.1007/s00405-022-07291-0","ISBN":"0123456789","ISSN":"14344726","PMID":"35166908","abstract":"Purpose: 3D-printing (three-dimensional printing) is an emerging technology with promising applications for patient-specific interventions. Nonetheless, knowledge on the clinical applicability of 3D-printing in otology and research on its use remains scattered. Understanding these new treatment options is a prerequisite for clinical implementation, which could improve patient outcomes. This review aims to explore current applications of 3D-printed patient-specific otologic interventions, including state of the evidence, strengths, limitations, and future possibilities. Methods: Following the PRISMA statement, relevant studies were identified through Pubmed, EMBASE, the Cochrane Library, and Web of Science. Data on the manufacturing process and interventions were extracted by two reviewers. Study quality was assessed using Joanna Briggs Institute’s critical appraisal tools. Results: Screening yielded 590 studies; 63 were found eligible and included for analysis. 3D-printed models were used as guides, templates, implants, and devices. Outer ear interventions comprised 73% of the studies. Overall, optimistic sentiments on 3D-printed models were reported, including increased surgical precision/confidence, faster manufacturing/operation time, and reduced costs/complications. Nevertheless, study quality was low as most studies failed to use relevant objective outcomes, compare new interventions with conventional treatment, and sufficiently describe manufacturing. Conclusion: Several clinical interventions using patient-specific 3D-printing in otology are considered promising. However, it remains unclear whether these interventions actually improve patient outcomes due to lack of comparison with conventional methods and low levels of evidence. Further, the reproducibility of the 3D-printed interventions is compromised by insufficient reporting. Future efforts should focus on objective, comparative outcomes evaluated in large-scale studies.","author":[{"dropping-particle":"","family":"Omari","given":"Adam","non-dropping-particle":"","parse-names":false,"suffix":""},{"dropping-particle":"","family":"Frendø","given":"Martin","non-dropping-particle":"","parse-names":false,"suffix":""},{"dropping-particle":"","family":"Sørensen","given":"Mads Sølvsten","non-dropping-particle":"","parse-names":false,"suffix":""},{"dropping-particle":"","family":"Andersen","given":"Steven Arild Wuyts","non-dropping-particle":"","parse-names":false,"suffix":""},{"dropping-particle":"","family":"Frithioff","given":"Andreas","non-dropping-particle":"","parse-names":false,"suffix":""}],"container-title":"European Archives of Oto-Rhino-Laryngology","id":"ITEM-8","issue":"7","issued":{"date-parts":[["2022"]]},"page":"3269-3288","publisher":"Springer Berlin Heidelberg","title":"The cutting edge of customized surgery: 3D-printed models for patient-specific interventions in otology and auricular management—a systematic review","type":"article-journal","volume":"279"},"uris":["http://www.mendeley.com/documents/?uuid=b0b8c197-04a3-43fd-ab61-353169bacc38"]},{"id":"ITEM-9","itemData":{"author":[{"dropping-particle":"","family":"Meglioli","given":"M","non-dropping-particle":"","parse-names":false,"suffix":""},{"dropping-particle":"","family":"Naveau","given":"A","non-dropping-particle":"","parse-names":false,"suffix":""},{"dropping-particle":"","family":"Macaluso","given":"GM","non-dropping-particle":"","parse-names":false,"suffix":""},{"dropping-particle":"","family":"Catros","given":"S","non-dropping-particle":"","parse-names":false,"suffix":""}],"container-title":"3D Printing in Medicine","id":"ITEM-9","issue":"1","issued":{"date-parts":[["2020"]]},"page":"30","title":"3D printed bone models in oral and craniomaxillofacial surgery: a systematic review","type":"article-journal","volume":"6"},"uris":["http://www.mendeley.com/documents/?uuid=7b876947-60fc-482d-b995-b78f486404da"]},{"id":"ITEM-10","itemData":{"DOI":"10.1016/j.jormas.2020.10.010","ISSN":"24687855","PMID":"33161170","abstract":"In the present study, we tried to review the current literature, focusing on the effect of different guide systems on the accuracy of the digital surgical guides. A search in PubMed's database, without any date restriction, was performed using keywords based on the PICO question. 54 of the 2378 articles’ were chosen for full-text assessment. Articles were screened using predetermined inclusion and exclusion criteria. 21 articles were included in the qualitative assessment. Descriptive analysis was performed for numeric parameters using mean ± standard deviation. Six types of guide systems were used in the included articles. The commonest guide system was SimPlant (45.64%) followed by NobleGuide (23.00%). The pooled mean angle deviation, global coronal deviation, and global apical deviation were 3.43 mm (95% CI = 2.96, 3.90), 1.16 mm (95% CI = 0.98, 1.24) and 1.35 mm (95% CI = 1.11, 1.59), respectively. The maximum mean(SD) of angle deviation, global coronal deviation, and global apical deviation happened in Stent Cad 4.1(1.86) degrees, NobleGuide 1.86(0.56) mm, and OnDemend3d 1.56(1.48) mm, respectively. Although a final statement could not be made on which system is better, it is certain that the software affects the deviation and could be as important as the implant itself. Clinical significance: The choice of guide systems used for the production of static guide systems which was studied in this article could affect the accuracy of the implant placement procedure.","author":[{"dropping-particle":"","family":"Eftekhar Ashtiani","given":"R.","non-dropping-particle":"","parse-names":false,"suffix":""},{"dropping-particle":"","family":"Ghasemi","given":"Z.","non-dropping-particle":"","parse-names":false,"suffix":""},{"dropping-particle":"","family":"Nami","given":"M.","non-dropping-particle":"","parse-names":false,"suffix":""},{"dropping-particle":"","family":"Mighani","given":"F.","non-dropping-particle":"","parse-names":false,"suffix":""},{"dropping-particle":"","family":"Namdari","given":"M.","non-dropping-particle":"","parse-names":false,"suffix":""}],"container-title":"Journal of Stomatology, Oral and Maxillofacial Surgery","id":"ITEM-10","issue":"6","issued":{"date-parts":[["2021"]]},"page":"600-607","publisher":"Elsevier Masson SAS","title":"Accuracy of static digital surgical guides for dental implants based on the guide system: A systematic review","type":"article-journal","volume":"122"},"uris":["http://www.mendeley.com/documents/?uuid=c2fbc0a1-1580-4807-b300-7b1cde962270"]},{"id":"ITEM-11","itemData":{"DOI":"10.4022/jafib.2433","ISSN":"19416911","abstract":"Objective:This systematic review and meta-analysis compared computed tomography (CT)-derived three-dimensional (3D) modeling versus two-dimensional transesophageal echocardiography (TEE) for left atrial appendage occluder (LAAO) device planning. Background:LAAO device planning is commonly performed with TEE. However, procedures often require multiple devices and deployments due to inaccurate sizing from TEE. The use of CT three-dimensional (3D) models for LAAO device planning may improve accuracy. Methods:Four clinical studies that reported procedural and clinical outcomes for CT-derived 3D modeling versus TEE for LAAO device planning were identified. End points were accurate device sizing, procedure failure, number of devices used per procedure, fluoroscopy time, and post-procedure leak. Risk ratio (RR) and mean difference (MD) with a 95% confidence interval (CI) were calculated by the Mantel-Haenszel and inverse variance methods. Results:A total of 166 participants were included. When compared with conventional imaging, the use of 3D printed models was associated with less fluoroscopy time (MD -6.98 minutes, 95% CI -12.68 to -1.28, p=0.02) and lower risk of occluder device peri-prosthetic leak (RR 0.23, 95% CI 0.07-0.73, p=0.01) for LAAO. There were signals towards lower number of devices per procedure (MD -0.56 devices, 95% CI -1.16-0.05, p=0.07) and less total procedure time (MD -13.50 minutes, 95% CI -28.14-1.14, p=0.07) with printed modeling for LAAO. There was no difference between modalities in rates of procedure failure. Conclusions: CT-derived 3D printed models for LAAO device planning may offer the advantages of lower LAAO device peri-prosthetic leak and less fluoroscopy time when compared with conventional TEE guidance.","author":[{"dropping-particle":"Saint","family":"Croix","given":"Garly","non-dropping-particle":"","parse-names":false,"suffix":""},{"dropping-particle":"","family":"Zaidi","given":"Syed Imran","non-dropping-particle":"","parse-names":false,"suffix":""},{"dropping-particle":"","family":"Loescher","given":"Viky S.","non-dropping-particle":"","parse-names":false,"suffix":""},{"dropping-particle":"","family":"Mihos","given":"Christos G.","non-dropping-particle":"","parse-names":false,"suffix":""}],"container-title":"Journal of Atrial Fibrillation","id":"ITEM-11","issue":"4","issued":{"date-parts":[["2020"]]},"page":"11-15","title":"Computed tomography-derived three-dimensional printed models versus two-dimensional transesophageal echocardiography for left atrial appendage occlusion device planning: A systematic review and meta-analysis","type":"article-journal","volume":"13"},"uris":["http://www.mendeley.com/documents/?uuid=ade82c29-5d68-499a-8142-7d538a94779f"]},{"id":"ITEM-12","itemData":{"DOI":"10.1016/j.arthro.2022.02.023","ISSN":"15263231","PMID":"35247513","abstract":"Purpose: To evaluate the accuracy and precision of postoperative coronal plane alignment using 3D-printed patient-specific instrumentation (PSI) in the setting of proximal tibial or distal femoral osteotomies. Methods: A systematic review evaluating the accuracy of 3D-printed PSI for coronal plane alignment correcting knee osteotomies was performed. The primary outcomes were accuracy of coronal plane limb alignment correction and number of correction outliers. Secondary variables were duration of surgery, number of intraoperative fluoroscopic images, complications, cost, and clinical outcomes (as applicable). Results: Ninety-three studies were identified, and 14 were included in the final analysis. Overall, mean postoperative deviation from target correction ranged from 0.3° to 1° for all studies using hip-knee angle measurements and 2.3% to 4.9% for all studies using weight-bearing line measurements. The incidence of correction outliers was assessed in 8 total studies and ranged from 0 to 25% (total n = 10 knees) of patients corrected with 3D-printed PSI. Osteotomies performed with 3D-printed cutting guides or wedges demonstrated significantly shorter operative times (P &lt;.05) and fewer intraoperative fluoroscopic images (P &lt;.05) than control groups in four case control studies. Conclusion: Patients undergoing distal femoral osteotomy or proximal tibial osteotomy procedures with 3D-printed patient-specific cutting guides and wedges had highly accurate coronal plane alignment with a low rate of outliers. Patients treated with 3D printed PSI also demonstrated significantly shorter operative times and decreased intraoperative fluoroscopy when compared to conventional techniques. Level of Evidence: Level IV, systematic review of Level III-IV studies","author":[{"dropping-particle":"","family":"Aman","given":"Zachary S.","non-dropping-particle":"","parse-names":false,"suffix":""},{"dropping-particle":"","family":"DePhillipo","given":"Nicholas N.","non-dropping-particle":"","parse-names":false,"suffix":""},{"dropping-particle":"","family":"Peebles","given":"Liam A.","non-dropping-particle":"","parse-names":false,"suffix":""},{"dropping-particle":"","family":"Familiari","given":"Filippo","non-dropping-particle":"","parse-names":false,"suffix":""},{"dropping-particle":"","family":"LaPrade","given":"Robert F.","non-dropping-particle":"","parse-names":false,"suffix":""},{"dropping-particle":"","family":"Dekker","given":"Travis J.","non-dropping-particle":"","parse-names":false,"suffix":""}],"container-title":"Arthroscopy - Journal of Arthroscopic and Related Surgery","id":"ITEM-12","issue":"9","issued":{"date-parts":[["2022"]]},"page":"2741-2758","publisher":"Elsevier Inc.","title":"Improved accuracy of coronal alignment can be attained using 3D-printed patient-specific instrumentation for knee osteotomies: a systematic review of level III and IV studies","type":"article-journal","volume":"38"},"uris":["http://www.mendeley.com/documents/?uuid=b89833b8-3828-4cb3-a446-d440362ffa09"]}],"mendeley":{"formattedCitation":"(Aman et al. 2022; Van den Bempt et al. 2018; Croix et al. 2020; Eftekhar Ashtiani et al. 2021; Gargallo-Albiol et al. 2020; Meglioli et al. 2020; Omari et al. 2022; Papotto et al. 2022; Powcharoen et al. 2019; Putra et al. 2022; Romandini et al. 2022; Zhang et al. 2021)","plainTextFormattedCitation":"(Aman et al. 2022; Van den Bempt et al. 2018; Croix et al. 2020; Eftekhar Ashtiani et al. 2021; Gargallo-Albiol et al. 2020; Meglioli et al. 2020; Omari et al. 2022; Papotto et al. 2022; Powcharoen et al. 2019; Putra et al. 2022; Romandini et al. 2022; Zhang et al. 2021)","previouslyFormattedCitation":"(Aman et al. 2022; Van den Bempt et al. 2018; Croix et al. 2020; Eftekhar Ashtiani et al. 2021; Gargallo-Albiol et al. 2020; Meglioli et al. 2020; Omari et al. 2022; Papotto et al. 2022; Powcharoen et al. 2019; Putra et al. 2022; Romandini et al. 2022; Zhang et al. 2021)"},"properties":{"noteIndex":0},"schema":"https://github.com/citation-style-language/schema/raw/master/csl-citation.json"}</w:instrText>
      </w:r>
      <w:r w:rsidRPr="005F62F4">
        <w:fldChar w:fldCharType="separate"/>
      </w:r>
      <w:r w:rsidRPr="005F62F4">
        <w:rPr>
          <w:noProof/>
        </w:rPr>
        <w:t>(Aman et al. 2022; Van den Bempt et al. 2018; Croix et al. 2020; Eftekhar Ashtiani et al. 2021; Gargallo-Albiol et al. 2020; Meglioli et al. 2020; Omari et al. 2022; Papotto et al. 2022; Powcharoen et al. 2019; Putra et al. 2022; Romandini et al. 2022; Zhang et al. 2021)</w:t>
      </w:r>
      <w:r w:rsidRPr="005F62F4">
        <w:fldChar w:fldCharType="end"/>
      </w:r>
    </w:p>
    <w:p w14:paraId="4DC6EE58" w14:textId="3285982B" w:rsidR="00430DA4" w:rsidRPr="005F62F4" w:rsidRDefault="00430DA4" w:rsidP="007C4445">
      <w:pPr>
        <w:pStyle w:val="Bullet1"/>
      </w:pPr>
      <w:r w:rsidRPr="005F62F4">
        <w:t xml:space="preserve">presence of confounding factors – </w:t>
      </w:r>
      <w:r w:rsidR="006A6866" w:rsidRPr="005F62F4">
        <w:t>for example,</w:t>
      </w:r>
      <w:r w:rsidRPr="005F62F4">
        <w:t xml:space="preserve"> surgeon experience, types of defects and surgeries not well controlled </w:t>
      </w:r>
      <w:r w:rsidRPr="005F62F4">
        <w:fldChar w:fldCharType="begin" w:fldLock="1"/>
      </w:r>
      <w:r w:rsidR="001A4CE7" w:rsidRPr="005F62F4">
        <w:instrText>ADDIN CSL_CITATION {"citationItems":[{"id":"ITEM-1","itemData":{"DOI":"10.1097/PRS.0000000000006261","ISBN":"0000000000","ISSN":"15294242","PMID":"31764662","abstract":"BACKGROUND: Computer-assisted mandibular reconstruction facilitates preoperative surgery simulation and transfers the virtual plan to a real operation. This systematic review and meta-analysis aimed to compare the accuracy, efficiency, postoperative complications, and economic viability between computer-assisted mandibular reconstruction and conventional freehand mandibular reconstruction. METHODS: The PubMed, Embase, Cochrane Library, and Google Scholar databases were searched up to November of 2018. The accuracy, efficiency, postoperative complications, and economic viability of computer-assisted mandibular reconstruction compared to conventional freehand mandibular reconstruction were systematically reviewed. Continuous and dichotomous data were pooled in mean difference (or standardized mean difference if necessary) and odds ratio, subsequently, with 95 percent confidence interval. RESULTS: A total of 12 studies were included in the systematic review, and data extracted from 11 of them were combined in meta-analysis. The accuracy of computer-assisted mandibular reconstruction was better than or equal to that of conventional freehand mandibular reconstruction according to qualitative analysis, although the quantitative comparison from meta-analysis was excluded because of the diversity of measurements. As for efficiency, computer-assisted mandibular reconstruction, when compared to conventional freehand mandibular reconstruction, revealed a shorter ischemic time, reconstructive time, total operative time, and length of stay. There was no difference in postoperative complication rate. CONCLUSIONS: Computer-assisted mandibular reconstruction showed increased efficiency considering the reduced ischemic time, total operative time, reconstructive time, and length of stay. However, the accuracy, reconstruction outcomes, and perioperative cost should be further elucidated because of diverse measurements and the lack of included studies.","author":[{"dropping-particle":"","family":"Powcharoen","given":"Warit","non-dropping-particle":"","parse-names":false,"suffix":""},{"dropping-particle":"","family":"Yang","given":"Wei Fa","non-dropping-particle":"","parse-names":false,"suffix":""},{"dropping-particle":"","family":"Yan Li","given":"Kar","non-dropping-particle":"","parse-names":false,"suffix":""},{"dropping-particle":"","family":"Zhu","given":"Wangyong","non-dropping-particle":"","parse-names":false,"suffix":""},{"dropping-particle":"","family":"Su","given":"Yu Xiong","non-dropping-particle":"","parse-names":false,"suffix":""}],"container-title":"Plastic and reconstructive surgery","id":"ITEM-1","issue":"6","issued":{"date-parts":[["2019"]]},"page":"1417-1428","title":"Computer-assisted versus conventional freehand mandibular reconstruction with fibula free flap: a systematic review and meta-analysis","type":"article-journal","volume":"144"},"uris":["http://www.mendeley.com/documents/?uuid=dee362cd-8e98-4424-b1dd-024c1574dfa8"]},{"id":"ITEM-2","itemData":{"DOI":"10.1038/s41405-021-00086-1","ISSN":"2056807X","abstract":"Objective: The purpose of the systematic review and meta-analysis was to evaluate implant failure rates and their association with guided and free-hand implant placement techniques. Materials and methods: A literature search was conducted across PubMed, Medline via Ovid, Cochrane database, and Google Scholar. The search was completed in September 2020. Series of meta-analyses were conducted to compare implant failure rates with guided and free-hand techniques. Results: A total of 3387 articles were identified from the electronic search. After applying the inclusion criteria, eight articles were selected for qualitative assessment and four for quantitative synthesis (meta-analysis). The included studies had a risk ratio of 0.29 (95% CI: 0.15, 0.58), P &lt; 0.001 for the use of guided implant placement. Implant failure rates were affected by the different placement techniques indicated by the test for overall effect (Z = 3.53, P = 0.0004). The incidence of implant failure in guided surgery versus free-hand surgery was found to be 2.25% and 6.42%, respectively. Conclusion: Both guided and free-hand implant placement techniques resulted in a high implant survival rate. However, implant failure rates were almost three times higher in the free-hand implant placement category. A guided implant placement approach is recommended for a successful outcome.","author":[{"dropping-particle":"","family":"Abdelhay","given":"Nancy","non-dropping-particle":"","parse-names":false,"suffix":""},{"dropping-particle":"","family":"Prasad","given":"Soni","non-dropping-particle":"","parse-names":false,"suffix":""},{"dropping-particle":"","family":"Gibson","given":"Monica Prasad","non-dropping-particle":"","parse-names":false,"suffix":""}],"container-title":"BDJ Open","id":"ITEM-2","issue":"1","issued":{"date-parts":[["2021"]]},"page":"1-9","publisher":"Springer US","title":"Failure rates associated with guided versus non-guided dental implant placement: a systematic review and meta-analysis","type":"article-journal","volume":"7"},"uris":["http://www.mendeley.com/documents/?uuid=8d94bdba-fc3d-4f8b-a81c-b0e3c1d1a154"]},{"id":"ITEM-3","itemData":{"DOI":"10.1097/SAP.0000000000002006","ISBN":"0000000000","ISSN":"15363708","PMID":"31633539","abstract":"Background The fibula free flap (FFF) remains the criterion standard for complex mandibular reconstruction. Surgeons have incorporated virtual surgical planning (VSP) into the reconstructive algorithm with the assertion that VSP increases operative efficiency and may improve clinical outcomes. To date, no large-scale studies have analyzed these claims. This study examines the literature and tests the hypothesis that VSP improves operative efficiency, clinical outcomes, and accuracy when compared with traditional techniques. Methods A systematic review was performed to identify articles utilizing VSP and traditional techniques for FFF-based mandibular reconstruction. Two reviewers independently assessed all articles for methodological quality using a validated instrument (weighted Cohen κ for interrater reliability = 0.70). Outcomes included operative time, length of stay, complications, and accuracy. Meta-analytic comparisons were performed using data from comparative studies using a random-effects model and differences of means analysis for outcomes measured on identical scales. Results One hundred thirty-one articles were identified, and 25 met the inclusion criteria: 12 were VSP only, whereas 13 were comparative. There were 241 VSP patients and 214 traditional patients available for meta-analysis. Patients undergoing reconstruction with VSP had a significant reduction in operative time by 44.64 minutes (95% confidence interval [CI],-74.69 to-14.58 minutes; P &lt; 0.01) and demonstrated a mean trend toward shorter hospital admission (mean difference,-1.24 days; 95% CI,-4.00 to 1.52 days; P = 0.38). There was no statistical difference between cohorts for major (odds ratio, 1.03; 95% CI, 0.46-2.31; P = 0.95) or minor complications (odds ratio, 0.97; 95% CI, 0.54-1.71; P = 0.90). Insufficient data were available for cost analysis and accuracy. Conclusions Virtual surgical planning-guided mandibular reconstruction with FFF is associated with significantly decreased operative time and a mean trend toward shorter hospital admission. While multiple studies reported a high degree of accuracy, no standard measurement was available for meta-analysis.","author":[{"dropping-particle":"","family":"Barr","given":"Meaghan L.","non-dropping-particle":"","parse-names":false,"suffix":""},{"dropping-particle":"","family":"Haveles","given":"Christos S.","non-dropping-particle":"","parse-names":false,"suffix":""},{"dropping-particle":"","family":"Rezzadeh","given":"Kameron S.","non-dropping-particle":"","parse-names":false,"suffix":""},{"dropping-particle":"","family":"Nolan","given":"Ian T.","non-dropping-particle":"","parse-names":false,"suffix":""},{"dropping-particle":"","family":"Castro","given":"Ruben","non-dropping-particle":"","parse-names":false,"suffix":""},{"dropping-particle":"","family":"Lee","given":"Justine C.","non-dropping-particle":"","parse-names":false,"suffix":""},{"dropping-particle":"","family":"Steinbacher","given":"Derek","non-dropping-particle":"","parse-names":false,"suffix":""},{"dropping-particle":"","family":"Pfaff","given":"Miles J.","non-dropping-particle":"","parse-names":false,"suffix":""}],"container-title":"Annals of Plastic Surgery","id":"ITEM-3","issue":"1","issued":{"date-parts":[["2020"]]},"page":"117-122","title":"Virtual surgical planning for mandibular reconstruction with the fibula free flap: a systematic review and meta-analysis","type":"article-journal","volume":"84"},"uris":["http://www.mendeley.com/documents/?uuid=a8f5e4e7-db5b-4bf4-b1f0-e174188033bc"]}],"mendeley":{"formattedCitation":"(Abdelhay et al. 2021; Barr et al. 2020; Powcharoen et al. 2019)","plainTextFormattedCitation":"(Abdelhay et al. 2021; Barr et al. 2020; Powcharoen et al. 2019)","previouslyFormattedCitation":"(Abdelhay et al. 2021; Barr et al. 2020; Powcharoen et al. 2019)"},"properties":{"noteIndex":0},"schema":"https://github.com/citation-style-language/schema/raw/master/csl-citation.json"}</w:instrText>
      </w:r>
      <w:r w:rsidRPr="005F62F4">
        <w:fldChar w:fldCharType="separate"/>
      </w:r>
      <w:r w:rsidR="00974952" w:rsidRPr="005F62F4">
        <w:rPr>
          <w:noProof/>
        </w:rPr>
        <w:t>(Abdelhay et al. 2021; Barr et al. 2020; Powcharoen et al. 2019)</w:t>
      </w:r>
      <w:r w:rsidRPr="005F62F4">
        <w:fldChar w:fldCharType="end"/>
      </w:r>
      <w:r w:rsidR="007115D2" w:rsidRPr="005F62F4">
        <w:t>,</w:t>
      </w:r>
      <w:r w:rsidRPr="005F62F4">
        <w:t xml:space="preserve"> and variation in bundling of 3D technologies (e.g. included interventions often </w:t>
      </w:r>
      <w:r w:rsidR="00B065DD" w:rsidRPr="005F62F4">
        <w:t>involved</w:t>
      </w:r>
      <w:r w:rsidRPr="005F62F4">
        <w:t xml:space="preserve"> any/all of virtual surgical planning and simulation, use of 3D-printed </w:t>
      </w:r>
      <w:proofErr w:type="spellStart"/>
      <w:r w:rsidRPr="005F62F4">
        <w:t>biomodels</w:t>
      </w:r>
      <w:proofErr w:type="spellEnd"/>
      <w:r w:rsidRPr="005F62F4">
        <w:t xml:space="preserve"> and/or surgical guides, other 3D-printed tools and patient-specific implants).</w:t>
      </w:r>
    </w:p>
    <w:p w14:paraId="63B275BA" w14:textId="4A63A08C" w:rsidR="00430DA4" w:rsidRPr="005F62F4" w:rsidRDefault="00430DA4" w:rsidP="00D47157">
      <w:pPr>
        <w:pStyle w:val="Pullquote"/>
      </w:pPr>
      <w:r w:rsidRPr="005F62F4">
        <w:t>Many authors suggested that clinical outcomes can be improved, but their findings were not supported by any control group</w:t>
      </w:r>
      <w:r w:rsidR="00824DA5" w:rsidRPr="005F62F4">
        <w:t>.</w:t>
      </w:r>
      <w:r w:rsidRPr="005F62F4">
        <w:t xml:space="preserve"> </w:t>
      </w:r>
      <w:r w:rsidR="00824DA5" w:rsidRPr="005F62F4">
        <w:t>(</w:t>
      </w:r>
      <w:proofErr w:type="spellStart"/>
      <w:r w:rsidRPr="005F62F4">
        <w:t>Meglioli</w:t>
      </w:r>
      <w:proofErr w:type="spellEnd"/>
      <w:r w:rsidRPr="005F62F4">
        <w:t xml:space="preserve"> et al. 2020, pp.</w:t>
      </w:r>
      <w:r w:rsidR="0075478F" w:rsidRPr="005F62F4">
        <w:t> </w:t>
      </w:r>
      <w:r w:rsidRPr="005F62F4">
        <w:t>7</w:t>
      </w:r>
      <w:r w:rsidR="0075478F" w:rsidRPr="005F62F4">
        <w:noBreakHyphen/>
      </w:r>
      <w:r w:rsidRPr="005F62F4">
        <w:t>10</w:t>
      </w:r>
      <w:r w:rsidR="00824DA5" w:rsidRPr="005F62F4">
        <w:t>)</w:t>
      </w:r>
    </w:p>
    <w:p w14:paraId="505B5B4D" w14:textId="7EDB6EDE" w:rsidR="00430DA4" w:rsidRPr="005F62F4" w:rsidRDefault="00430DA4" w:rsidP="00D47157">
      <w:pPr>
        <w:pStyle w:val="Pullquote"/>
      </w:pPr>
      <w:r w:rsidRPr="005F62F4">
        <w:lastRenderedPageBreak/>
        <w:t>Irrespective of specialty, the true effectiveness of 3D-printed interventions [in otology and auricular management] remains largely undetermined due to few large trials, use of non-randomized designs, and lack of quantitative outcomes</w:t>
      </w:r>
      <w:r w:rsidR="00824DA5" w:rsidRPr="005F62F4">
        <w:t>.</w:t>
      </w:r>
      <w:r w:rsidRPr="005F62F4">
        <w:t xml:space="preserve"> </w:t>
      </w:r>
      <w:r w:rsidRPr="005F62F4">
        <w:fldChar w:fldCharType="begin" w:fldLock="1"/>
      </w:r>
      <w:r w:rsidR="00426819" w:rsidRPr="005F62F4">
        <w:instrText>ADDIN CSL_CITATION {"citationItems":[{"id":"ITEM-1","itemData":{"DOI":"10.1007/s00405-022-07291-0","ISBN":"0123456789","ISSN":"14344726","PMID":"35166908","abstract":"Purpose: 3D-printing (three-dimensional printing) is an emerging technology with promising applications for patient-specific interventions. Nonetheless, knowledge on the clinical applicability of 3D-printing in otology and research on its use remains scattered. Understanding these new treatment options is a prerequisite for clinical implementation, which could improve patient outcomes. This review aims to explore current applications of 3D-printed patient-specific otologic interventions, including state of the evidence, strengths, limitations, and future possibilities. Methods: Following the PRISMA statement, relevant studies were identified through Pubmed, EMBASE, the Cochrane Library, and Web of Science. Data on the manufacturing process and interventions were extracted by two reviewers. Study quality was assessed using Joanna Briggs Institute’s critical appraisal tools. Results: Screening yielded 590 studies; 63 were found eligible and included for analysis. 3D-printed models were used as guides, templates, implants, and devices. Outer ear interventions comprised 73% of the studies. Overall, optimistic sentiments on 3D-printed models were reported, including increased surgical precision/confidence, faster manufacturing/operation time, and reduced costs/complications. Nevertheless, study quality was low as most studies failed to use relevant objective outcomes, compare new interventions with conventional treatment, and sufficiently describe manufacturing. Conclusion: Several clinical interventions using patient-specific 3D-printing in otology are considered promising. However, it remains unclear whether these interventions actually improve patient outcomes due to lack of comparison with conventional methods and low levels of evidence. Further, the reproducibility of the 3D-printed interventions is compromised by insufficient reporting. Future efforts should focus on objective, comparative outcomes evaluated in large-scale studies.","author":[{"dropping-particle":"","family":"Omari","given":"Adam","non-dropping-particle":"","parse-names":false,"suffix":""},{"dropping-particle":"","family":"Frendø","given":"Martin","non-dropping-particle":"","parse-names":false,"suffix":""},{"dropping-particle":"","family":"Sørensen","given":"Mads Sølvsten","non-dropping-particle":"","parse-names":false,"suffix":""},{"dropping-particle":"","family":"Andersen","given":"Steven Arild Wuyts","non-dropping-particle":"","parse-names":false,"suffix":""},{"dropping-particle":"","family":"Frithioff","given":"Andreas","non-dropping-particle":"","parse-names":false,"suffix":""}],"container-title":"European Archives of Oto-Rhino-Laryngology","id":"ITEM-1","issue":"7","issued":{"date-parts":[["2022"]]},"page":"3269-3288","publisher":"Springer Berlin Heidelberg","title":"The cutting edge of customized surgery: 3D-printed models for patient-specific interventions in otology and auricular management—a systematic review","type":"article-journal","volume":"279"},"uris":["http://www.mendeley.com/documents/?uuid=b0b8c197-04a3-43fd-ab61-353169bacc38"]}],"mendeley":{"formattedCitation":"(Omari et al. 2022)","manualFormatting":"(Omari et al. 2022, p. 3285)","plainTextFormattedCitation":"(Omari et al. 2022)","previouslyFormattedCitation":"(Omari et al. 2022)"},"properties":{"noteIndex":0},"schema":"https://github.com/citation-style-language/schema/raw/master/csl-citation.json"}</w:instrText>
      </w:r>
      <w:r w:rsidRPr="005F62F4">
        <w:fldChar w:fldCharType="separate"/>
      </w:r>
      <w:r w:rsidRPr="005F62F4">
        <w:rPr>
          <w:noProof/>
        </w:rPr>
        <w:t>(Omari et al. 2022, p. 3285)</w:t>
      </w:r>
      <w:r w:rsidRPr="005F62F4">
        <w:fldChar w:fldCharType="end"/>
      </w:r>
    </w:p>
    <w:p w14:paraId="3F0D6C58" w14:textId="64E89250" w:rsidR="00430DA4" w:rsidRPr="005F62F4" w:rsidRDefault="00430DA4" w:rsidP="00430DA4">
      <w:pPr>
        <w:pStyle w:val="Para"/>
      </w:pPr>
      <w:r w:rsidRPr="005F62F4">
        <w:rPr>
          <w:lang w:eastAsia="en-AU"/>
        </w:rPr>
        <w:t xml:space="preserve">Subsequently, many authors highlighted the need for further and better research on the comparative benefits of 3D-printing technologies, including </w:t>
      </w:r>
      <w:r w:rsidRPr="005F62F4">
        <w:t xml:space="preserve">randomised controlled trials or, at least, </w:t>
      </w:r>
      <w:r w:rsidRPr="005F62F4">
        <w:rPr>
          <w:lang w:eastAsia="en-AU"/>
        </w:rPr>
        <w:t>p</w:t>
      </w:r>
      <w:r w:rsidRPr="005F62F4">
        <w:t xml:space="preserve">rospective, clinical and comparative data </w:t>
      </w:r>
      <w:r w:rsidRPr="005F62F4">
        <w:fldChar w:fldCharType="begin" w:fldLock="1"/>
      </w:r>
      <w:r w:rsidR="00EB5748" w:rsidRPr="005F62F4">
        <w:instrText>ADDIN CSL_CITATION {"citationItems":[{"id":"ITEM-1","itemData":{"DOI":"10.1111/prd.12440","ISSN":"16000757","PMID":"35906928","abstract":"Flapless and fully guided implant placement has the potential to maximize efficacy outcomes and at the same time to minimize surgical invasiveness. The aim of the current systematic review was to answer the following PICO question: “In adult human subjects undergoing dental implant placement (P), is minimally invasive flapless computer-aided fully guided (either dynamic or static computer-aided implant placement (sCAIP)) (I) superior to flapped conventional (free-handed implant placement (FHIP) or cast-based/drill partially guided implant placement (dPGIP)) surgery (C), in terms of efficacy, patient morbidity, long-term prognosis, and costs (O)?” Randomized clinical trials (RCTs) fulfilling specific inclusion criteria established to answer the PICO question were included. Two review authors independently searched for eligible studies, screened the titles and abstracts, performed full-text analysis, extracted the data from the published reports, and performed the risk of bias assessment. In cases of disagreement, a third review author took the final decision during ad hoc consensus meetings. The study results were summarized using random effects meta-analyses, which were based (wherever possible) on individual patient data (IPD). A total of 10 manuscripts reporting on five RCTs, involving a total of 124 participants and 449 implants, and comparing flapless sCAIP with flapped FHIP/cast-based partially guided implant placement (cPGIP), were included. There was no RCT analyzing flapless dynamic computer-aided implant placement (dCAIP) or flapped dPGIP. Intergroup meta-analyses indicated less depth deviation (difference in means (MD) = −0.28 mm; 95% confidence interval (CI): −0.59 to 0.03; moderate certainty), angular deviation (MD = −3.88 degrees; 95% CI: −7.00 to −0.77; high certainty), coronal (MD = −0.6 mm; 95% CI: −1.21 to 0.01; low certainty) and apical (MD = −0.75 mm; 95% CI: −1.43 to −0.07; moderate certainty) three-dimensional bodily deviations, postoperative pain (MD = −17.09 mm on the visual analogue scale (VAS); 95% CI: −33.38 to −0.80; low certainty), postoperative swelling (MD = −6.59 mm on the VAS; 95% CI: −19.03 to 5.85; very low certainty), intraoperative discomfort (MD = −9.36 mm on the VAS; 95% CI: −17.10 to −1.61) and surgery duration (MD = −24.28 minutes; 95% CI: −28.62 to −19.95) in flapless sCAIP than in flapped FHIP/cPGIP. Despite being more accurate than flapped FHIP/cPGIP, flapless sCAIP still resulted in deviations with respect to …","author":[{"dropping-particle":"","family":"Romandini","given":"Mario","non-dropping-particle":"","parse-names":false,"suffix":""},{"dropping-particle":"","family":"Ruales-Carrera","given":"Edwin","non-dropping-particle":"","parse-names":false,"suffix":""},{"dropping-particle":"","family":"Sadilina","given":"Sofya","non-dropping-particle":"","parse-names":false,"suffix":""},{"dropping-particle":"","family":"Hämmerle","given":"Christoph H.F.","non-dropping-particle":"","parse-names":false,"suffix":""},{"dropping-particle":"","family":"Sanz","given":"Mariano","non-dropping-particle":"","parse-names":false,"suffix":""}],"container-title":"Periodontology 2000","id":"ITEM-1","issued":{"date-parts":[["2022"]]},"page":"1-24","title":"Minimal invasiveness at dental implant placement: a systematic review with meta-analyses on flapless fully guided surgery","type":"article-journal","volume":"00"},"uris":["http://www.mendeley.com/documents/?uuid=55d04839-3cc0-4adf-948e-9760d3fa95e6"]},{"id":"ITEM-2","itemData":{"DOI":"10.1186/s12891-019-2940-2","ISSN":"14712474","PMID":"31759392","abstract":"Background: Total knee arthroplasty using patient-specific instrumentation (TKA-PSI), which are disposable cutting block guides generated to fit each patient's 3-dimensional knee anatomy, has been developed to treat patients with end-stage osteoarthritis of the knee. Surrogate markers such as radiographic malalignment have been well investigated, however, patient-important outcomes are not well examined to elucidate the efficacy of TKA-PSI. The aim of this review is to determine if TKA-PSI improves patient-reported outcome measures (PROM), surgery time, blood loss, transfusion and complications (e.g. surgical site infection, deep venous thrombosis, and revision TKA). Methods: We searched the Cochrane Central Register of Controlled Trials (CENTRAL), MEDLINE, EMBASE, and ongoing clinical trials. For PROMs, surgery time, blood loss, and transfusion rate, we included randomized controlled trials (RCT) comparing TKA-PSI and standard TKA to treat osteoarthritis of the knee. For complications, we also included non-randomized comparative studies (non-RCT). Results: This review includes 38 studies, 24 of which were RCT and 14 of which were non-RCT. These included a total of 3487 patients. The predominant population in the included studies highly reflected the general population, with 62% being female, aged over 60 and having end-stage osteoarthritis of the knee. TKA-PSI did not improve PROMs as compared to standard TKA for less than 1-year (mean difference 0.48, 95% confidence interval (CI) -1.92-0.97 in the Oxford knee score, mean 3-month follow-up) and for 1-year or more (mean difference 0.25, 95%CI - 4.39-4.89 in the WOMAC score, mean 29-month follow-up). TKA-PSI did not reduce surgery time (mean difference - 3.09 min, 95%CI -6.73-0.55). TKA-PSI decreased blood loss with a small effect size corresponding to a 0.4 g/dl hemoglobin decrease (95%CI 0.18-0.88), but did not decrease transfusion rate (risk difference - 0.04, 95%CI -0.09-0.01). TKA-PSI did not reduce complication rates (risk difference 0.00, 95%CI - 0.01-0.01 in the composite outcome). Conclusions: TKA-PSI does not improve patient-reported outcome measures, surgery time, and complication rates as compared to standard TKA. TKA-PSI decreases blood loss with a small effect, which is not enough to reduce transfusion rate.","author":[{"dropping-particle":"","family":"Kizaki","given":"Kazuha","non-dropping-particle":"","parse-names":false,"suffix":""},{"dropping-particle":"","family":"Shanmugaraj","given":"Ajaykumar","non-dropping-particle":"","parse-names":false,"suffix":""},{"dropping-particle":"","family":"Yamashita","given":"Fumiharu","non-dropping-particle":"","parse-names":false,"suffix":""},{"dropping-particle":"","family":"Simunovic","given":"Nicole","non-dropping-particle":"","parse-names":false,"suffix":""},{"dropping-particle":"","family":"Duong","given":"Andrew","non-dropping-particle":"","parse-names":false,"suffix":""},{"dropping-particle":"","family":"Khanna","given":"Vickas","non-dropping-particle":"","parse-names":false,"suffix":""},{"dropping-particle":"","family":"Ayeni","given":"Olufemi R.","non-dropping-particle":"","parse-names":false,"suffix":""}],"container-title":"BMC Musculoskeletal Disorders","id":"ITEM-2","issue":"1","issued":{"date-parts":[["2019"]]},"page":"1-18","publisher":"BMC Musculoskeletal Disorders","title":"Total knee arthroplasty using patient-specific instrumentation for osteoarthritis of the knee: a meta-analysis","type":"article-journal","volume":"20"},"uris":["http://www.mendeley.com/documents/?uuid=35402da0-6490-46c3-8f99-7b2ba38a7bbd"]},{"id":"ITEM-3","itemData":{"DOI":"10.1016/j.joms.2020.09.005","ISSN":"15315053","PMID":"33031773","abstract":"Purpose: To explore the advantages of virtual surgical planning (VSP) and traditional surgical planning (TSP) to determine whether the current VSP technique is superior to the TSP technique for orthognathic surgery. Methods: An electronic search was carried out in the CENTRAL, PubMed, and Embase databases to identify randomized clinical trials (RCTs) that compared the VSP and TSP techniques regarding their surgical accuracy for hard tissue, prediction precision for soft tissue, required time for planning and surgery, cost and patient-reported outcomes. Results: Eight articles from 5 RCTs, involving 199 patients, were identified. The findings showed that the VSP and TSP techniques were similar in surgical accuracy for hard tissue in the sagittal plane, although the VSP technique was significantly more accurate in certain reference areas, especially in the anterior area of the maxilla. Both the VSP and TSP techniques had significantly better surgical accuracy for the maxilla than for the mandible. The VSP technique showed clinically significantly greater precision for soft tissue prediction in the sagittal plane. Patients who were treated via the VSP technique presented a more symmetrical frontal view, regardless of whether hard or soft tissue was involved. The VSP technique required more time for software planning, but it showed an advantage in time savings when considering the entire preoperative process. Accompanied by the use of an accurate computer-aided splint, the VSP technique could effectively reduce the operative time. Apart from the initial financial investment of software and hardware, the total cost of the VSP technique was similar to that of the TSP technique. Patients who were treated via the VSP or TSP technique showed similar improvements in quality-of-life. Conclusions: Currently, the VSP technique has become a good alternative to the TSP technique for orthognathic surgery, especially regarding frontal-esthetic considerations. Studies reporting indicators with good representativeness and sensitivity using an identical comparative method are recommended.","author":[{"dropping-particle":"","family":"Chen","given":"Zhixing","non-dropping-particle":"","parse-names":false,"suffix":""},{"dropping-particle":"","family":"Mo","given":"Shuixue","non-dropping-particle":"","parse-names":false,"suffix":""},{"dropping-particle":"","family":"Fan","given":"Xuemin","non-dropping-particle":"","parse-names":false,"suffix":""},{"dropping-particle":"","family":"You","given":"Yuting","non-dropping-particle":"","parse-names":false,"suffix":""},{"dropping-particle":"","family":"Ye","given":"Guangrong","non-dropping-particle":"","parse-names":false,"suffix":""},{"dropping-particle":"","family":"Zhou","given":"Nuo","non-dropping-particle":"","parse-names":false,"suffix":""}],"container-title":"Journal of Oral and Maxillofacial Surgery","id":"ITEM-3","issue":"2","issued":{"date-parts":[["2021"]]},"page":"471.e1-471.e19","publisher":"American Association of Oral and Maxillofacial Surgeons","title":"A meta-analysis and systematic review comparing the effectiveness of traditional and virtual surgical planning for orthognathic surgery: based on randomized clinical trials","type":"article-journal","volume":"79"},"uris":["http://www.mendeley.com/documents/?uuid=1f2ad3b5-f004-4feb-a5bb-9950fe63cf4d"]},{"id":"ITEM-4","itemData":{"DOI":"10.1038/s41405-021-00086-1","ISSN":"2056807X","abstract":"Objective: The purpose of the systematic review and meta-analysis was to evaluate implant failure rates and their association with guided and free-hand implant placement techniques. Materials and methods: A literature search was conducted across PubMed, Medline via Ovid, Cochrane database, and Google Scholar. The search was completed in September 2020. Series of meta-analyses were conducted to compare implant failure rates with guided and free-hand techniques. Results: A total of 3387 articles were identified from the electronic search. After applying the inclusion criteria, eight articles were selected for qualitative assessment and four for quantitative synthesis (meta-analysis). The included studies had a risk ratio of 0.29 (95% CI: 0.15, 0.58), P &lt; 0.001 for the use of guided implant placement. Implant failure rates were affected by the different placement techniques indicated by the test for overall effect (Z = 3.53, P = 0.0004). The incidence of implant failure in guided surgery versus free-hand surgery was found to be 2.25% and 6.42%, respectively. Conclusion: Both guided and free-hand implant placement techniques resulted in a high implant survival rate. However, implant failure rates were almost three times higher in the free-hand implant placement category. A guided implant placement approach is recommended for a successful outcome.","author":[{"dropping-particle":"","family":"Abdelhay","given":"Nancy","non-dropping-particle":"","parse-names":false,"suffix":""},{"dropping-particle":"","family":"Prasad","given":"Soni","non-dropping-particle":"","parse-names":false,"suffix":""},{"dropping-particle":"","family":"Gibson","given":"Monica Prasad","non-dropping-particle":"","parse-names":false,"suffix":""}],"container-title":"BDJ Open","id":"ITEM-4","issue":"1","issued":{"date-parts":[["2021"]]},"page":"1-9","publisher":"Springer US","title":"Failure rates associated with guided versus non-guided dental implant placement: a systematic review and meta-analysis","type":"article-journal","volume":"7"},"uris":["http://www.mendeley.com/documents/?uuid=8d94bdba-fc3d-4f8b-a81c-b0e3c1d1a154"]},{"id":"ITEM-5","itemData":{"DOI":"10.2186/jpr.JPR_D_20_00184","ISSN":"18831958","PMID":"33504723","abstract":"Purpose: To review the current clinical studies regarding the accuracy of implant computer-guided surgery in partially edentulous patients and investigate potential influencing factors. Study selection: Electronic searches on the PubMed and Cochrane Central Register of Controlled Trials databases, and subsequent manual searches were performed. Two reviewers selected the studies following our inclusion and exclusion criteria. Qualitative review and meta-analysis of the implant placement accuracy were performed to analyze potential influencing factors. Angular deviation, coronal deviation, apical deviation, and depth deviation were evaluated as the accuracy outcomes. Results: Eighteen studies were included in this systematic review, including six randomized controlled trials, nine prospective studies, and three retrospective clinical studies. A total of 1317 implants placed in 642 partially edentulous patients were reviewed. Eight studies were evaluated using meta-analysis. Fully guided surgery showed statistically higher accuracy in angular (P &lt;0.001), coronal (P &lt;0.001), and apical deviation (P &lt;0.05) compared with pilot-drill guided surgery. A statistically significant difference (P &lt;0.001) was also observed in coronal deviation between the bounded edentulous (BES) and distal extension spaces (DES). A significantly lower angular deviation (P &lt;0.001) was found in implants placed using computer-aided design/computer-aided manufacturing (CAD/CAM) compared to the conventional surgical guides. Conclusion: The edentulous space type, surgical guide manufacturing procedure, and guided surgery protocol can influence the accuracy of computer-guided surgery in partially edentulous patients. Higher accuracy was found when the implants were placed in BES, with CAD/CAM manufactured surgical guides, using a fully guided surgery protocol.","author":[{"dropping-particle":"","family":"Putra","given":"Ramadhan Hardani","non-dropping-particle":"","parse-names":false,"suffix":""},{"dropping-particle":"","family":"Yoda","given":"Nobuhiro","non-dropping-particle":"","parse-names":false,"suffix":""},{"dropping-particle":"","family":"Astuti","given":"Eha Renwi","non-dropping-particle":"","parse-names":false,"suffix":""},{"dropping-particle":"","family":"Sasaki","given":"Keiichi","non-dropping-particle":"","parse-names":false,"suffix":""}],"container-title":"Journal of Prosthodontic Research","id":"ITEM-5","issue":"1","issued":{"date-parts":[["2022"]]},"page":"29-39","title":"The accuracy of implant placement with computer-guided surgery in partially edentulous patients and possible influencing factors: a systematic review and meta-analysis","type":"article-journal","volume":"66"},"uris":["http://www.mendeley.com/documents/?uuid=f03441fa-f49b-4a95-972a-b4edc6c98154"]},{"id":"ITEM-6","itemData":{"DOI":"10.1016/j.jormas.2020.10.010","ISSN":"24687855","PMID":"33161170","abstract":"In the present study, we tried to review the current literature, focusing on the effect of different guide systems on the accuracy of the digital surgical guides. A search in PubMed's database, without any date restriction, was performed using keywords based on the PICO question. 54 of the 2378 articles’ were chosen for full-text assessment. Articles were screened using predetermined inclusion and exclusion criteria. 21 articles were included in the qualitative assessment. Descriptive analysis was performed for numeric parameters using mean ± standard deviation. Six types of guide systems were used in the included articles. The commonest guide system was SimPlant (45.64%) followed by NobleGuide (23.00%). The pooled mean angle deviation, global coronal deviation, and global apical deviation were 3.43 mm (95% CI = 2.96, 3.90), 1.16 mm (95% CI = 0.98, 1.24) and 1.35 mm (95% CI = 1.11, 1.59), respectively. The maximum mean(SD) of angle deviation, global coronal deviation, and global apical deviation happened in Stent Cad 4.1(1.86) degrees, NobleGuide 1.86(0.56) mm, and OnDemend3d 1.56(1.48) mm, respectively. Although a final statement could not be made on which system is better, it is certain that the software affects the deviation and could be as important as the implant itself. Clinical significance: The choice of guide systems used for the production of static guide systems which was studied in this article could affect the accuracy of the implant placement procedure.","author":[{"dropping-particle":"","family":"Eftekhar Ashtiani","given":"R.","non-dropping-particle":"","parse-names":false,"suffix":""},{"dropping-particle":"","family":"Ghasemi","given":"Z.","non-dropping-particle":"","parse-names":false,"suffix":""},{"dropping-particle":"","family":"Nami","given":"M.","non-dropping-particle":"","parse-names":false,"suffix":""},{"dropping-particle":"","family":"Mighani","given":"F.","non-dropping-particle":"","parse-names":false,"suffix":""},{"dropping-particle":"","family":"Namdari","given":"M.","non-dropping-particle":"","parse-names":false,"suffix":""}],"container-title":"Journal of Stomatology, Oral and Maxillofacial Surgery","id":"ITEM-6","issue":"6","issued":{"date-parts":[["2021"]]},"page":"600-607","publisher":"Elsevier Masson SAS","title":"Accuracy of static digital surgical guides for dental implants based on the guide system: A systematic review","type":"article-journal","volume":"122"},"uris":["http://www.mendeley.com/documents/?uuid=c2fbc0a1-1580-4807-b300-7b1cde962270"]},{"id":"ITEM-7","itemData":{"DOI":"10.1016/j.bjps.2019.08.015","ISSN":"18780539","PMID":"31636027","author":[{"dropping-particle":"","family":"Tang","given":"Nicholas S.J.","non-dropping-particle":"","parse-names":false,"suffix":""},{"dropping-particle":"","family":"Ahmadi","given":"Iraj","non-dropping-particle":"","parse-names":false,"suffix":""},{"dropping-particle":"","family":"Ramakrishnan","given":"Anand","non-dropping-particle":"","parse-names":false,"suffix":""}],"container-title":"Journal of Plastic, Reconstructive &amp; Aesthetic Surgery","id":"ITEM-7","issued":{"date-parts":[["2019"]]},"page":"1465-1477","title":"Virtual surgical planning in fibula free flap head and neck reconstruction: a systematic review and meta-analysis","type":"article-journal","volume":"72"},"uris":["http://www.mendeley.com/documents/?uuid=4264b3ad-bd44-4f5d-97ac-914b44785ea4"]}],"mendeley":{"formattedCitation":"(Abdelhay et al. 2021; Chen et al. 2021; Eftekhar Ashtiani et al. 2021; Kizaki et al. 2019; Putra et al. 2022; Romandini et al. 2022; Tang et al. 2019)","plainTextFormattedCitation":"(Abdelhay et al. 2021; Chen et al. 2021; Eftekhar Ashtiani et al. 2021; Kizaki et al. 2019; Putra et al. 2022; Romandini et al. 2022; Tang et al. 2019)","previouslyFormattedCitation":"(Abdelhay et al. 2021; Chen et al. 2021; Eftekhar Ashtiani et al. 2021; Kizaki et al. 2019; Putra et al. 2022; Romandini et al. 2022; Tang et al. 2019)"},"properties":{"noteIndex":0},"schema":"https://github.com/citation-style-language/schema/raw/master/csl-citation.json"}</w:instrText>
      </w:r>
      <w:r w:rsidRPr="005F62F4">
        <w:fldChar w:fldCharType="separate"/>
      </w:r>
      <w:r w:rsidR="00674498" w:rsidRPr="005F62F4">
        <w:rPr>
          <w:noProof/>
        </w:rPr>
        <w:t>(Abdelhay et al. 2021; Chen et al. 2021; Eftekhar Ashtiani et al. 2021; Kizaki et al. 2019; Putra et al. 2022; Romandini et al. 2022; Tang et al. 2019)</w:t>
      </w:r>
      <w:r w:rsidRPr="005F62F4">
        <w:fldChar w:fldCharType="end"/>
      </w:r>
      <w:r w:rsidRPr="005F62F4">
        <w:t xml:space="preserve">, standardised methodologies </w:t>
      </w:r>
      <w:r w:rsidRPr="005F62F4">
        <w:fldChar w:fldCharType="begin" w:fldLock="1"/>
      </w:r>
      <w:r w:rsidR="00426819" w:rsidRPr="005F62F4">
        <w:instrText>ADDIN CSL_CITATION {"citationItems":[{"id":"ITEM-1","itemData":{"author":[{"dropping-particle":"","family":"Meglioli","given":"M","non-dropping-particle":"","parse-names":false,"suffix":""},{"dropping-particle":"","family":"Naveau","given":"A","non-dropping-particle":"","parse-names":false,"suffix":""},{"dropping-particle":"","family":"Macaluso","given":"GM","non-dropping-particle":"","parse-names":false,"suffix":""},{"dropping-particle":"","family":"Catros","given":"S","non-dropping-particle":"","parse-names":false,"suffix":""}],"container-title":"3D Printing in Medicine","id":"ITEM-1","issue":"1","issued":{"date-parts":[["2020"]]},"page":"30","title":"3D printed bone models in oral and craniomaxillofacial surgery: a systematic review","type":"article-journal","volume":"6"},"uris":["http://www.mendeley.com/documents/?uuid=7b876947-60fc-482d-b995-b78f486404da"]}],"mendeley":{"formattedCitation":"(Meglioli et al. 2020)","plainTextFormattedCitation":"(Meglioli et al. 2020)","previouslyFormattedCitation":"(Meglioli et al. 2020)"},"properties":{"noteIndex":0},"schema":"https://github.com/citation-style-language/schema/raw/master/csl-citation.json"}</w:instrText>
      </w:r>
      <w:r w:rsidRPr="005F62F4">
        <w:fldChar w:fldCharType="separate"/>
      </w:r>
      <w:r w:rsidRPr="005F62F4">
        <w:rPr>
          <w:noProof/>
        </w:rPr>
        <w:t>(Meglioli et al. 2020)</w:t>
      </w:r>
      <w:r w:rsidRPr="005F62F4">
        <w:fldChar w:fldCharType="end"/>
      </w:r>
      <w:r w:rsidRPr="005F62F4">
        <w:t xml:space="preserve">, long-term data </w:t>
      </w:r>
      <w:r w:rsidRPr="005F62F4">
        <w:fldChar w:fldCharType="begin" w:fldLock="1"/>
      </w:r>
      <w:r w:rsidR="009A43DD" w:rsidRPr="005F62F4">
        <w:instrText>ADDIN CSL_CITATION {"citationItems":[{"id":"ITEM-1","itemData":{"DOI":"10.1111/prd.12440","ISSN":"16000757","PMID":"35906928","abstract":"Flapless and fully guided implant placement has the potential to maximize efficacy outcomes and at the same time to minimize surgical invasiveness. The aim of the current systematic review was to answer the following PICO question: “In adult human subjects undergoing dental implant placement (P), is minimally invasive flapless computer-aided fully guided (either dynamic or static computer-aided implant placement (sCAIP)) (I) superior to flapped conventional (free-handed implant placement (FHIP) or cast-based/drill partially guided implant placement (dPGIP)) surgery (C), in terms of efficacy, patient morbidity, long-term prognosis, and costs (O)?” Randomized clinical trials (RCTs) fulfilling specific inclusion criteria established to answer the PICO question were included. Two review authors independently searched for eligible studies, screened the titles and abstracts, performed full-text analysis, extracted the data from the published reports, and performed the risk of bias assessment. In cases of disagreement, a third review author took the final decision during ad hoc consensus meetings. The study results were summarized using random effects meta-analyses, which were based (wherever possible) on individual patient data (IPD). A total of 10 manuscripts reporting on five RCTs, involving a total of 124 participants and 449 implants, and comparing flapless sCAIP with flapped FHIP/cast-based partially guided implant placement (cPGIP), were included. There was no RCT analyzing flapless dynamic computer-aided implant placement (dCAIP) or flapped dPGIP. Intergroup meta-analyses indicated less depth deviation (difference in means (MD) = −0.28 mm; 95% confidence interval (CI): −0.59 to 0.03; moderate certainty), angular deviation (MD = −3.88 degrees; 95% CI: −7.00 to −0.77; high certainty), coronal (MD = −0.6 mm; 95% CI: −1.21 to 0.01; low certainty) and apical (MD = −0.75 mm; 95% CI: −1.43 to −0.07; moderate certainty) three-dimensional bodily deviations, postoperative pain (MD = −17.09 mm on the visual analogue scale (VAS); 95% CI: −33.38 to −0.80; low certainty), postoperative swelling (MD = −6.59 mm on the VAS; 95% CI: −19.03 to 5.85; very low certainty), intraoperative discomfort (MD = −9.36 mm on the VAS; 95% CI: −17.10 to −1.61) and surgery duration (MD = −24.28 minutes; 95% CI: −28.62 to −19.95) in flapless sCAIP than in flapped FHIP/cPGIP. Despite being more accurate than flapped FHIP/cPGIP, flapless sCAIP still resulted in deviations with respect to …","author":[{"dropping-particle":"","family":"Romandini","given":"Mario","non-dropping-particle":"","parse-names":false,"suffix":""},{"dropping-particle":"","family":"Ruales-Carrera","given":"Edwin","non-dropping-particle":"","parse-names":false,"suffix":""},{"dropping-particle":"","family":"Sadilina","given":"Sofya","non-dropping-particle":"","parse-names":false,"suffix":""},{"dropping-particle":"","family":"Hämmerle","given":"Christoph H.F.","non-dropping-particle":"","parse-names":false,"suffix":""},{"dropping-particle":"","family":"Sanz","given":"Mariano","non-dropping-particle":"","parse-names":false,"suffix":""}],"container-title":"Periodontology 2000","id":"ITEM-1","issued":{"date-parts":[["2022"]]},"page":"1-24","title":"Minimal invasiveness at dental implant placement: a systematic review with meta-analyses on flapless fully guided surgery","type":"article-journal","volume":"00"},"uris":["http://www.mendeley.com/documents/?uuid=55d04839-3cc0-4adf-948e-9760d3fa95e6"]},{"id":"ITEM-2","itemData":{"DOI":"10.1186/s12891-019-2940-2","ISSN":"14712474","PMID":"31759392","abstract":"Background: Total knee arthroplasty using patient-specific instrumentation (TKA-PSI), which are disposable cutting block guides generated to fit each patient's 3-dimensional knee anatomy, has been developed to treat patients with end-stage osteoarthritis of the knee. Surrogate markers such as radiographic malalignment have been well investigated, however, patient-important outcomes are not well examined to elucidate the efficacy of TKA-PSI. The aim of this review is to determine if TKA-PSI improves patient-reported outcome measures (PROM), surgery time, blood loss, transfusion and complications (e.g. surgical site infection, deep venous thrombosis, and revision TKA). Methods: We searched the Cochrane Central Register of Controlled Trials (CENTRAL), MEDLINE, EMBASE, and ongoing clinical trials. For PROMs, surgery time, blood loss, and transfusion rate, we included randomized controlled trials (RCT) comparing TKA-PSI and standard TKA to treat osteoarthritis of the knee. For complications, we also included non-randomized comparative studies (non-RCT). Results: This review includes 38 studies, 24 of which were RCT and 14 of which were non-RCT. These included a total of 3487 patients. The predominant population in the included studies highly reflected the general population, with 62% being female, aged over 60 and having end-stage osteoarthritis of the knee. TKA-PSI did not improve PROMs as compared to standard TKA for less than 1-year (mean difference 0.48, 95% confidence interval (CI) -1.92-0.97 in the Oxford knee score, mean 3-month follow-up) and for 1-year or more (mean difference 0.25, 95%CI - 4.39-4.89 in the WOMAC score, mean 29-month follow-up). TKA-PSI did not reduce surgery time (mean difference - 3.09 min, 95%CI -6.73-0.55). TKA-PSI decreased blood loss with a small effect size corresponding to a 0.4 g/dl hemoglobin decrease (95%CI 0.18-0.88), but did not decrease transfusion rate (risk difference - 0.04, 95%CI -0.09-0.01). TKA-PSI did not reduce complication rates (risk difference 0.00, 95%CI - 0.01-0.01 in the composite outcome). Conclusions: TKA-PSI does not improve patient-reported outcome measures, surgery time, and complication rates as compared to standard TKA. TKA-PSI decreases blood loss with a small effect, which is not enough to reduce transfusion rate.","author":[{"dropping-particle":"","family":"Kizaki","given":"Kazuha","non-dropping-particle":"","parse-names":false,"suffix":""},{"dropping-particle":"","family":"Shanmugaraj","given":"Ajaykumar","non-dropping-particle":"","parse-names":false,"suffix":""},{"dropping-particle":"","family":"Yamashita","given":"Fumiharu","non-dropping-particle":"","parse-names":false,"suffix":""},{"dropping-particle":"","family":"Simunovic","given":"Nicole","non-dropping-particle":"","parse-names":false,"suffix":""},{"dropping-particle":"","family":"Duong","given":"Andrew","non-dropping-particle":"","parse-names":false,"suffix":""},{"dropping-particle":"","family":"Khanna","given":"Vickas","non-dropping-particle":"","parse-names":false,"suffix":""},{"dropping-particle":"","family":"Ayeni","given":"Olufemi R.","non-dropping-particle":"","parse-names":false,"suffix":""}],"container-title":"BMC Musculoskeletal Disorders","id":"ITEM-2","issue":"1","issued":{"date-parts":[["2019"]]},"page":"1-18","publisher":"BMC Musculoskeletal Disorders","title":"Total knee arthroplasty using patient-specific instrumentation for osteoarthritis of the knee: a meta-analysis","type":"article-journal","volume":"20"},"uris":["http://www.mendeley.com/documents/?uuid=35402da0-6490-46c3-8f99-7b2ba38a7bbd"]}],"mendeley":{"formattedCitation":"(Kizaki et al. 2019; Romandini et al. 2022)","plainTextFormattedCitation":"(Kizaki et al. 2019; Romandini et al. 2022)","previouslyFormattedCitation":"(Kizaki et al. 2019; Romandini et al. 2022)"},"properties":{"noteIndex":0},"schema":"https://github.com/citation-style-language/schema/raw/master/csl-citation.json"}</w:instrText>
      </w:r>
      <w:r w:rsidRPr="005F62F4">
        <w:fldChar w:fldCharType="separate"/>
      </w:r>
      <w:r w:rsidRPr="005F62F4">
        <w:rPr>
          <w:noProof/>
        </w:rPr>
        <w:t>(Kizaki et al. 2019; Romandini et al. 2022)</w:t>
      </w:r>
      <w:r w:rsidRPr="005F62F4">
        <w:fldChar w:fldCharType="end"/>
      </w:r>
      <w:r w:rsidRPr="005F62F4">
        <w:t xml:space="preserve"> and data regarding costs </w:t>
      </w:r>
      <w:r w:rsidRPr="005F62F4">
        <w:fldChar w:fldCharType="begin" w:fldLock="1"/>
      </w:r>
      <w:r w:rsidR="009A43DD" w:rsidRPr="005F62F4">
        <w:instrText>ADDIN CSL_CITATION {"citationItems":[{"id":"ITEM-1","itemData":{"DOI":"10.1111/prd.12440","ISSN":"16000757","PMID":"35906928","abstract":"Flapless and fully guided implant placement has the potential to maximize efficacy outcomes and at the same time to minimize surgical invasiveness. The aim of the current systematic review was to answer the following PICO question: “In adult human subjects undergoing dental implant placement (P), is minimally invasive flapless computer-aided fully guided (either dynamic or static computer-aided implant placement (sCAIP)) (I) superior to flapped conventional (free-handed implant placement (FHIP) or cast-based/drill partially guided implant placement (dPGIP)) surgery (C), in terms of efficacy, patient morbidity, long-term prognosis, and costs (O)?” Randomized clinical trials (RCTs) fulfilling specific inclusion criteria established to answer the PICO question were included. Two review authors independently searched for eligible studies, screened the titles and abstracts, performed full-text analysis, extracted the data from the published reports, and performed the risk of bias assessment. In cases of disagreement, a third review author took the final decision during ad hoc consensus meetings. The study results were summarized using random effects meta-analyses, which were based (wherever possible) on individual patient data (IPD). A total of 10 manuscripts reporting on five RCTs, involving a total of 124 participants and 449 implants, and comparing flapless sCAIP with flapped FHIP/cast-based partially guided implant placement (cPGIP), were included. There was no RCT analyzing flapless dynamic computer-aided implant placement (dCAIP) or flapped dPGIP. Intergroup meta-analyses indicated less depth deviation (difference in means (MD) = −0.28 mm; 95% confidence interval (CI): −0.59 to 0.03; moderate certainty), angular deviation (MD = −3.88 degrees; 95% CI: −7.00 to −0.77; high certainty), coronal (MD = −0.6 mm; 95% CI: −1.21 to 0.01; low certainty) and apical (MD = −0.75 mm; 95% CI: −1.43 to −0.07; moderate certainty) three-dimensional bodily deviations, postoperative pain (MD = −17.09 mm on the visual analogue scale (VAS); 95% CI: −33.38 to −0.80; low certainty), postoperative swelling (MD = −6.59 mm on the VAS; 95% CI: −19.03 to 5.85; very low certainty), intraoperative discomfort (MD = −9.36 mm on the VAS; 95% CI: −17.10 to −1.61) and surgery duration (MD = −24.28 minutes; 95% CI: −28.62 to −19.95) in flapless sCAIP than in flapped FHIP/cPGIP. Despite being more accurate than flapped FHIP/cPGIP, flapless sCAIP still resulted in deviations with respect to …","author":[{"dropping-particle":"","family":"Romandini","given":"Mario","non-dropping-particle":"","parse-names":false,"suffix":""},{"dropping-particle":"","family":"Ruales-Carrera","given":"Edwin","non-dropping-particle":"","parse-names":false,"suffix":""},{"dropping-particle":"","family":"Sadilina","given":"Sofya","non-dropping-particle":"","parse-names":false,"suffix":""},{"dropping-particle":"","family":"Hämmerle","given":"Christoph H.F.","non-dropping-particle":"","parse-names":false,"suffix":""},{"dropping-particle":"","family":"Sanz","given":"Mariano","non-dropping-particle":"","parse-names":false,"suffix":""}],"container-title":"Periodontology 2000","id":"ITEM-1","issued":{"date-parts":[["2022"]]},"page":"1-24","title":"Minimal invasiveness at dental implant placement: a systematic review with meta-analyses on flapless fully guided surgery","type":"article-journal","volume":"00"},"uris":["http://www.mendeley.com/documents/?uuid=55d04839-3cc0-4adf-948e-9760d3fa95e6"]},{"id":"ITEM-2","itemData":{"DOI":"10.1186/s12891-019-2940-2","ISSN":"14712474","PMID":"31759392","abstract":"Background: Total knee arthroplasty using patient-specific instrumentation (TKA-PSI), which are disposable cutting block guides generated to fit each patient's 3-dimensional knee anatomy, has been developed to treat patients with end-stage osteoarthritis of the knee. Surrogate markers such as radiographic malalignment have been well investigated, however, patient-important outcomes are not well examined to elucidate the efficacy of TKA-PSI. The aim of this review is to determine if TKA-PSI improves patient-reported outcome measures (PROM), surgery time, blood loss, transfusion and complications (e.g. surgical site infection, deep venous thrombosis, and revision TKA). Methods: We searched the Cochrane Central Register of Controlled Trials (CENTRAL), MEDLINE, EMBASE, and ongoing clinical trials. For PROMs, surgery time, blood loss, and transfusion rate, we included randomized controlled trials (RCT) comparing TKA-PSI and standard TKA to treat osteoarthritis of the knee. For complications, we also included non-randomized comparative studies (non-RCT). Results: This review includes 38 studies, 24 of which were RCT and 14 of which were non-RCT. These included a total of 3487 patients. The predominant population in the included studies highly reflected the general population, with 62% being female, aged over 60 and having end-stage osteoarthritis of the knee. TKA-PSI did not improve PROMs as compared to standard TKA for less than 1-year (mean difference 0.48, 95% confidence interval (CI) -1.92-0.97 in the Oxford knee score, mean 3-month follow-up) and for 1-year or more (mean difference 0.25, 95%CI - 4.39-4.89 in the WOMAC score, mean 29-month follow-up). TKA-PSI did not reduce surgery time (mean difference - 3.09 min, 95%CI -6.73-0.55). TKA-PSI decreased blood loss with a small effect size corresponding to a 0.4 g/dl hemoglobin decrease (95%CI 0.18-0.88), but did not decrease transfusion rate (risk difference - 0.04, 95%CI -0.09-0.01). TKA-PSI did not reduce complication rates (risk difference 0.00, 95%CI - 0.01-0.01 in the composite outcome). Conclusions: TKA-PSI does not improve patient-reported outcome measures, surgery time, and complication rates as compared to standard TKA. TKA-PSI decreases blood loss with a small effect, which is not enough to reduce transfusion rate.","author":[{"dropping-particle":"","family":"Kizaki","given":"Kazuha","non-dropping-particle":"","parse-names":false,"suffix":""},{"dropping-particle":"","family":"Shanmugaraj","given":"Ajaykumar","non-dropping-particle":"","parse-names":false,"suffix":""},{"dropping-particle":"","family":"Yamashita","given":"Fumiharu","non-dropping-particle":"","parse-names":false,"suffix":""},{"dropping-particle":"","family":"Simunovic","given":"Nicole","non-dropping-particle":"","parse-names":false,"suffix":""},{"dropping-particle":"","family":"Duong","given":"Andrew","non-dropping-particle":"","parse-names":false,"suffix":""},{"dropping-particle":"","family":"Khanna","given":"Vickas","non-dropping-particle":"","parse-names":false,"suffix":""},{"dropping-particle":"","family":"Ayeni","given":"Olufemi R.","non-dropping-particle":"","parse-names":false,"suffix":""}],"container-title":"BMC Musculoskeletal Disorders","id":"ITEM-2","issue":"1","issued":{"date-parts":[["2019"]]},"page":"1-18","publisher":"BMC Musculoskeletal Disorders","title":"Total knee arthroplasty using patient-specific instrumentation for osteoarthritis of the knee: a meta-analysis","type":"article-journal","volume":"20"},"uris":["http://www.mendeley.com/documents/?uuid=35402da0-6490-46c3-8f99-7b2ba38a7bbd"]}],"mendeley":{"formattedCitation":"(Kizaki et al. 2019; Romandini et al. 2022)","plainTextFormattedCitation":"(Kizaki et al. 2019; Romandini et al. 2022)","previouslyFormattedCitation":"(Kizaki et al. 2019; Romandini et al. 2022)"},"properties":{"noteIndex":0},"schema":"https://github.com/citation-style-language/schema/raw/master/csl-citation.json"}</w:instrText>
      </w:r>
      <w:r w:rsidRPr="005F62F4">
        <w:fldChar w:fldCharType="separate"/>
      </w:r>
      <w:r w:rsidRPr="005F62F4">
        <w:rPr>
          <w:noProof/>
        </w:rPr>
        <w:t>(Kizaki et al. 2019; Romandini et al. 2022)</w:t>
      </w:r>
      <w:r w:rsidRPr="005F62F4">
        <w:fldChar w:fldCharType="end"/>
      </w:r>
      <w:r w:rsidRPr="005F62F4">
        <w:t>.</w:t>
      </w:r>
    </w:p>
    <w:p w14:paraId="25723D36" w14:textId="6E4A54C1" w:rsidR="00430DA4" w:rsidRPr="005F62F4" w:rsidRDefault="00430DA4" w:rsidP="00EF55D6">
      <w:pPr>
        <w:pStyle w:val="Para"/>
      </w:pPr>
      <w:r w:rsidRPr="005F62F4">
        <w:rPr>
          <w:lang w:eastAsia="en-AU"/>
        </w:rPr>
        <w:t>Publication bias should also be considered, given the low frequency of reporting of unsatisfactory results</w:t>
      </w:r>
      <w:r w:rsidR="00D73530" w:rsidRPr="005F62F4">
        <w:rPr>
          <w:lang w:eastAsia="en-AU"/>
        </w:rPr>
        <w:t xml:space="preserve"> </w:t>
      </w:r>
      <w:r w:rsidR="00D73530" w:rsidRPr="005F62F4">
        <w:rPr>
          <w:lang w:eastAsia="en-AU"/>
        </w:rPr>
        <w:fldChar w:fldCharType="begin" w:fldLock="1"/>
      </w:r>
      <w:r w:rsidR="00974952" w:rsidRPr="005F62F4">
        <w:rPr>
          <w:lang w:eastAsia="en-AU"/>
        </w:rPr>
        <w:instrText>ADDIN CSL_CITATION {"citationItems":[{"id":"ITEM-1","itemData":{"DOI":"10.1097/SAP.0000000000002006","ISBN":"0000000000","ISSN":"15363708","PMID":"31633539","abstract":"Background The fibula free flap (FFF) remains the criterion standard for complex mandibular reconstruction. Surgeons have incorporated virtual surgical planning (VSP) into the reconstructive algorithm with the assertion that VSP increases operative efficiency and may improve clinical outcomes. To date, no large-scale studies have analyzed these claims. This study examines the literature and tests the hypothesis that VSP improves operative efficiency, clinical outcomes, and accuracy when compared with traditional techniques. Methods A systematic review was performed to identify articles utilizing VSP and traditional techniques for FFF-based mandibular reconstruction. Two reviewers independently assessed all articles for methodological quality using a validated instrument (weighted Cohen κ for interrater reliability = 0.70). Outcomes included operative time, length of stay, complications, and accuracy. Meta-analytic comparisons were performed using data from comparative studies using a random-effects model and differences of means analysis for outcomes measured on identical scales. Results One hundred thirty-one articles were identified, and 25 met the inclusion criteria: 12 were VSP only, whereas 13 were comparative. There were 241 VSP patients and 214 traditional patients available for meta-analysis. Patients undergoing reconstruction with VSP had a significant reduction in operative time by 44.64 minutes (95% confidence interval [CI],-74.69 to-14.58 minutes; P &lt; 0.01) and demonstrated a mean trend toward shorter hospital admission (mean difference,-1.24 days; 95% CI,-4.00 to 1.52 days; P = 0.38). There was no statistical difference between cohorts for major (odds ratio, 1.03; 95% CI, 0.46-2.31; P = 0.95) or minor complications (odds ratio, 0.97; 95% CI, 0.54-1.71; P = 0.90). Insufficient data were available for cost analysis and accuracy. Conclusions Virtual surgical planning-guided mandibular reconstruction with FFF is associated with significantly decreased operative time and a mean trend toward shorter hospital admission. While multiple studies reported a high degree of accuracy, no standard measurement was available for meta-analysis.","author":[{"dropping-particle":"","family":"Barr","given":"Meaghan L.","non-dropping-particle":"","parse-names":false,"suffix":""},{"dropping-particle":"","family":"Haveles","given":"Christos S.","non-dropping-particle":"","parse-names":false,"suffix":""},{"dropping-particle":"","family":"Rezzadeh","given":"Kameron S.","non-dropping-particle":"","parse-names":false,"suffix":""},{"dropping-particle":"","family":"Nolan","given":"Ian T.","non-dropping-particle":"","parse-names":false,"suffix":""},{"dropping-particle":"","family":"Castro","given":"Ruben","non-dropping-particle":"","parse-names":false,"suffix":""},{"dropping-particle":"","family":"Lee","given":"Justine C.","non-dropping-particle":"","parse-names":false,"suffix":""},{"dropping-particle":"","family":"Steinbacher","given":"Derek","non-dropping-particle":"","parse-names":false,"suffix":""},{"dropping-particle":"","family":"Pfaff","given":"Miles J.","non-dropping-particle":"","parse-names":false,"suffix":""}],"container-title":"Annals of Plastic Surgery","id":"ITEM-1","issue":"1","issued":{"date-parts":[["2020"]]},"page":"117-122","title":"Virtual surgical planning for mandibular reconstruction with the fibula free flap: a systematic review and meta-analysis","type":"article-journal","volume":"84"},"uris":["http://www.mendeley.com/documents/?uuid=a8f5e4e7-db5b-4bf4-b1f0-e174188033bc"]}],"mendeley":{"formattedCitation":"(Barr et al. 2020)","plainTextFormattedCitation":"(Barr et al. 2020)","previouslyFormattedCitation":"(Barr et al. 2020)"},"properties":{"noteIndex":0},"schema":"https://github.com/citation-style-language/schema/raw/master/csl-citation.json"}</w:instrText>
      </w:r>
      <w:r w:rsidR="00D73530" w:rsidRPr="005F62F4">
        <w:rPr>
          <w:lang w:eastAsia="en-AU"/>
        </w:rPr>
        <w:fldChar w:fldCharType="separate"/>
      </w:r>
      <w:r w:rsidR="00D73530" w:rsidRPr="005F62F4">
        <w:rPr>
          <w:noProof/>
          <w:lang w:eastAsia="en-AU"/>
        </w:rPr>
        <w:t>(Barr et al. 2020)</w:t>
      </w:r>
      <w:r w:rsidR="00D73530" w:rsidRPr="005F62F4">
        <w:rPr>
          <w:lang w:eastAsia="en-AU"/>
        </w:rPr>
        <w:fldChar w:fldCharType="end"/>
      </w:r>
      <w:r w:rsidRPr="005F62F4">
        <w:rPr>
          <w:lang w:eastAsia="en-AU"/>
        </w:rPr>
        <w:t xml:space="preserve">, and bias may also be introduced by unblinded postoperative evaluation </w:t>
      </w:r>
      <w:r w:rsidRPr="005F62F4">
        <w:rPr>
          <w:lang w:eastAsia="en-AU"/>
        </w:rPr>
        <w:fldChar w:fldCharType="begin" w:fldLock="1"/>
      </w:r>
      <w:r w:rsidRPr="005F62F4">
        <w:rPr>
          <w:lang w:eastAsia="en-AU"/>
        </w:rPr>
        <w:instrText>ADDIN CSL_CITATION {"citationItems":[{"id":"ITEM-1","itemData":{"DOI":"10.1615/JLONGTERMEFFMEDIMPLANTS.2021038735","ISBN":"6167348960","ISSN":"19404379","PMID":"34587417","abstract":"Three-dimensional printing has the potential to advance current surgical practice, by way of anatomical and pathological structure analysis and customized implant manufacturing. Applications for this technology include preoperative planning, prosthesis customization, and bioprinting. A comprehensive literature review of PubMed, Embase, Cochrane Library, Scopus, and Web of Science databases was conducted to extract all studies adopting three-dimensional printing in the operative management of primary and metastatic musculoskeletal tumors. A total of 73 articles reporting on 449 patients were deemed eligible for analysis. Indications of three-dimensional printing use consisted mainly of challenging tumor locations and proximity to neighboring neurovascular structures (232 [51.7%] patients) or anticipated high complication rates (142 [31.6%] patients). Operative time and follow-up averaged 240 minutes (4 hours) and 25.8 months, respectively. The majority of patients (327 [72.8%] of 449) in whom three-dimensional printing technology was used did not exhibit any complication or adverse event during or after their surgery, and most (354 [97.3%] of 364) subjects achieved convenient functional and oncological outcomes at last follow-up. The implementation of three-dimen-sional printing technology in the treatment of bone and soft tissue tumors is safe and efficient, as evidenced by the satis-factory functional and oncological outcomes, as well as the decrease in operative time and complication rates at 2-year follow-up. With recent innovations, three-dimensional printing has become cost-effective and reliable, so it is suitable for applications in orthopedic oncology.","author":[{"dropping-particle":"","family":"Yen","given":"Winston W.","non-dropping-particle":"","parse-names":false,"suffix":""},{"dropping-particle":"","family":"Baksh","given":"Nayeem","non-dropping-particle":"","parse-names":false,"suffix":""},{"dropping-particle":"","family":"Gallo","given":"Veronica","non-dropping-particle":"","parse-names":false,"suffix":""},{"dropping-particle":"","family":"Jamil","given":"Zenab","non-dropping-particle":"","parse-names":false,"suffix":""},{"dropping-particle":"","family":"Tischler","given":"Eric H.","non-dropping-particle":"","parse-names":false,"suffix":""},{"dropping-particle":"V.","family":"Maheshwari","given":"Aditya","non-dropping-particle":"","parse-names":false,"suffix":""}],"container-title":"Journal of Long-Term Effects of Medical Implants","id":"ITEM-1","issue":"4","issued":{"date-parts":[["2021"]]},"page":"59-71","title":"Current concepts and advances of three-dimensional printing in reconstructive musculoskeletal oncology: A systematic review","type":"article-journal","volume":"31"},"uris":["http://www.mendeley.com/documents/?uuid=5b91c8b9-6a16-4985-90b1-cdd8e1107960"]}],"mendeley":{"formattedCitation":"(Yen et al. 2021)","plainTextFormattedCitation":"(Yen et al. 2021)","previouslyFormattedCitation":"(Yen et al. 2021)"},"properties":{"noteIndex":0},"schema":"https://github.com/citation-style-language/schema/raw/master/csl-citation.json"}</w:instrText>
      </w:r>
      <w:r w:rsidRPr="005F62F4">
        <w:rPr>
          <w:lang w:eastAsia="en-AU"/>
        </w:rPr>
        <w:fldChar w:fldCharType="separate"/>
      </w:r>
      <w:r w:rsidRPr="005F62F4">
        <w:rPr>
          <w:noProof/>
          <w:lang w:eastAsia="en-AU"/>
        </w:rPr>
        <w:t>(Yen et al. 2021)</w:t>
      </w:r>
      <w:r w:rsidRPr="005F62F4">
        <w:rPr>
          <w:lang w:eastAsia="en-AU"/>
        </w:rPr>
        <w:fldChar w:fldCharType="end"/>
      </w:r>
      <w:r w:rsidRPr="005F62F4">
        <w:rPr>
          <w:lang w:eastAsia="en-AU"/>
        </w:rPr>
        <w:t xml:space="preserve">. There is also the potential for industry bias within the literature </w:t>
      </w:r>
      <w:r w:rsidRPr="005F62F4">
        <w:rPr>
          <w:lang w:eastAsia="en-AU"/>
        </w:rPr>
        <w:fldChar w:fldCharType="begin" w:fldLock="1"/>
      </w:r>
      <w:r w:rsidRPr="005F62F4">
        <w:rPr>
          <w:lang w:eastAsia="en-AU"/>
        </w:rPr>
        <w:instrText>ADDIN CSL_CITATION {"citationItems":[{"id":"ITEM-1","itemData":{"DOI":"10.1016/j.arthro.2022.02.023","ISSN":"15263231","PMID":"35247513","abstract":"Purpose: To evaluate the accuracy and precision of postoperative coronal plane alignment using 3D-printed patient-specific instrumentation (PSI) in the setting of proximal tibial or distal femoral osteotomies. Methods: A systematic review evaluating the accuracy of 3D-printed PSI for coronal plane alignment correcting knee osteotomies was performed. The primary outcomes were accuracy of coronal plane limb alignment correction and number of correction outliers. Secondary variables were duration of surgery, number of intraoperative fluoroscopic images, complications, cost, and clinical outcomes (as applicable). Results: Ninety-three studies were identified, and 14 were included in the final analysis. Overall, mean postoperative deviation from target correction ranged from 0.3° to 1° for all studies using hip-knee angle measurements and 2.3% to 4.9% for all studies using weight-bearing line measurements. The incidence of correction outliers was assessed in 8 total studies and ranged from 0 to 25% (total n = 10 knees) of patients corrected with 3D-printed PSI. Osteotomies performed with 3D-printed cutting guides or wedges demonstrated significantly shorter operative times (P &lt;.05) and fewer intraoperative fluoroscopic images (P &lt;.05) than control groups in four case control studies. Conclusion: Patients undergoing distal femoral osteotomy or proximal tibial osteotomy procedures with 3D-printed patient-specific cutting guides and wedges had highly accurate coronal plane alignment with a low rate of outliers. Patients treated with 3D printed PSI also demonstrated significantly shorter operative times and decreased intraoperative fluoroscopy when compared to conventional techniques. Level of Evidence: Level IV, systematic review of Level III-IV studies","author":[{"dropping-particle":"","family":"Aman","given":"Zachary S.","non-dropping-particle":"","parse-names":false,"suffix":""},{"dropping-particle":"","family":"DePhillipo","given":"Nicholas N.","non-dropping-particle":"","parse-names":false,"suffix":""},{"dropping-particle":"","family":"Peebles","given":"Liam A.","non-dropping-particle":"","parse-names":false,"suffix":""},{"dropping-particle":"","family":"Familiari","given":"Filippo","non-dropping-particle":"","parse-names":false,"suffix":""},{"dropping-particle":"","family":"LaPrade","given":"Robert F.","non-dropping-particle":"","parse-names":false,"suffix":""},{"dropping-particle":"","family":"Dekker","given":"Travis J.","non-dropping-particle":"","parse-names":false,"suffix":""}],"container-title":"Arthroscopy - Journal of Arthroscopic and Related Surgery","id":"ITEM-1","issue":"9","issued":{"date-parts":[["2022"]]},"page":"2741-2758","publisher":"Elsevier Inc.","title":"Improved accuracy of coronal alignment can be attained using 3D-printed patient-specific instrumentation for knee osteotomies: a systematic review of level III and IV studies","type":"article-journal","volume":"38"},"uris":["http://www.mendeley.com/documents/?uuid=b89833b8-3828-4cb3-a446-d440362ffa09"]}],"mendeley":{"formattedCitation":"(Aman et al. 2022)","plainTextFormattedCitation":"(Aman et al. 2022)","previouslyFormattedCitation":"(Aman et al. 2022)"},"properties":{"noteIndex":0},"schema":"https://github.com/citation-style-language/schema/raw/master/csl-citation.json"}</w:instrText>
      </w:r>
      <w:r w:rsidRPr="005F62F4">
        <w:rPr>
          <w:lang w:eastAsia="en-AU"/>
        </w:rPr>
        <w:fldChar w:fldCharType="separate"/>
      </w:r>
      <w:r w:rsidRPr="005F62F4">
        <w:rPr>
          <w:noProof/>
          <w:lang w:eastAsia="en-AU"/>
        </w:rPr>
        <w:t>(Aman et al. 2022)</w:t>
      </w:r>
      <w:r w:rsidRPr="005F62F4">
        <w:rPr>
          <w:lang w:eastAsia="en-AU"/>
        </w:rPr>
        <w:fldChar w:fldCharType="end"/>
      </w:r>
      <w:r w:rsidRPr="005F62F4">
        <w:rPr>
          <w:lang w:eastAsia="en-AU"/>
        </w:rPr>
        <w:t>, although almost all systematic review authors declared having no conflicts of interest.</w:t>
      </w:r>
    </w:p>
    <w:p w14:paraId="347CD5BA" w14:textId="77777777" w:rsidR="00430DA4" w:rsidRPr="005F62F4" w:rsidRDefault="00430DA4">
      <w:pPr>
        <w:spacing w:after="200" w:line="276" w:lineRule="auto"/>
        <w:rPr>
          <w:rFonts w:eastAsia="MS Mincho" w:cs="Tahoma"/>
          <w:szCs w:val="20"/>
        </w:rPr>
        <w:sectPr w:rsidR="00430DA4" w:rsidRPr="005F62F4" w:rsidSect="006653A9">
          <w:pgSz w:w="11906" w:h="16838"/>
          <w:pgMar w:top="1134" w:right="1134" w:bottom="1134" w:left="1440" w:header="709" w:footer="709" w:gutter="0"/>
          <w:cols w:space="708"/>
          <w:titlePg/>
          <w:docGrid w:linePitch="360"/>
        </w:sectPr>
      </w:pPr>
    </w:p>
    <w:p w14:paraId="5882A09F" w14:textId="0E68770A" w:rsidR="00F47DF5" w:rsidRPr="005F62F4" w:rsidRDefault="009E5700" w:rsidP="00EF55D6">
      <w:pPr>
        <w:pStyle w:val="HeadingA1"/>
        <w:spacing w:after="240"/>
      </w:pPr>
      <w:bookmarkStart w:id="316" w:name="_Toc120178368"/>
      <w:bookmarkStart w:id="317" w:name="_Toc129954623"/>
      <w:r w:rsidRPr="005F62F4">
        <w:lastRenderedPageBreak/>
        <w:t xml:space="preserve">MBS </w:t>
      </w:r>
      <w:r w:rsidR="00C060BD" w:rsidRPr="005F62F4">
        <w:t>c</w:t>
      </w:r>
      <w:r w:rsidRPr="005F62F4">
        <w:t xml:space="preserve">linical </w:t>
      </w:r>
      <w:r w:rsidR="00C060BD" w:rsidRPr="005F62F4">
        <w:t>c</w:t>
      </w:r>
      <w:r w:rsidRPr="005F62F4">
        <w:t>ategories</w:t>
      </w:r>
      <w:bookmarkEnd w:id="316"/>
      <w:bookmarkEnd w:id="317"/>
    </w:p>
    <w:tbl>
      <w:tblPr>
        <w:tblStyle w:val="SGB"/>
        <w:tblW w:w="5000" w:type="pct"/>
        <w:tblLook w:val="0420" w:firstRow="1" w:lastRow="0" w:firstColumn="0" w:lastColumn="0" w:noHBand="0" w:noVBand="1"/>
      </w:tblPr>
      <w:tblGrid>
        <w:gridCol w:w="2128"/>
        <w:gridCol w:w="7204"/>
      </w:tblGrid>
      <w:tr w:rsidR="00052509" w:rsidRPr="005F62F4" w14:paraId="533511C5" w14:textId="4A345690" w:rsidTr="00AB311F">
        <w:trPr>
          <w:cnfStyle w:val="100000000000" w:firstRow="1" w:lastRow="0" w:firstColumn="0" w:lastColumn="0" w:oddVBand="0" w:evenVBand="0" w:oddHBand="0" w:evenHBand="0" w:firstRowFirstColumn="0" w:firstRowLastColumn="0" w:lastRowFirstColumn="0" w:lastRowLastColumn="0"/>
          <w:trHeight w:val="411"/>
        </w:trPr>
        <w:tc>
          <w:tcPr>
            <w:tcW w:w="1140" w:type="pct"/>
          </w:tcPr>
          <w:p w14:paraId="59090F09" w14:textId="75459E07" w:rsidR="009E5700" w:rsidRPr="005F62F4" w:rsidRDefault="00062A4B">
            <w:pPr>
              <w:pStyle w:val="TableText"/>
            </w:pPr>
            <w:bookmarkStart w:id="318" w:name="ColumnTitle_29"/>
            <w:r w:rsidRPr="005F62F4">
              <w:t>Clinical category</w:t>
            </w:r>
          </w:p>
        </w:tc>
        <w:tc>
          <w:tcPr>
            <w:tcW w:w="3860" w:type="pct"/>
          </w:tcPr>
          <w:p w14:paraId="4B92A0F1" w14:textId="4824E935" w:rsidR="009E5700" w:rsidRPr="005F62F4" w:rsidRDefault="00062A4B">
            <w:pPr>
              <w:pStyle w:val="TableText"/>
            </w:pPr>
            <w:r w:rsidRPr="005F62F4">
              <w:t>Scope of cover</w:t>
            </w:r>
          </w:p>
        </w:tc>
      </w:tr>
      <w:bookmarkEnd w:id="318"/>
      <w:tr w:rsidR="009E5700" w:rsidRPr="005F62F4" w14:paraId="708D5158" w14:textId="608F028E" w:rsidTr="00AB311F">
        <w:trPr>
          <w:trHeight w:val="170"/>
        </w:trPr>
        <w:tc>
          <w:tcPr>
            <w:tcW w:w="1140" w:type="pct"/>
          </w:tcPr>
          <w:p w14:paraId="35F792B3" w14:textId="358CAB61" w:rsidR="009E5700" w:rsidRPr="005F62F4" w:rsidRDefault="00F8527A" w:rsidP="00617B0E">
            <w:pPr>
              <w:pStyle w:val="Tablepara"/>
            </w:pPr>
            <w:r w:rsidRPr="005F62F4">
              <w:t>Bone, joint and muscle</w:t>
            </w:r>
          </w:p>
        </w:tc>
        <w:tc>
          <w:tcPr>
            <w:tcW w:w="3860" w:type="pct"/>
          </w:tcPr>
          <w:p w14:paraId="7656C911" w14:textId="17BC9BD1" w:rsidR="00A1563B" w:rsidRPr="005F62F4" w:rsidRDefault="00A1563B" w:rsidP="00617B0E">
            <w:pPr>
              <w:pStyle w:val="Tablepara"/>
            </w:pPr>
            <w:r w:rsidRPr="005F62F4">
              <w:t>Hospital treatment for the investigation and treatment of diseases, disorders and injuries of the musculoskeletal system.</w:t>
            </w:r>
          </w:p>
          <w:p w14:paraId="75C3B896" w14:textId="2B1B9C3D" w:rsidR="009E5700" w:rsidRPr="005F62F4" w:rsidRDefault="00A1563B" w:rsidP="00617B0E">
            <w:pPr>
              <w:pStyle w:val="Tablepara"/>
            </w:pPr>
            <w:r w:rsidRPr="005F62F4">
              <w:t>For example: carpal tunnel, fractures, hand surgery, joint fusion, bone spurs, osteomyelitis and bone cancer.</w:t>
            </w:r>
          </w:p>
        </w:tc>
      </w:tr>
      <w:tr w:rsidR="009E5700" w:rsidRPr="005F62F4" w14:paraId="252C8F44" w14:textId="25BB0A10" w:rsidTr="00824DA5">
        <w:trPr>
          <w:cnfStyle w:val="000000010000" w:firstRow="0" w:lastRow="0" w:firstColumn="0" w:lastColumn="0" w:oddVBand="0" w:evenVBand="0" w:oddHBand="0" w:evenHBand="1" w:firstRowFirstColumn="0" w:firstRowLastColumn="0" w:lastRowFirstColumn="0" w:lastRowLastColumn="0"/>
          <w:trHeight w:val="523"/>
        </w:trPr>
        <w:tc>
          <w:tcPr>
            <w:tcW w:w="1140" w:type="pct"/>
          </w:tcPr>
          <w:p w14:paraId="78768ABC" w14:textId="760FDF93" w:rsidR="009E5700" w:rsidRPr="005F62F4" w:rsidRDefault="00C54891" w:rsidP="00617B0E">
            <w:pPr>
              <w:pStyle w:val="Tablepara"/>
            </w:pPr>
            <w:r w:rsidRPr="005F62F4">
              <w:t>Brain and nervous system</w:t>
            </w:r>
          </w:p>
        </w:tc>
        <w:tc>
          <w:tcPr>
            <w:tcW w:w="3860" w:type="pct"/>
          </w:tcPr>
          <w:p w14:paraId="0D927B3E" w14:textId="064B4C22" w:rsidR="000524F7" w:rsidRPr="005F62F4" w:rsidRDefault="000524F7" w:rsidP="00617B0E">
            <w:pPr>
              <w:pStyle w:val="Tablepara"/>
            </w:pPr>
            <w:r w:rsidRPr="005F62F4">
              <w:t>Hospital treatment for the investigation and treatment of the brain, brain-related conditions, spinal cord and peripheral nervous system.</w:t>
            </w:r>
          </w:p>
          <w:p w14:paraId="76B5528B" w14:textId="3CE7396A" w:rsidR="009E5700" w:rsidRPr="005F62F4" w:rsidRDefault="000524F7" w:rsidP="00617B0E">
            <w:pPr>
              <w:pStyle w:val="Tablepara"/>
            </w:pPr>
            <w:r w:rsidRPr="005F62F4">
              <w:t>For example: stroke, brain or spinal cord tumours, head injuries, epilepsy and Parkinson’s disease.</w:t>
            </w:r>
          </w:p>
        </w:tc>
      </w:tr>
      <w:tr w:rsidR="009E5700" w:rsidRPr="005F62F4" w14:paraId="646F0D37" w14:textId="796A6715" w:rsidTr="00AB311F">
        <w:trPr>
          <w:trHeight w:val="170"/>
        </w:trPr>
        <w:tc>
          <w:tcPr>
            <w:tcW w:w="1140" w:type="pct"/>
          </w:tcPr>
          <w:p w14:paraId="3980E56A" w14:textId="270E444C" w:rsidR="009E5700" w:rsidRPr="005F62F4" w:rsidRDefault="00B81A3F" w:rsidP="00617B0E">
            <w:pPr>
              <w:pStyle w:val="Tablepara"/>
              <w:rPr>
                <w:rFonts w:cs="Arial"/>
              </w:rPr>
            </w:pPr>
            <w:r w:rsidRPr="005F62F4">
              <w:rPr>
                <w:rFonts w:cs="Arial"/>
              </w:rPr>
              <w:t>Ear, nose and throat</w:t>
            </w:r>
          </w:p>
        </w:tc>
        <w:tc>
          <w:tcPr>
            <w:tcW w:w="3860" w:type="pct"/>
          </w:tcPr>
          <w:p w14:paraId="3E634D3E" w14:textId="11B46129" w:rsidR="009B67AA" w:rsidRPr="005F62F4" w:rsidRDefault="00B81A3F" w:rsidP="00617B0E">
            <w:pPr>
              <w:pStyle w:val="Tablepara"/>
            </w:pPr>
            <w:r w:rsidRPr="005F62F4">
              <w:t>Hospital treatment for the investigation and treatment of the ear, nose, throat, middle ear, thyroid, parathyroid, larynx, lymph nodes and related areas of the head and neck.</w:t>
            </w:r>
          </w:p>
          <w:p w14:paraId="20EDF8D0" w14:textId="68F5F274" w:rsidR="009E5700" w:rsidRPr="005F62F4" w:rsidRDefault="00B81A3F" w:rsidP="00617B0E">
            <w:pPr>
              <w:pStyle w:val="Tablepara"/>
              <w:rPr>
                <w:rFonts w:cs="Arial"/>
              </w:rPr>
            </w:pPr>
            <w:r w:rsidRPr="005F62F4">
              <w:t>For example: damaged ear drum, sinus surgery, removal of foreign bodies, stapedectomy and throat cancer.</w:t>
            </w:r>
          </w:p>
        </w:tc>
      </w:tr>
      <w:tr w:rsidR="00B81A3F" w:rsidRPr="005F62F4" w14:paraId="35A5E9B2" w14:textId="77777777" w:rsidTr="00AB311F">
        <w:trPr>
          <w:cnfStyle w:val="000000010000" w:firstRow="0" w:lastRow="0" w:firstColumn="0" w:lastColumn="0" w:oddVBand="0" w:evenVBand="0" w:oddHBand="0" w:evenHBand="1" w:firstRowFirstColumn="0" w:firstRowLastColumn="0" w:lastRowFirstColumn="0" w:lastRowLastColumn="0"/>
          <w:trHeight w:val="170"/>
        </w:trPr>
        <w:tc>
          <w:tcPr>
            <w:tcW w:w="1140" w:type="pct"/>
          </w:tcPr>
          <w:p w14:paraId="3ACAD13A" w14:textId="60648969" w:rsidR="00B81A3F" w:rsidRPr="005F62F4" w:rsidRDefault="00F87EDD" w:rsidP="00617B0E">
            <w:pPr>
              <w:pStyle w:val="Tablepara"/>
              <w:rPr>
                <w:rFonts w:cs="Arial"/>
              </w:rPr>
            </w:pPr>
            <w:r w:rsidRPr="005F62F4">
              <w:rPr>
                <w:rFonts w:cs="Arial"/>
              </w:rPr>
              <w:t>Heart and vascular system</w:t>
            </w:r>
          </w:p>
        </w:tc>
        <w:tc>
          <w:tcPr>
            <w:tcW w:w="3860" w:type="pct"/>
          </w:tcPr>
          <w:p w14:paraId="7FB1F44C" w14:textId="50002D32" w:rsidR="009B67AA" w:rsidRPr="005F62F4" w:rsidRDefault="00F87EDD" w:rsidP="00617B0E">
            <w:pPr>
              <w:pStyle w:val="Tablepara"/>
            </w:pPr>
            <w:r w:rsidRPr="005F62F4">
              <w:t>Hospital treatment for the investigation and treatment of the heart, heart-related conditions and vascular system.</w:t>
            </w:r>
          </w:p>
          <w:p w14:paraId="11C96B8D" w14:textId="30BA8CA2" w:rsidR="00B81A3F" w:rsidRPr="005F62F4" w:rsidRDefault="00F87EDD" w:rsidP="00617B0E">
            <w:pPr>
              <w:pStyle w:val="Tablepara"/>
            </w:pPr>
            <w:r w:rsidRPr="005F62F4">
              <w:t>For example: heart failure and heart attack, monitoring of heart conditions, varicose veins and removal of plaque from arterial walls.</w:t>
            </w:r>
          </w:p>
        </w:tc>
      </w:tr>
      <w:tr w:rsidR="00F87EDD" w:rsidRPr="005F62F4" w14:paraId="23BFD377" w14:textId="77777777" w:rsidTr="00AB311F">
        <w:trPr>
          <w:trHeight w:val="170"/>
        </w:trPr>
        <w:tc>
          <w:tcPr>
            <w:tcW w:w="1140" w:type="pct"/>
          </w:tcPr>
          <w:p w14:paraId="555CDB45" w14:textId="2EB08020" w:rsidR="00F87EDD" w:rsidRPr="005F62F4" w:rsidRDefault="009B67AA" w:rsidP="00617B0E">
            <w:pPr>
              <w:pStyle w:val="Tablepara"/>
              <w:rPr>
                <w:rFonts w:cs="Arial"/>
              </w:rPr>
            </w:pPr>
            <w:r w:rsidRPr="005F62F4">
              <w:rPr>
                <w:rFonts w:cs="Arial"/>
              </w:rPr>
              <w:t>Joint reconstructions</w:t>
            </w:r>
          </w:p>
        </w:tc>
        <w:tc>
          <w:tcPr>
            <w:tcW w:w="3860" w:type="pct"/>
          </w:tcPr>
          <w:p w14:paraId="3E82887A" w14:textId="31D2C60F" w:rsidR="009B67AA" w:rsidRPr="005F62F4" w:rsidRDefault="009B67AA" w:rsidP="00617B0E">
            <w:pPr>
              <w:pStyle w:val="Tablepara"/>
            </w:pPr>
            <w:r w:rsidRPr="005F62F4">
              <w:t>Hospital treatment for surgery for joint reconstructions.</w:t>
            </w:r>
          </w:p>
          <w:p w14:paraId="6654C8E5" w14:textId="5EE97D8E" w:rsidR="00F87EDD" w:rsidRPr="005F62F4" w:rsidRDefault="009B67AA" w:rsidP="00617B0E">
            <w:pPr>
              <w:pStyle w:val="Tablepara"/>
            </w:pPr>
            <w:r w:rsidRPr="005F62F4">
              <w:t>For example: torn tendons, rotator cuff tears and damaged ligaments.</w:t>
            </w:r>
          </w:p>
        </w:tc>
      </w:tr>
      <w:tr w:rsidR="009B67AA" w:rsidRPr="005F62F4" w14:paraId="050CF08A" w14:textId="77777777" w:rsidTr="00AB311F">
        <w:trPr>
          <w:cnfStyle w:val="000000010000" w:firstRow="0" w:lastRow="0" w:firstColumn="0" w:lastColumn="0" w:oddVBand="0" w:evenVBand="0" w:oddHBand="0" w:evenHBand="1" w:firstRowFirstColumn="0" w:firstRowLastColumn="0" w:lastRowFirstColumn="0" w:lastRowLastColumn="0"/>
          <w:trHeight w:val="170"/>
        </w:trPr>
        <w:tc>
          <w:tcPr>
            <w:tcW w:w="1140" w:type="pct"/>
          </w:tcPr>
          <w:p w14:paraId="2F6ABD85" w14:textId="020ACF0F" w:rsidR="009B67AA" w:rsidRPr="005F62F4" w:rsidRDefault="00230930" w:rsidP="00617B0E">
            <w:pPr>
              <w:pStyle w:val="Tablepara"/>
              <w:rPr>
                <w:rFonts w:cs="Arial"/>
              </w:rPr>
            </w:pPr>
            <w:r w:rsidRPr="005F62F4">
              <w:rPr>
                <w:rFonts w:cs="Arial"/>
              </w:rPr>
              <w:t>Joint replacements</w:t>
            </w:r>
          </w:p>
        </w:tc>
        <w:tc>
          <w:tcPr>
            <w:tcW w:w="3860" w:type="pct"/>
          </w:tcPr>
          <w:p w14:paraId="0C5F511C" w14:textId="77777777" w:rsidR="00230930" w:rsidRPr="005F62F4" w:rsidRDefault="00230930" w:rsidP="00617B0E">
            <w:pPr>
              <w:pStyle w:val="Tablepara"/>
            </w:pPr>
            <w:r w:rsidRPr="005F62F4">
              <w:t>Hospital treatment for surgery for joint replacements, including revisions, resurfacing, partial replacements and removal of prostheses.</w:t>
            </w:r>
          </w:p>
          <w:p w14:paraId="2CF56505" w14:textId="70B28991" w:rsidR="009B67AA" w:rsidRPr="005F62F4" w:rsidRDefault="00230930" w:rsidP="00617B0E">
            <w:pPr>
              <w:pStyle w:val="Tablepara"/>
            </w:pPr>
            <w:r w:rsidRPr="005F62F4">
              <w:t>For example: replacement of shoulder, wrist, finger, hip, knee, ankle, or toe joint</w:t>
            </w:r>
            <w:r w:rsidR="009E0C86" w:rsidRPr="005F62F4">
              <w:t>.</w:t>
            </w:r>
          </w:p>
        </w:tc>
      </w:tr>
      <w:tr w:rsidR="0032423F" w:rsidRPr="005F62F4" w14:paraId="181354A0" w14:textId="77777777" w:rsidTr="00AB311F">
        <w:trPr>
          <w:trHeight w:val="170"/>
        </w:trPr>
        <w:tc>
          <w:tcPr>
            <w:tcW w:w="1140" w:type="pct"/>
          </w:tcPr>
          <w:p w14:paraId="7CD98540" w14:textId="6DDC81DE" w:rsidR="0032423F" w:rsidRPr="005F62F4" w:rsidRDefault="0032423F" w:rsidP="00617B0E">
            <w:pPr>
              <w:pStyle w:val="Tablepara"/>
              <w:rPr>
                <w:rFonts w:cs="Arial"/>
              </w:rPr>
            </w:pPr>
            <w:r w:rsidRPr="005F62F4">
              <w:rPr>
                <w:rFonts w:cs="Arial"/>
              </w:rPr>
              <w:t>Plastic and reconstructive surgery</w:t>
            </w:r>
          </w:p>
        </w:tc>
        <w:tc>
          <w:tcPr>
            <w:tcW w:w="3860" w:type="pct"/>
          </w:tcPr>
          <w:p w14:paraId="131723F5" w14:textId="7E0500B1" w:rsidR="0032423F" w:rsidRPr="005F62F4" w:rsidRDefault="0032423F" w:rsidP="00617B0E">
            <w:pPr>
              <w:pStyle w:val="Tablepara"/>
            </w:pPr>
            <w:r w:rsidRPr="005F62F4">
              <w:t xml:space="preserve">Hospital treatment which is medically necessary for the investigation and treatment of any physical deformity, whether acquired </w:t>
            </w:r>
            <w:proofErr w:type="gramStart"/>
            <w:r w:rsidRPr="005F62F4">
              <w:t>as a result of</w:t>
            </w:r>
            <w:proofErr w:type="gramEnd"/>
            <w:r w:rsidRPr="005F62F4">
              <w:t xml:space="preserve"> illness or accident, or congenital.</w:t>
            </w:r>
          </w:p>
          <w:p w14:paraId="3FD9EA40" w14:textId="007B3E71" w:rsidR="0032423F" w:rsidRPr="005F62F4" w:rsidRDefault="0032423F" w:rsidP="00617B0E">
            <w:pPr>
              <w:pStyle w:val="Tablepara"/>
            </w:pPr>
            <w:r w:rsidRPr="005F62F4">
              <w:t>For example: burns requiring a graft, cleft palate, club foot and angioma.</w:t>
            </w:r>
          </w:p>
        </w:tc>
      </w:tr>
    </w:tbl>
    <w:p w14:paraId="4E33BA75" w14:textId="77777777" w:rsidR="008A1F5A" w:rsidRPr="005F62F4" w:rsidRDefault="008A1F5A">
      <w:pPr>
        <w:spacing w:after="200" w:line="276" w:lineRule="auto"/>
      </w:pPr>
    </w:p>
    <w:p w14:paraId="793CE79D" w14:textId="6A4BEC61" w:rsidR="00570DAC" w:rsidRPr="005F62F4" w:rsidRDefault="00570DAC">
      <w:pPr>
        <w:spacing w:after="200" w:line="276" w:lineRule="auto"/>
        <w:sectPr w:rsidR="00570DAC" w:rsidRPr="005F62F4" w:rsidSect="006653A9">
          <w:pgSz w:w="11906" w:h="16838"/>
          <w:pgMar w:top="1134" w:right="1134" w:bottom="1134" w:left="1440" w:header="709" w:footer="709" w:gutter="0"/>
          <w:cols w:space="708"/>
          <w:titlePg/>
          <w:docGrid w:linePitch="360"/>
        </w:sectPr>
      </w:pPr>
    </w:p>
    <w:p w14:paraId="0F7546FE" w14:textId="48547AF8" w:rsidR="00B71A35" w:rsidRPr="005F62F4" w:rsidRDefault="00B71A35" w:rsidP="004F2931">
      <w:pPr>
        <w:pStyle w:val="HeadingA1"/>
      </w:pPr>
      <w:bookmarkStart w:id="319" w:name="_Ref119591384"/>
      <w:bookmarkStart w:id="320" w:name="_Ref119605653"/>
      <w:bookmarkStart w:id="321" w:name="_Toc120178369"/>
      <w:bookmarkStart w:id="322" w:name="_Toc129954624"/>
      <w:r w:rsidRPr="005F62F4">
        <w:lastRenderedPageBreak/>
        <w:t xml:space="preserve">Sponsor </w:t>
      </w:r>
      <w:r w:rsidR="003E5820" w:rsidRPr="005F62F4">
        <w:t>product description and</w:t>
      </w:r>
      <w:r w:rsidRPr="005F62F4">
        <w:t xml:space="preserve"> utilisation</w:t>
      </w:r>
      <w:bookmarkEnd w:id="319"/>
      <w:bookmarkEnd w:id="320"/>
      <w:bookmarkEnd w:id="321"/>
      <w:bookmarkEnd w:id="322"/>
    </w:p>
    <w:p w14:paraId="778B5992" w14:textId="36F861BD" w:rsidR="00B71A35" w:rsidRPr="005F62F4" w:rsidRDefault="0010334B" w:rsidP="0010334B">
      <w:pPr>
        <w:pStyle w:val="Para"/>
        <w:rPr>
          <w:lang w:eastAsia="en-AU"/>
        </w:rPr>
      </w:pPr>
      <w:r>
        <w:rPr>
          <w:lang w:eastAsia="en-AU"/>
        </w:rPr>
        <w:t>[this information has been redacted]</w:t>
      </w:r>
    </w:p>
    <w:p w14:paraId="4B6E64FA" w14:textId="6D46D046" w:rsidR="008A1F5A" w:rsidRPr="0010334B" w:rsidRDefault="008A1F5A" w:rsidP="0010334B">
      <w:pPr>
        <w:sectPr w:rsidR="008A1F5A" w:rsidRPr="0010334B" w:rsidSect="006653A9">
          <w:pgSz w:w="11906" w:h="16838"/>
          <w:pgMar w:top="1134" w:right="1134" w:bottom="1134" w:left="1440" w:header="709" w:footer="709" w:gutter="0"/>
          <w:cols w:space="708"/>
          <w:titlePg/>
          <w:docGrid w:linePitch="360"/>
        </w:sectPr>
      </w:pPr>
    </w:p>
    <w:p w14:paraId="0A48F9A8" w14:textId="2A716C45" w:rsidR="002B16FE" w:rsidRPr="005F62F4" w:rsidRDefault="002B16FE" w:rsidP="004F2931">
      <w:pPr>
        <w:pStyle w:val="HeadingA1"/>
      </w:pPr>
      <w:bookmarkStart w:id="323" w:name="_Ref119672886"/>
      <w:bookmarkStart w:id="324" w:name="_Toc120178388"/>
      <w:bookmarkStart w:id="325" w:name="_Toc129954625"/>
      <w:r w:rsidRPr="005F62F4">
        <w:lastRenderedPageBreak/>
        <w:t>PL criteri</w:t>
      </w:r>
      <w:r w:rsidR="00E06F1D" w:rsidRPr="005F62F4">
        <w:t>a</w:t>
      </w:r>
      <w:r w:rsidRPr="005F62F4">
        <w:t xml:space="preserve"> and rationale</w:t>
      </w:r>
      <w:bookmarkEnd w:id="323"/>
      <w:bookmarkEnd w:id="324"/>
      <w:bookmarkEnd w:id="325"/>
    </w:p>
    <w:p w14:paraId="73D8AA6A" w14:textId="3D2BDA65" w:rsidR="00F47DF5" w:rsidRPr="005F62F4" w:rsidRDefault="002B16FE" w:rsidP="009E5700">
      <w:pPr>
        <w:pStyle w:val="Para"/>
        <w:rPr>
          <w:lang w:eastAsia="en-AU"/>
        </w:rPr>
      </w:pPr>
      <w:r w:rsidRPr="005F62F4">
        <w:rPr>
          <w:lang w:eastAsia="en-AU"/>
        </w:rPr>
        <w:t>Th</w:t>
      </w:r>
      <w:r w:rsidR="004C51AC" w:rsidRPr="005F62F4">
        <w:rPr>
          <w:lang w:eastAsia="en-AU"/>
        </w:rPr>
        <w:t xml:space="preserve">is appendix lists the </w:t>
      </w:r>
      <w:r w:rsidR="00E06F1D" w:rsidRPr="005F62F4">
        <w:rPr>
          <w:lang w:eastAsia="en-AU"/>
        </w:rPr>
        <w:t xml:space="preserve">5 </w:t>
      </w:r>
      <w:r w:rsidR="004C51AC" w:rsidRPr="005F62F4">
        <w:rPr>
          <w:lang w:eastAsia="en-AU"/>
        </w:rPr>
        <w:t xml:space="preserve">PL </w:t>
      </w:r>
      <w:r w:rsidR="00E06F1D" w:rsidRPr="005F62F4">
        <w:rPr>
          <w:lang w:eastAsia="en-AU"/>
        </w:rPr>
        <w:t xml:space="preserve">eligibility </w:t>
      </w:r>
      <w:r w:rsidR="004C51AC" w:rsidRPr="005F62F4">
        <w:rPr>
          <w:lang w:eastAsia="en-AU"/>
        </w:rPr>
        <w:t>criteri</w:t>
      </w:r>
      <w:r w:rsidR="00E06F1D" w:rsidRPr="005F62F4">
        <w:rPr>
          <w:lang w:eastAsia="en-AU"/>
        </w:rPr>
        <w:t>a</w:t>
      </w:r>
      <w:r w:rsidR="004C51AC" w:rsidRPr="005F62F4">
        <w:rPr>
          <w:lang w:eastAsia="en-AU"/>
        </w:rPr>
        <w:t xml:space="preserve"> and rationale</w:t>
      </w:r>
      <w:r w:rsidR="00E06F1D" w:rsidRPr="005F62F4">
        <w:rPr>
          <w:lang w:eastAsia="en-AU"/>
        </w:rPr>
        <w:t>,</w:t>
      </w:r>
      <w:r w:rsidR="004C51AC" w:rsidRPr="005F62F4">
        <w:rPr>
          <w:lang w:eastAsia="en-AU"/>
        </w:rPr>
        <w:t xml:space="preserve"> sourced from the PL guide.</w:t>
      </w:r>
    </w:p>
    <w:tbl>
      <w:tblPr>
        <w:tblW w:w="9351" w:type="dxa"/>
        <w:tblLook w:val="04A0" w:firstRow="1" w:lastRow="0" w:firstColumn="1" w:lastColumn="0" w:noHBand="0" w:noVBand="1"/>
        <w:tblCaption w:val="Criteria for listing a product"/>
        <w:tblDescription w:val="This table contains details on legislatively based criteria and other criteria. It contains two columns, the first is titled Criterion and the second Rationale."/>
      </w:tblPr>
      <w:tblGrid>
        <w:gridCol w:w="451"/>
        <w:gridCol w:w="3699"/>
        <w:gridCol w:w="5201"/>
      </w:tblGrid>
      <w:tr w:rsidR="008A1F5A" w:rsidRPr="005F62F4" w14:paraId="5C4B0416" w14:textId="77777777" w:rsidTr="00B25159">
        <w:trPr>
          <w:tblHeader/>
        </w:trPr>
        <w:tc>
          <w:tcPr>
            <w:tcW w:w="4150" w:type="dxa"/>
            <w:gridSpan w:val="2"/>
            <w:tcBorders>
              <w:top w:val="single" w:sz="4" w:space="0" w:color="auto"/>
              <w:left w:val="single" w:sz="4" w:space="0" w:color="auto"/>
              <w:bottom w:val="single" w:sz="4" w:space="0" w:color="auto"/>
            </w:tcBorders>
            <w:shd w:val="clear" w:color="auto" w:fill="BFBFBF" w:themeFill="background1" w:themeFillShade="BF"/>
          </w:tcPr>
          <w:p w14:paraId="307BE7FB" w14:textId="77777777" w:rsidR="008A1F5A" w:rsidRPr="005F62F4" w:rsidRDefault="008A1F5A" w:rsidP="0075478F">
            <w:pPr>
              <w:pStyle w:val="TableText"/>
              <w:spacing w:before="120" w:after="120"/>
              <w:rPr>
                <w:rFonts w:cstheme="minorHAnsi"/>
                <w:sz w:val="22"/>
                <w:szCs w:val="22"/>
              </w:rPr>
            </w:pPr>
            <w:r w:rsidRPr="005F62F4">
              <w:rPr>
                <w:rFonts w:cstheme="minorHAnsi"/>
                <w:b/>
                <w:sz w:val="22"/>
                <w:szCs w:val="22"/>
              </w:rPr>
              <w:t>Criterion</w:t>
            </w:r>
          </w:p>
        </w:tc>
        <w:tc>
          <w:tcPr>
            <w:tcW w:w="5201" w:type="dxa"/>
            <w:tcBorders>
              <w:top w:val="single" w:sz="4" w:space="0" w:color="auto"/>
              <w:bottom w:val="single" w:sz="4" w:space="0" w:color="auto"/>
              <w:right w:val="single" w:sz="4" w:space="0" w:color="auto"/>
            </w:tcBorders>
            <w:shd w:val="clear" w:color="auto" w:fill="BFBFBF" w:themeFill="background1" w:themeFillShade="BF"/>
          </w:tcPr>
          <w:p w14:paraId="1C7F5776" w14:textId="77777777" w:rsidR="008A1F5A" w:rsidRPr="005F62F4" w:rsidRDefault="008A1F5A" w:rsidP="0075478F">
            <w:pPr>
              <w:pStyle w:val="TableText"/>
              <w:spacing w:before="120" w:after="120"/>
              <w:rPr>
                <w:rFonts w:cstheme="minorHAnsi"/>
                <w:sz w:val="22"/>
                <w:szCs w:val="22"/>
                <w:lang w:eastAsia="en-US"/>
              </w:rPr>
            </w:pPr>
            <w:r w:rsidRPr="005F62F4">
              <w:rPr>
                <w:rFonts w:cstheme="minorHAnsi"/>
                <w:b/>
                <w:sz w:val="22"/>
                <w:szCs w:val="22"/>
                <w:lang w:eastAsia="en-US"/>
              </w:rPr>
              <w:t>Rationale</w:t>
            </w:r>
          </w:p>
        </w:tc>
      </w:tr>
      <w:tr w:rsidR="008A1F5A" w:rsidRPr="005F62F4" w14:paraId="51ED2091" w14:textId="77777777" w:rsidTr="00B25159">
        <w:tc>
          <w:tcPr>
            <w:tcW w:w="4150" w:type="dxa"/>
            <w:gridSpan w:val="2"/>
            <w:tcBorders>
              <w:top w:val="single" w:sz="4" w:space="0" w:color="auto"/>
              <w:left w:val="single" w:sz="4" w:space="0" w:color="auto"/>
              <w:bottom w:val="single" w:sz="4" w:space="0" w:color="auto"/>
            </w:tcBorders>
          </w:tcPr>
          <w:p w14:paraId="44E89F00" w14:textId="77777777" w:rsidR="008A1F5A" w:rsidRPr="005F62F4" w:rsidRDefault="008A1F5A" w:rsidP="0075478F">
            <w:pPr>
              <w:pStyle w:val="TableText"/>
              <w:spacing w:before="120" w:after="120"/>
              <w:rPr>
                <w:rFonts w:cstheme="minorHAnsi"/>
                <w:sz w:val="22"/>
                <w:szCs w:val="22"/>
              </w:rPr>
            </w:pPr>
            <w:r w:rsidRPr="005F62F4">
              <w:rPr>
                <w:rFonts w:cstheme="minorHAnsi"/>
                <w:b/>
                <w:sz w:val="22"/>
                <w:szCs w:val="22"/>
              </w:rPr>
              <w:t>Legislatively based criteria</w:t>
            </w:r>
          </w:p>
        </w:tc>
        <w:tc>
          <w:tcPr>
            <w:tcW w:w="5201" w:type="dxa"/>
            <w:tcBorders>
              <w:top w:val="single" w:sz="4" w:space="0" w:color="auto"/>
              <w:bottom w:val="single" w:sz="4" w:space="0" w:color="auto"/>
              <w:right w:val="single" w:sz="4" w:space="0" w:color="auto"/>
            </w:tcBorders>
            <w:shd w:val="clear" w:color="auto" w:fill="auto"/>
          </w:tcPr>
          <w:p w14:paraId="2B28A921" w14:textId="77777777" w:rsidR="008A1F5A" w:rsidRPr="005F62F4" w:rsidRDefault="008A1F5A" w:rsidP="0075478F">
            <w:pPr>
              <w:pStyle w:val="TableText"/>
              <w:spacing w:before="120" w:after="120"/>
              <w:rPr>
                <w:rFonts w:cstheme="minorHAnsi"/>
                <w:sz w:val="22"/>
                <w:szCs w:val="22"/>
              </w:rPr>
            </w:pPr>
          </w:p>
        </w:tc>
      </w:tr>
      <w:tr w:rsidR="008A1F5A" w:rsidRPr="005F62F4" w14:paraId="37C7E8B4" w14:textId="77777777" w:rsidTr="00B25159">
        <w:tc>
          <w:tcPr>
            <w:tcW w:w="451" w:type="dxa"/>
            <w:tcBorders>
              <w:top w:val="single" w:sz="4" w:space="0" w:color="auto"/>
              <w:left w:val="single" w:sz="4" w:space="0" w:color="auto"/>
              <w:bottom w:val="single" w:sz="4" w:space="0" w:color="auto"/>
            </w:tcBorders>
          </w:tcPr>
          <w:p w14:paraId="110742C1"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1</w:t>
            </w:r>
          </w:p>
        </w:tc>
        <w:tc>
          <w:tcPr>
            <w:tcW w:w="3699" w:type="dxa"/>
            <w:tcBorders>
              <w:top w:val="single" w:sz="4" w:space="0" w:color="auto"/>
              <w:bottom w:val="single" w:sz="4" w:space="0" w:color="auto"/>
            </w:tcBorders>
            <w:shd w:val="clear" w:color="auto" w:fill="auto"/>
          </w:tcPr>
          <w:p w14:paraId="5E98A50D"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The product must be entered and current on the Australian Register of Therapeutic Goods</w:t>
            </w:r>
          </w:p>
        </w:tc>
        <w:tc>
          <w:tcPr>
            <w:tcW w:w="5201" w:type="dxa"/>
            <w:tcBorders>
              <w:top w:val="single" w:sz="4" w:space="0" w:color="auto"/>
              <w:bottom w:val="single" w:sz="4" w:space="0" w:color="auto"/>
              <w:right w:val="single" w:sz="4" w:space="0" w:color="auto"/>
            </w:tcBorders>
            <w:shd w:val="clear" w:color="auto" w:fill="auto"/>
          </w:tcPr>
          <w:p w14:paraId="2100D3BE"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lang w:eastAsia="en-US"/>
              </w:rPr>
              <w:t xml:space="preserve">All therapeutic products must be included on the </w:t>
            </w:r>
            <w:r w:rsidRPr="005F62F4">
              <w:rPr>
                <w:rFonts w:cstheme="minorHAnsi"/>
                <w:sz w:val="22"/>
                <w:szCs w:val="22"/>
              </w:rPr>
              <w:t>Australian Register of Therapeutic Goods before they can be lawfully supplied in Australia</w:t>
            </w:r>
          </w:p>
        </w:tc>
      </w:tr>
      <w:tr w:rsidR="008A1F5A" w:rsidRPr="005F62F4" w14:paraId="145E8FA0" w14:textId="77777777" w:rsidTr="00B25159">
        <w:tc>
          <w:tcPr>
            <w:tcW w:w="451" w:type="dxa"/>
            <w:tcBorders>
              <w:top w:val="single" w:sz="4" w:space="0" w:color="auto"/>
              <w:left w:val="single" w:sz="4" w:space="0" w:color="auto"/>
              <w:bottom w:val="single" w:sz="4" w:space="0" w:color="auto"/>
            </w:tcBorders>
          </w:tcPr>
          <w:p w14:paraId="0B372293"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2</w:t>
            </w:r>
          </w:p>
        </w:tc>
        <w:tc>
          <w:tcPr>
            <w:tcW w:w="3699" w:type="dxa"/>
            <w:tcBorders>
              <w:top w:val="single" w:sz="4" w:space="0" w:color="auto"/>
              <w:bottom w:val="single" w:sz="4" w:space="0" w:color="auto"/>
            </w:tcBorders>
            <w:shd w:val="clear" w:color="auto" w:fill="auto"/>
          </w:tcPr>
          <w:p w14:paraId="5D362B6E"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The product must be provided to a person as part of an episode of hospital treatment or hospital-substitute treatment</w:t>
            </w:r>
          </w:p>
        </w:tc>
        <w:tc>
          <w:tcPr>
            <w:tcW w:w="5201" w:type="dxa"/>
            <w:tcBorders>
              <w:top w:val="single" w:sz="4" w:space="0" w:color="auto"/>
              <w:bottom w:val="single" w:sz="4" w:space="0" w:color="auto"/>
              <w:right w:val="single" w:sz="4" w:space="0" w:color="auto"/>
            </w:tcBorders>
            <w:shd w:val="clear" w:color="auto" w:fill="auto"/>
          </w:tcPr>
          <w:p w14:paraId="022D067D"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lang w:eastAsia="en-US"/>
              </w:rPr>
              <w:t xml:space="preserve">This is a requirement of item 4 of the table in subsection 72-1(2) of the </w:t>
            </w:r>
            <w:r w:rsidRPr="005F62F4">
              <w:rPr>
                <w:rStyle w:val="Emphasis"/>
                <w:rFonts w:cstheme="minorHAnsi"/>
                <w:sz w:val="22"/>
                <w:szCs w:val="22"/>
              </w:rPr>
              <w:t>Private Health Insurance Act 2007</w:t>
            </w:r>
          </w:p>
        </w:tc>
      </w:tr>
      <w:tr w:rsidR="008A1F5A" w:rsidRPr="005F62F4" w14:paraId="5F4992B5" w14:textId="77777777" w:rsidTr="00B25159">
        <w:tc>
          <w:tcPr>
            <w:tcW w:w="451" w:type="dxa"/>
            <w:tcBorders>
              <w:top w:val="single" w:sz="4" w:space="0" w:color="auto"/>
              <w:left w:val="single" w:sz="4" w:space="0" w:color="auto"/>
              <w:bottom w:val="single" w:sz="4" w:space="0" w:color="auto"/>
            </w:tcBorders>
          </w:tcPr>
          <w:p w14:paraId="0AB8B909"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3</w:t>
            </w:r>
          </w:p>
        </w:tc>
        <w:tc>
          <w:tcPr>
            <w:tcW w:w="3699" w:type="dxa"/>
            <w:tcBorders>
              <w:top w:val="single" w:sz="4" w:space="0" w:color="auto"/>
              <w:bottom w:val="single" w:sz="4" w:space="0" w:color="auto"/>
            </w:tcBorders>
            <w:shd w:val="clear" w:color="auto" w:fill="auto"/>
          </w:tcPr>
          <w:p w14:paraId="6B9F3275"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A Medicare benefit must be payable in respect of the professional service associated with the provision of the product (or the provision of the product is associated with podiatric treatment by an accredited podiatrist)</w:t>
            </w:r>
          </w:p>
        </w:tc>
        <w:tc>
          <w:tcPr>
            <w:tcW w:w="5201" w:type="dxa"/>
            <w:tcBorders>
              <w:top w:val="single" w:sz="4" w:space="0" w:color="auto"/>
              <w:bottom w:val="single" w:sz="4" w:space="0" w:color="auto"/>
              <w:right w:val="single" w:sz="4" w:space="0" w:color="auto"/>
            </w:tcBorders>
            <w:shd w:val="clear" w:color="auto" w:fill="auto"/>
          </w:tcPr>
          <w:p w14:paraId="555FA871"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lang w:eastAsia="en-US"/>
              </w:rPr>
              <w:t xml:space="preserve">This is a requirement of item 4 of the table in subsection 72-1(2) of the </w:t>
            </w:r>
            <w:r w:rsidRPr="005F62F4">
              <w:rPr>
                <w:rStyle w:val="Emphasis"/>
                <w:rFonts w:cstheme="minorHAnsi"/>
                <w:sz w:val="22"/>
                <w:szCs w:val="22"/>
              </w:rPr>
              <w:t>Private Health Insurance Act 2007</w:t>
            </w:r>
            <w:r w:rsidRPr="005F62F4">
              <w:rPr>
                <w:rFonts w:cstheme="minorHAnsi"/>
                <w:sz w:val="22"/>
                <w:szCs w:val="22"/>
                <w:lang w:eastAsia="en-US"/>
              </w:rPr>
              <w:t>. An exception to this rule is where the provision of the prosthesis is associated with podiatric treatment by an accredited podiatrist.</w:t>
            </w:r>
          </w:p>
          <w:p w14:paraId="51CDCD4B"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lang w:eastAsia="en-US"/>
              </w:rPr>
              <w:t xml:space="preserve">It is intended that a Medicare benefit should be payable under an item that is specific to </w:t>
            </w:r>
            <w:r w:rsidRPr="005F62F4">
              <w:rPr>
                <w:rFonts w:cstheme="minorHAnsi"/>
                <w:sz w:val="22"/>
                <w:szCs w:val="22"/>
              </w:rPr>
              <w:t>the procedure in which the product is ‘delivered’</w:t>
            </w:r>
          </w:p>
        </w:tc>
      </w:tr>
      <w:tr w:rsidR="008A1F5A" w:rsidRPr="005F62F4" w14:paraId="68BF3320" w14:textId="77777777" w:rsidTr="00B25159">
        <w:tc>
          <w:tcPr>
            <w:tcW w:w="4150" w:type="dxa"/>
            <w:gridSpan w:val="2"/>
            <w:tcBorders>
              <w:top w:val="single" w:sz="4" w:space="0" w:color="auto"/>
              <w:left w:val="single" w:sz="4" w:space="0" w:color="auto"/>
            </w:tcBorders>
          </w:tcPr>
          <w:p w14:paraId="248E0924" w14:textId="77777777" w:rsidR="008A1F5A" w:rsidRPr="005F62F4" w:rsidRDefault="008A1F5A" w:rsidP="0075478F">
            <w:pPr>
              <w:pStyle w:val="TableText"/>
              <w:spacing w:before="120" w:after="120"/>
              <w:rPr>
                <w:rFonts w:cstheme="minorHAnsi"/>
                <w:sz w:val="22"/>
                <w:szCs w:val="22"/>
              </w:rPr>
            </w:pPr>
            <w:r w:rsidRPr="005F62F4">
              <w:rPr>
                <w:rFonts w:cstheme="minorHAnsi"/>
                <w:b/>
                <w:sz w:val="22"/>
                <w:szCs w:val="22"/>
              </w:rPr>
              <w:t>Other criteria</w:t>
            </w:r>
          </w:p>
        </w:tc>
        <w:tc>
          <w:tcPr>
            <w:tcW w:w="5201" w:type="dxa"/>
            <w:tcBorders>
              <w:top w:val="single" w:sz="4" w:space="0" w:color="auto"/>
              <w:right w:val="single" w:sz="4" w:space="0" w:color="auto"/>
            </w:tcBorders>
            <w:shd w:val="clear" w:color="auto" w:fill="auto"/>
          </w:tcPr>
          <w:p w14:paraId="78016651" w14:textId="77777777" w:rsidR="008A1F5A" w:rsidRPr="005F62F4" w:rsidRDefault="008A1F5A" w:rsidP="0075478F">
            <w:pPr>
              <w:pStyle w:val="TableText"/>
              <w:spacing w:before="120" w:after="120"/>
              <w:rPr>
                <w:rFonts w:cstheme="minorHAnsi"/>
                <w:sz w:val="22"/>
                <w:szCs w:val="22"/>
              </w:rPr>
            </w:pPr>
          </w:p>
        </w:tc>
      </w:tr>
      <w:tr w:rsidR="008A1F5A" w:rsidRPr="005F62F4" w14:paraId="35E0BDB9" w14:textId="77777777" w:rsidTr="00B25159">
        <w:tc>
          <w:tcPr>
            <w:tcW w:w="451" w:type="dxa"/>
            <w:tcBorders>
              <w:top w:val="single" w:sz="4" w:space="0" w:color="auto"/>
              <w:left w:val="single" w:sz="4" w:space="0" w:color="auto"/>
            </w:tcBorders>
          </w:tcPr>
          <w:p w14:paraId="0A193CA7"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4</w:t>
            </w:r>
          </w:p>
        </w:tc>
        <w:tc>
          <w:tcPr>
            <w:tcW w:w="3699" w:type="dxa"/>
            <w:tcBorders>
              <w:top w:val="single" w:sz="4" w:space="0" w:color="auto"/>
            </w:tcBorders>
            <w:shd w:val="clear" w:color="auto" w:fill="auto"/>
          </w:tcPr>
          <w:p w14:paraId="053886F9"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The product should:</w:t>
            </w:r>
          </w:p>
        </w:tc>
        <w:tc>
          <w:tcPr>
            <w:tcW w:w="5201" w:type="dxa"/>
            <w:tcBorders>
              <w:top w:val="single" w:sz="4" w:space="0" w:color="auto"/>
              <w:right w:val="single" w:sz="4" w:space="0" w:color="auto"/>
            </w:tcBorders>
            <w:shd w:val="clear" w:color="auto" w:fill="auto"/>
          </w:tcPr>
          <w:p w14:paraId="649EA9B0" w14:textId="77777777" w:rsidR="008A1F5A" w:rsidRPr="005F62F4" w:rsidRDefault="008A1F5A" w:rsidP="0075478F">
            <w:pPr>
              <w:pStyle w:val="TableText"/>
              <w:spacing w:before="120" w:after="120"/>
              <w:rPr>
                <w:rFonts w:cstheme="minorHAnsi"/>
                <w:sz w:val="22"/>
                <w:szCs w:val="22"/>
              </w:rPr>
            </w:pPr>
          </w:p>
        </w:tc>
      </w:tr>
      <w:tr w:rsidR="008A1F5A" w:rsidRPr="005F62F4" w14:paraId="4555719E" w14:textId="77777777" w:rsidTr="00B25159">
        <w:tc>
          <w:tcPr>
            <w:tcW w:w="451" w:type="dxa"/>
            <w:tcBorders>
              <w:left w:val="single" w:sz="4" w:space="0" w:color="auto"/>
              <w:bottom w:val="single" w:sz="4" w:space="0" w:color="auto"/>
            </w:tcBorders>
          </w:tcPr>
          <w:p w14:paraId="09DB348F" w14:textId="77777777" w:rsidR="008A1F5A" w:rsidRPr="005F62F4" w:rsidRDefault="008A1F5A" w:rsidP="0075478F">
            <w:pPr>
              <w:pStyle w:val="TableText0"/>
              <w:keepNext w:val="0"/>
              <w:spacing w:before="120" w:after="120"/>
              <w:rPr>
                <w:rFonts w:asciiTheme="minorHAnsi" w:hAnsiTheme="minorHAnsi" w:cstheme="minorHAnsi"/>
                <w:sz w:val="22"/>
                <w:szCs w:val="22"/>
              </w:rPr>
            </w:pPr>
          </w:p>
        </w:tc>
        <w:tc>
          <w:tcPr>
            <w:tcW w:w="3699" w:type="dxa"/>
            <w:tcBorders>
              <w:bottom w:val="single" w:sz="4" w:space="0" w:color="auto"/>
            </w:tcBorders>
            <w:shd w:val="clear" w:color="auto" w:fill="auto"/>
          </w:tcPr>
          <w:p w14:paraId="397BF6F7" w14:textId="77777777" w:rsidR="008A1F5A" w:rsidRPr="005F62F4" w:rsidRDefault="008A1F5A" w:rsidP="0075478F">
            <w:pPr>
              <w:pStyle w:val="TableText0"/>
              <w:keepNext w:val="0"/>
              <w:spacing w:before="120" w:after="120"/>
              <w:ind w:left="400" w:hanging="400"/>
              <w:rPr>
                <w:rFonts w:asciiTheme="minorHAnsi" w:hAnsiTheme="minorHAnsi" w:cstheme="minorHAnsi"/>
                <w:sz w:val="22"/>
                <w:szCs w:val="22"/>
              </w:rPr>
            </w:pPr>
            <w:r w:rsidRPr="005F62F4">
              <w:rPr>
                <w:rFonts w:asciiTheme="minorHAnsi" w:hAnsiTheme="minorHAnsi" w:cstheme="minorHAnsi"/>
                <w:sz w:val="22"/>
                <w:szCs w:val="22"/>
              </w:rPr>
              <w:t>(a)</w:t>
            </w:r>
            <w:r w:rsidRPr="005F62F4">
              <w:rPr>
                <w:rFonts w:asciiTheme="minorHAnsi" w:hAnsiTheme="minorHAnsi" w:cstheme="minorHAnsi"/>
                <w:sz w:val="22"/>
                <w:szCs w:val="22"/>
              </w:rPr>
              <w:tab/>
              <w:t xml:space="preserve">be surgically implanted in the patient and be purposely designed </w:t>
            </w:r>
            <w:proofErr w:type="gramStart"/>
            <w:r w:rsidRPr="005F62F4">
              <w:rPr>
                <w:rFonts w:asciiTheme="minorHAnsi" w:hAnsiTheme="minorHAnsi" w:cstheme="minorHAnsi"/>
                <w:sz w:val="22"/>
                <w:szCs w:val="22"/>
              </w:rPr>
              <w:t>in order to</w:t>
            </w:r>
            <w:proofErr w:type="gramEnd"/>
          </w:p>
          <w:p w14:paraId="63BE313A" w14:textId="77777777" w:rsidR="008A1F5A" w:rsidRPr="005F62F4" w:rsidRDefault="008A1F5A" w:rsidP="0075478F">
            <w:pPr>
              <w:pStyle w:val="TableText0"/>
              <w:keepNext w:val="0"/>
              <w:spacing w:before="120" w:after="120"/>
              <w:ind w:left="825" w:hanging="425"/>
              <w:rPr>
                <w:rFonts w:asciiTheme="minorHAnsi" w:hAnsiTheme="minorHAnsi" w:cstheme="minorHAnsi"/>
                <w:sz w:val="22"/>
                <w:szCs w:val="22"/>
              </w:rPr>
            </w:pPr>
            <w:r w:rsidRPr="005F62F4">
              <w:rPr>
                <w:rFonts w:asciiTheme="minorHAnsi" w:hAnsiTheme="minorHAnsi" w:cstheme="minorHAnsi"/>
                <w:sz w:val="22"/>
                <w:szCs w:val="22"/>
              </w:rPr>
              <w:t>(</w:t>
            </w:r>
            <w:proofErr w:type="spellStart"/>
            <w:r w:rsidRPr="005F62F4">
              <w:rPr>
                <w:rFonts w:asciiTheme="minorHAnsi" w:hAnsiTheme="minorHAnsi" w:cstheme="minorHAnsi"/>
                <w:sz w:val="22"/>
                <w:szCs w:val="22"/>
              </w:rPr>
              <w:t>i</w:t>
            </w:r>
            <w:proofErr w:type="spellEnd"/>
            <w:r w:rsidRPr="005F62F4">
              <w:rPr>
                <w:rFonts w:asciiTheme="minorHAnsi" w:hAnsiTheme="minorHAnsi" w:cstheme="minorHAnsi"/>
                <w:sz w:val="22"/>
                <w:szCs w:val="22"/>
              </w:rPr>
              <w:t>)</w:t>
            </w:r>
            <w:r w:rsidRPr="005F62F4">
              <w:rPr>
                <w:rFonts w:asciiTheme="minorHAnsi" w:hAnsiTheme="minorHAnsi" w:cstheme="minorHAnsi"/>
                <w:sz w:val="22"/>
                <w:szCs w:val="22"/>
              </w:rPr>
              <w:tab/>
              <w:t>replace an anatomical body part; or</w:t>
            </w:r>
          </w:p>
          <w:p w14:paraId="12737390" w14:textId="77777777" w:rsidR="008A1F5A" w:rsidRPr="005F62F4" w:rsidRDefault="008A1F5A" w:rsidP="0075478F">
            <w:pPr>
              <w:pStyle w:val="TableText0"/>
              <w:keepNext w:val="0"/>
              <w:spacing w:before="120" w:after="120"/>
              <w:ind w:left="825" w:hanging="425"/>
              <w:rPr>
                <w:rFonts w:asciiTheme="minorHAnsi" w:hAnsiTheme="minorHAnsi" w:cstheme="minorHAnsi"/>
                <w:sz w:val="22"/>
                <w:szCs w:val="22"/>
              </w:rPr>
            </w:pPr>
            <w:r w:rsidRPr="005F62F4">
              <w:rPr>
                <w:rFonts w:asciiTheme="minorHAnsi" w:hAnsiTheme="minorHAnsi" w:cstheme="minorHAnsi"/>
                <w:sz w:val="22"/>
                <w:szCs w:val="22"/>
              </w:rPr>
              <w:t>(ii)</w:t>
            </w:r>
            <w:r w:rsidRPr="005F62F4">
              <w:rPr>
                <w:rFonts w:asciiTheme="minorHAnsi" w:hAnsiTheme="minorHAnsi" w:cstheme="minorHAnsi"/>
                <w:sz w:val="22"/>
                <w:szCs w:val="22"/>
              </w:rPr>
              <w:tab/>
              <w:t>combat a pathological process; or</w:t>
            </w:r>
          </w:p>
          <w:p w14:paraId="72250798" w14:textId="77777777" w:rsidR="008A1F5A" w:rsidRPr="005F62F4" w:rsidRDefault="008A1F5A" w:rsidP="0075478F">
            <w:pPr>
              <w:pStyle w:val="TableText0"/>
              <w:keepNext w:val="0"/>
              <w:spacing w:before="120" w:after="120"/>
              <w:ind w:left="825" w:hanging="425"/>
              <w:rPr>
                <w:rFonts w:asciiTheme="minorHAnsi" w:hAnsiTheme="minorHAnsi" w:cstheme="minorHAnsi"/>
                <w:sz w:val="22"/>
                <w:szCs w:val="22"/>
              </w:rPr>
            </w:pPr>
            <w:r w:rsidRPr="005F62F4">
              <w:rPr>
                <w:rFonts w:asciiTheme="minorHAnsi" w:hAnsiTheme="minorHAnsi" w:cstheme="minorHAnsi"/>
                <w:sz w:val="22"/>
                <w:szCs w:val="22"/>
              </w:rPr>
              <w:t>(iii)</w:t>
            </w:r>
            <w:r w:rsidRPr="005F62F4">
              <w:rPr>
                <w:rFonts w:asciiTheme="minorHAnsi" w:hAnsiTheme="minorHAnsi" w:cstheme="minorHAnsi"/>
                <w:sz w:val="22"/>
                <w:szCs w:val="22"/>
              </w:rPr>
              <w:tab/>
              <w:t>modulate a physiological process;</w:t>
            </w:r>
          </w:p>
        </w:tc>
        <w:tc>
          <w:tcPr>
            <w:tcW w:w="5201" w:type="dxa"/>
            <w:tcBorders>
              <w:bottom w:val="single" w:sz="4" w:space="0" w:color="auto"/>
              <w:right w:val="single" w:sz="4" w:space="0" w:color="auto"/>
            </w:tcBorders>
            <w:shd w:val="clear" w:color="auto" w:fill="auto"/>
          </w:tcPr>
          <w:p w14:paraId="11A13979" w14:textId="77777777" w:rsidR="008A1F5A" w:rsidRPr="005F62F4" w:rsidRDefault="008A1F5A" w:rsidP="0075478F">
            <w:pPr>
              <w:pStyle w:val="TableText"/>
              <w:spacing w:before="120" w:after="120"/>
              <w:rPr>
                <w:rFonts w:cstheme="minorHAnsi"/>
                <w:sz w:val="22"/>
                <w:szCs w:val="22"/>
                <w:lang w:eastAsia="en-US"/>
              </w:rPr>
            </w:pPr>
            <w:r w:rsidRPr="005F62F4">
              <w:rPr>
                <w:rFonts w:cstheme="minorHAnsi"/>
                <w:sz w:val="22"/>
                <w:szCs w:val="22"/>
              </w:rPr>
              <w:t>The word ‘surgically’ has been chosen to convey the intentio</w:t>
            </w:r>
            <w:r w:rsidRPr="005F62F4">
              <w:rPr>
                <w:rFonts w:cstheme="minorHAnsi"/>
                <w:sz w:val="22"/>
                <w:szCs w:val="22"/>
                <w:lang w:eastAsia="en-US"/>
              </w:rPr>
              <w:t>n that the product be provided through an interventional process, and ‘implanted’ has been chosen to convey that the interventional process breaches the interface (or integument) between the body and the outside world (</w:t>
            </w:r>
            <w:proofErr w:type="gramStart"/>
            <w:r w:rsidRPr="005F62F4">
              <w:rPr>
                <w:rFonts w:cstheme="minorHAnsi"/>
                <w:sz w:val="22"/>
                <w:szCs w:val="22"/>
                <w:lang w:eastAsia="en-US"/>
              </w:rPr>
              <w:t>i.e.</w:t>
            </w:r>
            <w:proofErr w:type="gramEnd"/>
            <w:r w:rsidRPr="005F62F4">
              <w:rPr>
                <w:rFonts w:cstheme="minorHAnsi"/>
                <w:sz w:val="22"/>
                <w:szCs w:val="22"/>
                <w:lang w:eastAsia="en-US"/>
              </w:rPr>
              <w:t xml:space="preserve"> the skin or other epithelial surfaces, such as the rectal mucosa). This is to distinguish Prostheses List products from those that are externally attached to the body, such as artificial limbs (which meet the ordinary dictionary meaning of prosthesis but are not items that are considered in the context of the Prostheses List).</w:t>
            </w:r>
          </w:p>
          <w:p w14:paraId="7126961E"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 xml:space="preserve">The term ‘surgically’ is not intended to limit the performance of the intervention to </w:t>
            </w:r>
            <w:proofErr w:type="gramStart"/>
            <w:r w:rsidRPr="005F62F4">
              <w:rPr>
                <w:rFonts w:cstheme="minorHAnsi"/>
                <w:sz w:val="22"/>
                <w:szCs w:val="22"/>
              </w:rPr>
              <w:t>surgeons, but</w:t>
            </w:r>
            <w:proofErr w:type="gramEnd"/>
            <w:r w:rsidRPr="005F62F4">
              <w:rPr>
                <w:rFonts w:cstheme="minorHAnsi"/>
                <w:sz w:val="22"/>
                <w:szCs w:val="22"/>
              </w:rPr>
              <w:t xml:space="preserve"> is meant in the broader sense of performance of an interventional procedure by a suitably qualified medical, dental or podiatrist practitioner.</w:t>
            </w:r>
          </w:p>
          <w:p w14:paraId="705A01D2"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lastRenderedPageBreak/>
              <w:t>Based on the ordinary dictionary meaning of implant, ‘implanted’ includes the implantation of tissues into the body, or an organ of the body, by grafting. Examples of tissues are harvested bone, heart valves and corneas.</w:t>
            </w:r>
          </w:p>
          <w:p w14:paraId="4804B81F"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 xml:space="preserve">A product that is implanted for the purpose of replacing an anatomical body part </w:t>
            </w:r>
            <w:proofErr w:type="gramStart"/>
            <w:r w:rsidRPr="005F62F4">
              <w:rPr>
                <w:rFonts w:cstheme="minorHAnsi"/>
                <w:sz w:val="22"/>
                <w:szCs w:val="22"/>
              </w:rPr>
              <w:t>is considered to be</w:t>
            </w:r>
            <w:proofErr w:type="gramEnd"/>
            <w:r w:rsidRPr="005F62F4">
              <w:rPr>
                <w:rFonts w:cstheme="minorHAnsi"/>
                <w:sz w:val="22"/>
                <w:szCs w:val="22"/>
              </w:rPr>
              <w:t xml:space="preserve"> a prosthesis. This includes products such as knee and hip replacements.</w:t>
            </w:r>
          </w:p>
          <w:p w14:paraId="78184736"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If an implanted product does not replace an anatomical body part, its principal function should be to either combat a pathological process or modulate a physiological process. ‘Combating a pathological process’ may include averting, repairing or correcting a pathological process; examples include cardiac and vascular stents, and cardiac defibrillators.</w:t>
            </w:r>
          </w:p>
          <w:p w14:paraId="5670ED89"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‘Modulating a physiological process’ can mean either blocking or facilitating a process. Examples are pacemakers (to regulate heartbeat) and nerve stimulators for pain management (modulates a physiological process and prevents a pathological process)</w:t>
            </w:r>
          </w:p>
        </w:tc>
      </w:tr>
      <w:tr w:rsidR="008A1F5A" w:rsidRPr="005F62F4" w14:paraId="09570BB4" w14:textId="77777777" w:rsidTr="00B25159">
        <w:tc>
          <w:tcPr>
            <w:tcW w:w="451" w:type="dxa"/>
            <w:tcBorders>
              <w:top w:val="single" w:sz="4" w:space="0" w:color="auto"/>
              <w:left w:val="single" w:sz="4" w:space="0" w:color="auto"/>
              <w:bottom w:val="single" w:sz="4" w:space="0" w:color="auto"/>
            </w:tcBorders>
          </w:tcPr>
          <w:p w14:paraId="79F493DC" w14:textId="77777777" w:rsidR="008A1F5A" w:rsidRPr="005F62F4" w:rsidRDefault="008A1F5A" w:rsidP="0075478F">
            <w:pPr>
              <w:pStyle w:val="TableText0"/>
              <w:keepNext w:val="0"/>
              <w:spacing w:before="120" w:after="120"/>
              <w:rPr>
                <w:rFonts w:asciiTheme="minorHAnsi" w:hAnsiTheme="minorHAnsi" w:cstheme="minorHAnsi"/>
                <w:sz w:val="22"/>
                <w:szCs w:val="22"/>
              </w:rPr>
            </w:pPr>
          </w:p>
        </w:tc>
        <w:tc>
          <w:tcPr>
            <w:tcW w:w="3699" w:type="dxa"/>
            <w:tcBorders>
              <w:top w:val="single" w:sz="4" w:space="0" w:color="auto"/>
              <w:bottom w:val="single" w:sz="4" w:space="0" w:color="auto"/>
            </w:tcBorders>
            <w:shd w:val="clear" w:color="auto" w:fill="auto"/>
          </w:tcPr>
          <w:p w14:paraId="36D95A7B" w14:textId="77777777" w:rsidR="008A1F5A" w:rsidRPr="005F62F4" w:rsidRDefault="008A1F5A" w:rsidP="0075478F">
            <w:pPr>
              <w:pStyle w:val="TableText0"/>
              <w:keepNext w:val="0"/>
              <w:spacing w:before="120" w:after="120"/>
              <w:rPr>
                <w:rFonts w:asciiTheme="minorHAnsi" w:hAnsiTheme="minorHAnsi" w:cstheme="minorHAnsi"/>
                <w:sz w:val="22"/>
                <w:szCs w:val="22"/>
              </w:rPr>
            </w:pPr>
            <w:r w:rsidRPr="005F62F4">
              <w:rPr>
                <w:rFonts w:asciiTheme="minorHAnsi" w:hAnsiTheme="minorHAnsi" w:cstheme="minorHAnsi"/>
                <w:sz w:val="22"/>
                <w:szCs w:val="22"/>
              </w:rPr>
              <w:t>or</w:t>
            </w:r>
          </w:p>
          <w:p w14:paraId="4B70E864" w14:textId="77777777" w:rsidR="008A1F5A" w:rsidRPr="005F62F4" w:rsidRDefault="008A1F5A" w:rsidP="0075478F">
            <w:pPr>
              <w:pStyle w:val="TableText0"/>
              <w:keepNext w:val="0"/>
              <w:spacing w:before="120" w:after="120"/>
              <w:ind w:left="400" w:hanging="400"/>
              <w:rPr>
                <w:rFonts w:asciiTheme="minorHAnsi" w:hAnsiTheme="minorHAnsi" w:cstheme="minorHAnsi"/>
                <w:sz w:val="22"/>
                <w:szCs w:val="22"/>
              </w:rPr>
            </w:pPr>
            <w:r w:rsidRPr="005F62F4">
              <w:rPr>
                <w:rFonts w:asciiTheme="minorHAnsi" w:hAnsiTheme="minorHAnsi" w:cstheme="minorHAnsi"/>
                <w:sz w:val="22"/>
                <w:szCs w:val="22"/>
              </w:rPr>
              <w:t xml:space="preserve">(b) </w:t>
            </w:r>
            <w:r w:rsidRPr="005F62F4">
              <w:rPr>
                <w:rFonts w:asciiTheme="minorHAnsi" w:hAnsiTheme="minorHAnsi" w:cstheme="minorHAnsi"/>
                <w:sz w:val="22"/>
                <w:szCs w:val="22"/>
              </w:rPr>
              <w:tab/>
              <w:t>be essential to and specifically designed as an integral single-use aid for implanting a product, described in (a) (</w:t>
            </w:r>
            <w:proofErr w:type="spellStart"/>
            <w:r w:rsidRPr="005F62F4">
              <w:rPr>
                <w:rFonts w:asciiTheme="minorHAnsi" w:hAnsiTheme="minorHAnsi" w:cstheme="minorHAnsi"/>
                <w:sz w:val="22"/>
                <w:szCs w:val="22"/>
              </w:rPr>
              <w:t>i</w:t>
            </w:r>
            <w:proofErr w:type="spellEnd"/>
            <w:r w:rsidRPr="005F62F4">
              <w:rPr>
                <w:rFonts w:asciiTheme="minorHAnsi" w:hAnsiTheme="minorHAnsi" w:cstheme="minorHAnsi"/>
                <w:sz w:val="22"/>
                <w:szCs w:val="22"/>
              </w:rPr>
              <w:t>), (ii) or (iii) above, which is only suitable for use with the patient in whom that product is implanted</w:t>
            </w:r>
          </w:p>
        </w:tc>
        <w:tc>
          <w:tcPr>
            <w:tcW w:w="5201" w:type="dxa"/>
            <w:tcBorders>
              <w:top w:val="single" w:sz="4" w:space="0" w:color="auto"/>
              <w:bottom w:val="single" w:sz="4" w:space="0" w:color="auto"/>
              <w:right w:val="single" w:sz="4" w:space="0" w:color="auto"/>
            </w:tcBorders>
            <w:shd w:val="clear" w:color="auto" w:fill="auto"/>
          </w:tcPr>
          <w:p w14:paraId="459017A6"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This criterion is for associated products that are essential and manufactured specifically to enable the delivery of a product that meets the criteria above.</w:t>
            </w:r>
          </w:p>
          <w:p w14:paraId="43E8148B"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Associated products (as opposed to equipment) are only for use once in a patient, have a unique and direct connection to the product and are integral to implanting the product into the patient. This does not include products whose use is of a more general nature (</w:t>
            </w:r>
            <w:proofErr w:type="gramStart"/>
            <w:r w:rsidRPr="005F62F4">
              <w:rPr>
                <w:rFonts w:cstheme="minorHAnsi"/>
                <w:sz w:val="22"/>
                <w:szCs w:val="22"/>
              </w:rPr>
              <w:t>e.g.</w:t>
            </w:r>
            <w:proofErr w:type="gramEnd"/>
            <w:r w:rsidRPr="005F62F4">
              <w:rPr>
                <w:rFonts w:cstheme="minorHAnsi"/>
                <w:sz w:val="22"/>
                <w:szCs w:val="22"/>
              </w:rPr>
              <w:t> sutures, scalpels, trocars).</w:t>
            </w:r>
          </w:p>
          <w:p w14:paraId="3968FF26"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 xml:space="preserve">‘Only for use once’ means that, once used, the associated product is of no further use. That is, it is incapable of further use, and may only be discarded. It does not have a general-purpose use. An example is a preloaded coronary stent that is supplied fixed on a balloon catheter that is needed for positioning and implanting the stent. Without the balloon catheter, the stent is unable to be satisfactorily implanted. The catheter is specific and integral to the </w:t>
            </w:r>
            <w:proofErr w:type="gramStart"/>
            <w:r w:rsidRPr="005F62F4">
              <w:rPr>
                <w:rFonts w:cstheme="minorHAnsi"/>
                <w:sz w:val="22"/>
                <w:szCs w:val="22"/>
              </w:rPr>
              <w:t>particular stent</w:t>
            </w:r>
            <w:proofErr w:type="gramEnd"/>
            <w:r w:rsidRPr="005F62F4">
              <w:rPr>
                <w:rFonts w:cstheme="minorHAnsi"/>
                <w:sz w:val="22"/>
                <w:szCs w:val="22"/>
              </w:rPr>
              <w:t>.</w:t>
            </w:r>
          </w:p>
          <w:p w14:paraId="0C1128CE"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lastRenderedPageBreak/>
              <w:t xml:space="preserve">Neither the packaging of the associated product with the subject product nor </w:t>
            </w:r>
            <w:proofErr w:type="gramStart"/>
            <w:r w:rsidRPr="005F62F4">
              <w:rPr>
                <w:rFonts w:cstheme="minorHAnsi"/>
                <w:sz w:val="22"/>
                <w:szCs w:val="22"/>
              </w:rPr>
              <w:t>its</w:t>
            </w:r>
            <w:proofErr w:type="gramEnd"/>
            <w:r w:rsidRPr="005F62F4">
              <w:rPr>
                <w:rFonts w:cstheme="minorHAnsi"/>
                <w:sz w:val="22"/>
                <w:szCs w:val="22"/>
              </w:rPr>
              <w:t xml:space="preserve"> labelling as ‘single use only’ will be sufficient to determine compliance with this criterion. That is, even if the product has a manufacturer’s stamp of ‘single use only’, if the product can be reused for a practical purpose or has a purpose that is not specific to the implanted product (</w:t>
            </w:r>
            <w:proofErr w:type="gramStart"/>
            <w:r w:rsidRPr="005F62F4">
              <w:rPr>
                <w:rFonts w:cstheme="minorHAnsi"/>
                <w:sz w:val="22"/>
                <w:szCs w:val="22"/>
              </w:rPr>
              <w:t>e.g.</w:t>
            </w:r>
            <w:proofErr w:type="gramEnd"/>
            <w:r w:rsidRPr="005F62F4">
              <w:rPr>
                <w:rFonts w:cstheme="minorHAnsi"/>
                <w:sz w:val="22"/>
                <w:szCs w:val="22"/>
              </w:rPr>
              <w:t xml:space="preserve"> a screwdriver is of a general nature and not specific, even where a screw is to be implanted), then the criterion is not met</w:t>
            </w:r>
          </w:p>
        </w:tc>
      </w:tr>
      <w:tr w:rsidR="008A1F5A" w:rsidRPr="005F62F4" w14:paraId="3411D07C" w14:textId="77777777" w:rsidTr="00B25159">
        <w:tc>
          <w:tcPr>
            <w:tcW w:w="451" w:type="dxa"/>
            <w:tcBorders>
              <w:top w:val="single" w:sz="4" w:space="0" w:color="auto"/>
              <w:left w:val="single" w:sz="4" w:space="0" w:color="auto"/>
              <w:bottom w:val="single" w:sz="4" w:space="0" w:color="auto"/>
            </w:tcBorders>
          </w:tcPr>
          <w:p w14:paraId="6B68B9F3" w14:textId="77777777" w:rsidR="008A1F5A" w:rsidRPr="005F62F4" w:rsidRDefault="008A1F5A" w:rsidP="0075478F">
            <w:pPr>
              <w:pStyle w:val="TableText0"/>
              <w:keepNext w:val="0"/>
              <w:spacing w:before="120" w:after="120"/>
              <w:rPr>
                <w:rFonts w:asciiTheme="minorHAnsi" w:hAnsiTheme="minorHAnsi" w:cstheme="minorHAnsi"/>
                <w:sz w:val="22"/>
                <w:szCs w:val="22"/>
              </w:rPr>
            </w:pPr>
          </w:p>
        </w:tc>
        <w:tc>
          <w:tcPr>
            <w:tcW w:w="3699" w:type="dxa"/>
            <w:tcBorders>
              <w:top w:val="single" w:sz="4" w:space="0" w:color="auto"/>
              <w:bottom w:val="single" w:sz="4" w:space="0" w:color="auto"/>
            </w:tcBorders>
            <w:shd w:val="clear" w:color="auto" w:fill="auto"/>
          </w:tcPr>
          <w:p w14:paraId="2BB29D02" w14:textId="77777777" w:rsidR="008A1F5A" w:rsidRPr="005F62F4" w:rsidRDefault="008A1F5A" w:rsidP="0075478F">
            <w:pPr>
              <w:pStyle w:val="TableText0"/>
              <w:keepNext w:val="0"/>
              <w:spacing w:before="120" w:after="120"/>
              <w:rPr>
                <w:rFonts w:asciiTheme="minorHAnsi" w:hAnsiTheme="minorHAnsi" w:cstheme="minorHAnsi"/>
                <w:sz w:val="22"/>
                <w:szCs w:val="22"/>
              </w:rPr>
            </w:pPr>
            <w:r w:rsidRPr="005F62F4">
              <w:rPr>
                <w:rFonts w:asciiTheme="minorHAnsi" w:hAnsiTheme="minorHAnsi" w:cstheme="minorHAnsi"/>
                <w:sz w:val="22"/>
                <w:szCs w:val="22"/>
              </w:rPr>
              <w:t>or</w:t>
            </w:r>
          </w:p>
          <w:p w14:paraId="7E3E27C5" w14:textId="77777777" w:rsidR="008A1F5A" w:rsidRPr="005F62F4" w:rsidRDefault="008A1F5A" w:rsidP="0075478F">
            <w:pPr>
              <w:pStyle w:val="TableText0"/>
              <w:keepNext w:val="0"/>
              <w:spacing w:before="120" w:after="120"/>
              <w:ind w:left="400" w:hanging="400"/>
              <w:rPr>
                <w:rFonts w:asciiTheme="minorHAnsi" w:hAnsiTheme="minorHAnsi" w:cstheme="minorHAnsi"/>
                <w:sz w:val="22"/>
                <w:szCs w:val="22"/>
              </w:rPr>
            </w:pPr>
            <w:r w:rsidRPr="005F62F4">
              <w:rPr>
                <w:rFonts w:asciiTheme="minorHAnsi" w:hAnsiTheme="minorHAnsi" w:cstheme="minorHAnsi"/>
                <w:sz w:val="22"/>
                <w:szCs w:val="22"/>
              </w:rPr>
              <w:t xml:space="preserve">(c) </w:t>
            </w:r>
            <w:r w:rsidRPr="005F62F4">
              <w:rPr>
                <w:rFonts w:asciiTheme="minorHAnsi" w:hAnsiTheme="minorHAnsi" w:cstheme="minorHAnsi"/>
                <w:sz w:val="22"/>
                <w:szCs w:val="22"/>
              </w:rPr>
              <w:tab/>
              <w:t>be critical to the continuing function of the surgically implanted product to achieve (</w:t>
            </w:r>
            <w:proofErr w:type="spellStart"/>
            <w:r w:rsidRPr="005F62F4">
              <w:rPr>
                <w:rFonts w:asciiTheme="minorHAnsi" w:hAnsiTheme="minorHAnsi" w:cstheme="minorHAnsi"/>
                <w:sz w:val="22"/>
                <w:szCs w:val="22"/>
              </w:rPr>
              <w:t>i</w:t>
            </w:r>
            <w:proofErr w:type="spellEnd"/>
            <w:r w:rsidRPr="005F62F4">
              <w:rPr>
                <w:rFonts w:asciiTheme="minorHAnsi" w:hAnsiTheme="minorHAnsi" w:cstheme="minorHAnsi"/>
                <w:sz w:val="22"/>
                <w:szCs w:val="22"/>
              </w:rPr>
              <w:t>), (ii) or (iii) above and which is only suitable for use by the patient in whom that product is implanted; and</w:t>
            </w:r>
          </w:p>
        </w:tc>
        <w:tc>
          <w:tcPr>
            <w:tcW w:w="5201" w:type="dxa"/>
            <w:tcBorders>
              <w:top w:val="single" w:sz="4" w:space="0" w:color="auto"/>
              <w:bottom w:val="single" w:sz="4" w:space="0" w:color="auto"/>
              <w:right w:val="single" w:sz="4" w:space="0" w:color="auto"/>
            </w:tcBorders>
            <w:shd w:val="clear" w:color="auto" w:fill="auto"/>
          </w:tcPr>
          <w:p w14:paraId="3188ACCC"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This criterion is for associated products that can only be used by the patient for whom they are provided because of their connection to the product that has been implanted in the patient. These products are critical to the continuing function of the implanted prosthesis and remain with the patient, as part of the prosthesis, after the episode of hospital treatment or hospital-substitute treatment. On their own, these products would not otherwise meet the criteria for listing on the Prostheses List. Examples are processors that are a critical element of the functioning of the implanted product, such as cochlear speech processors and patient-controlled products for pacemakers.</w:t>
            </w:r>
          </w:p>
          <w:p w14:paraId="6359EE3E"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 xml:space="preserve">Under this criterion, the associated product must have an ongoing role in the function of the implanted product and not be a generic disposable or consumable item. Batteries, catheters, cannulas and similar accessories whose association with the implanted product is not ongoing </w:t>
            </w:r>
            <w:proofErr w:type="gramStart"/>
            <w:r w:rsidRPr="005F62F4">
              <w:rPr>
                <w:rFonts w:cstheme="minorHAnsi"/>
                <w:sz w:val="22"/>
                <w:szCs w:val="22"/>
              </w:rPr>
              <w:t>are considered to be</w:t>
            </w:r>
            <w:proofErr w:type="gramEnd"/>
            <w:r w:rsidRPr="005F62F4">
              <w:rPr>
                <w:rFonts w:cstheme="minorHAnsi"/>
                <w:sz w:val="22"/>
                <w:szCs w:val="22"/>
              </w:rPr>
              <w:t xml:space="preserve"> disposable products under this criterion.</w:t>
            </w:r>
          </w:p>
          <w:p w14:paraId="0C159C17"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The product’s use is also restricted to an individual patient; the product cannot be one that may be used by more than one patient. For example, office-based equipment to read and download information from implanted ECG loop recorders, which is used in multiple patients, would not meet this criterion</w:t>
            </w:r>
          </w:p>
        </w:tc>
      </w:tr>
      <w:tr w:rsidR="008A1F5A" w:rsidRPr="00150970" w14:paraId="04C808B3" w14:textId="77777777" w:rsidTr="00B25159">
        <w:trPr>
          <w:cantSplit/>
        </w:trPr>
        <w:tc>
          <w:tcPr>
            <w:tcW w:w="451" w:type="dxa"/>
            <w:tcBorders>
              <w:top w:val="single" w:sz="4" w:space="0" w:color="auto"/>
              <w:left w:val="single" w:sz="4" w:space="0" w:color="auto"/>
              <w:bottom w:val="single" w:sz="4" w:space="0" w:color="auto"/>
            </w:tcBorders>
          </w:tcPr>
          <w:p w14:paraId="2A77EC61" w14:textId="77777777" w:rsidR="008A1F5A" w:rsidRPr="005F62F4" w:rsidRDefault="008A1F5A" w:rsidP="0075478F">
            <w:pPr>
              <w:pStyle w:val="TableNumberedList"/>
              <w:spacing w:before="120" w:after="120"/>
              <w:rPr>
                <w:rFonts w:asciiTheme="minorHAnsi" w:hAnsiTheme="minorHAnsi" w:cstheme="minorHAnsi"/>
                <w:sz w:val="22"/>
                <w:szCs w:val="22"/>
              </w:rPr>
            </w:pPr>
            <w:r w:rsidRPr="005F62F4">
              <w:rPr>
                <w:rFonts w:asciiTheme="minorHAnsi" w:hAnsiTheme="minorHAnsi" w:cstheme="minorHAnsi"/>
                <w:sz w:val="22"/>
                <w:szCs w:val="22"/>
              </w:rPr>
              <w:lastRenderedPageBreak/>
              <w:t>5</w:t>
            </w:r>
          </w:p>
        </w:tc>
        <w:tc>
          <w:tcPr>
            <w:tcW w:w="3699" w:type="dxa"/>
            <w:tcBorders>
              <w:top w:val="single" w:sz="4" w:space="0" w:color="auto"/>
              <w:bottom w:val="single" w:sz="4" w:space="0" w:color="auto"/>
            </w:tcBorders>
            <w:shd w:val="clear" w:color="auto" w:fill="auto"/>
          </w:tcPr>
          <w:p w14:paraId="55B41C14" w14:textId="77777777" w:rsidR="008A1F5A" w:rsidRPr="005F62F4" w:rsidRDefault="008A1F5A" w:rsidP="0075478F">
            <w:pPr>
              <w:pStyle w:val="TableNumberedList"/>
              <w:spacing w:before="120" w:after="120"/>
              <w:rPr>
                <w:rFonts w:asciiTheme="minorHAnsi" w:hAnsiTheme="minorHAnsi" w:cstheme="minorHAnsi"/>
                <w:sz w:val="22"/>
                <w:szCs w:val="22"/>
              </w:rPr>
            </w:pPr>
            <w:r w:rsidRPr="005F62F4">
              <w:rPr>
                <w:rFonts w:asciiTheme="minorHAnsi" w:hAnsiTheme="minorHAnsi" w:cstheme="minorHAnsi"/>
                <w:sz w:val="22"/>
                <w:szCs w:val="22"/>
              </w:rPr>
              <w:t>The product has been compared to alternative products on the Prostheses List or alternative treatments and</w:t>
            </w:r>
          </w:p>
          <w:p w14:paraId="79A6191B" w14:textId="77777777" w:rsidR="008A1F5A" w:rsidRPr="005F62F4" w:rsidRDefault="008A1F5A" w:rsidP="0075478F">
            <w:pPr>
              <w:pStyle w:val="TableText0"/>
              <w:keepNext w:val="0"/>
              <w:spacing w:before="120" w:after="120"/>
              <w:ind w:left="400" w:hanging="400"/>
              <w:rPr>
                <w:rFonts w:asciiTheme="minorHAnsi" w:hAnsiTheme="minorHAnsi" w:cstheme="minorHAnsi"/>
                <w:sz w:val="22"/>
                <w:szCs w:val="22"/>
              </w:rPr>
            </w:pPr>
            <w:r w:rsidRPr="005F62F4">
              <w:rPr>
                <w:rFonts w:asciiTheme="minorHAnsi" w:hAnsiTheme="minorHAnsi" w:cstheme="minorHAnsi"/>
                <w:sz w:val="22"/>
                <w:szCs w:val="22"/>
              </w:rPr>
              <w:t>(</w:t>
            </w:r>
            <w:proofErr w:type="spellStart"/>
            <w:r w:rsidRPr="005F62F4">
              <w:rPr>
                <w:rFonts w:asciiTheme="minorHAnsi" w:hAnsiTheme="minorHAnsi" w:cstheme="minorHAnsi"/>
                <w:sz w:val="22"/>
                <w:szCs w:val="22"/>
              </w:rPr>
              <w:t>i</w:t>
            </w:r>
            <w:proofErr w:type="spellEnd"/>
            <w:r w:rsidRPr="005F62F4">
              <w:rPr>
                <w:rFonts w:asciiTheme="minorHAnsi" w:hAnsiTheme="minorHAnsi" w:cstheme="minorHAnsi"/>
                <w:sz w:val="22"/>
                <w:szCs w:val="22"/>
              </w:rPr>
              <w:t>)</w:t>
            </w:r>
            <w:r w:rsidRPr="005F62F4">
              <w:rPr>
                <w:rFonts w:asciiTheme="minorHAnsi" w:hAnsiTheme="minorHAnsi" w:cstheme="minorHAnsi"/>
                <w:sz w:val="22"/>
                <w:szCs w:val="22"/>
              </w:rPr>
              <w:tab/>
              <w:t>assessed as being, at least, non-inferior in terms of clinical effectiveness; and</w:t>
            </w:r>
          </w:p>
          <w:p w14:paraId="741E2BF3" w14:textId="77777777" w:rsidR="008A1F5A" w:rsidRPr="005F62F4" w:rsidRDefault="008A1F5A" w:rsidP="0075478F">
            <w:pPr>
              <w:pStyle w:val="TableText0"/>
              <w:keepNext w:val="0"/>
              <w:spacing w:before="120" w:after="120"/>
              <w:ind w:left="400" w:hanging="400"/>
              <w:rPr>
                <w:rFonts w:asciiTheme="minorHAnsi" w:hAnsiTheme="minorHAnsi" w:cstheme="minorHAnsi"/>
                <w:sz w:val="22"/>
                <w:szCs w:val="22"/>
              </w:rPr>
            </w:pPr>
            <w:r w:rsidRPr="005F62F4">
              <w:rPr>
                <w:rFonts w:asciiTheme="minorHAnsi" w:hAnsiTheme="minorHAnsi" w:cstheme="minorHAnsi"/>
                <w:sz w:val="22"/>
                <w:szCs w:val="22"/>
              </w:rPr>
              <w:t>(ii)</w:t>
            </w:r>
            <w:r w:rsidRPr="005F62F4">
              <w:rPr>
                <w:rFonts w:asciiTheme="minorHAnsi" w:hAnsiTheme="minorHAnsi" w:cstheme="minorHAnsi"/>
                <w:sz w:val="22"/>
                <w:szCs w:val="22"/>
              </w:rPr>
              <w:tab/>
              <w:t>the cost of the product is relative to its clinical effectiveness.</w:t>
            </w:r>
          </w:p>
        </w:tc>
        <w:tc>
          <w:tcPr>
            <w:tcW w:w="5201" w:type="dxa"/>
            <w:tcBorders>
              <w:top w:val="single" w:sz="4" w:space="0" w:color="auto"/>
              <w:bottom w:val="single" w:sz="4" w:space="0" w:color="auto"/>
              <w:right w:val="single" w:sz="4" w:space="0" w:color="auto"/>
            </w:tcBorders>
            <w:shd w:val="clear" w:color="auto" w:fill="auto"/>
          </w:tcPr>
          <w:p w14:paraId="4488EEF5"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This criterion is included with the intention that clinical effectiveness and relative cost be considered.</w:t>
            </w:r>
          </w:p>
          <w:p w14:paraId="5443F336"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The term ‘alternative treatments’ is included to allow for entirely new products or technology to be compared with current treatments for the same clinical condition, as it is anticipated that not all products to be considered will have an existing counterpart on the Prostheses List. For example, when cochlear implants were first introduced, the comparator would have been a conventional hearing aid or no hearing assistance at all; when pins and plates were introduced to treat fractured femurs, the comparator would have been use of an external splint and bed rest for 10 weeks.</w:t>
            </w:r>
          </w:p>
          <w:p w14:paraId="4DD64006" w14:textId="77777777" w:rsidR="008A1F5A" w:rsidRPr="005F62F4" w:rsidRDefault="008A1F5A" w:rsidP="0075478F">
            <w:pPr>
              <w:pStyle w:val="TableText"/>
              <w:spacing w:before="120" w:after="120"/>
              <w:rPr>
                <w:rFonts w:cstheme="minorHAnsi"/>
                <w:sz w:val="22"/>
                <w:szCs w:val="22"/>
              </w:rPr>
            </w:pPr>
            <w:r w:rsidRPr="005F62F4">
              <w:rPr>
                <w:rFonts w:cstheme="minorHAnsi"/>
                <w:sz w:val="22"/>
                <w:szCs w:val="22"/>
              </w:rPr>
              <w:t>The word ‘similar’ is used because it is impossible to state that one product is exactly ‘equal’ to another product when considering clinical effectiveness.</w:t>
            </w:r>
          </w:p>
          <w:p w14:paraId="2F63051D" w14:textId="74347EBE" w:rsidR="008A1F5A" w:rsidRPr="0075478F" w:rsidRDefault="008A1F5A" w:rsidP="0075478F">
            <w:pPr>
              <w:pStyle w:val="TableText"/>
              <w:spacing w:before="120" w:after="120"/>
              <w:rPr>
                <w:rFonts w:cstheme="minorHAnsi"/>
                <w:sz w:val="22"/>
                <w:szCs w:val="22"/>
              </w:rPr>
            </w:pPr>
            <w:r w:rsidRPr="005F62F4">
              <w:rPr>
                <w:rFonts w:cstheme="minorHAnsi"/>
                <w:sz w:val="22"/>
                <w:szCs w:val="22"/>
              </w:rPr>
              <w:t>The assessment procedure for consideration of products for inclusion on the Prostheses List does not involve analysis of cost</w:t>
            </w:r>
            <w:r w:rsidR="00B17A0F">
              <w:rPr>
                <w:rFonts w:cstheme="minorHAnsi"/>
                <w:sz w:val="22"/>
                <w:szCs w:val="22"/>
              </w:rPr>
              <w:t xml:space="preserve"> </w:t>
            </w:r>
            <w:r w:rsidRPr="005F62F4">
              <w:rPr>
                <w:rFonts w:cstheme="minorHAnsi"/>
                <w:sz w:val="22"/>
                <w:szCs w:val="22"/>
              </w:rPr>
              <w:t>effectiveness; therefore, the term ‘cost-effective’ is not used. However, a product’s cost should be considered relative to alternative products or treatments, and relative to its clinical effectiveness compared with those alternative products or treatments</w:t>
            </w:r>
          </w:p>
        </w:tc>
      </w:tr>
    </w:tbl>
    <w:p w14:paraId="2EB3E0FB" w14:textId="77777777" w:rsidR="00F47DF5" w:rsidRPr="00150970" w:rsidRDefault="00F47DF5" w:rsidP="0075478F"/>
    <w:sectPr w:rsidR="00F47DF5" w:rsidRPr="00150970" w:rsidSect="00980E70">
      <w:pgSz w:w="11906" w:h="16838"/>
      <w:pgMar w:top="1134" w:right="1134" w:bottom="1134"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2A529E" w14:textId="77777777" w:rsidR="007C4C57" w:rsidRDefault="007C4C57" w:rsidP="00131A64">
      <w:r>
        <w:separator/>
      </w:r>
    </w:p>
  </w:endnote>
  <w:endnote w:type="continuationSeparator" w:id="0">
    <w:p w14:paraId="0D345FCA" w14:textId="77777777" w:rsidR="007C4C57" w:rsidRDefault="007C4C57" w:rsidP="00131A64">
      <w:r>
        <w:continuationSeparator/>
      </w:r>
    </w:p>
  </w:endnote>
  <w:endnote w:type="continuationNotice" w:id="1">
    <w:p w14:paraId="432660BE" w14:textId="77777777" w:rsidR="007C4C57" w:rsidRDefault="007C4C5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Black">
    <w:panose1 w:val="020B0A02040204020203"/>
    <w:charset w:val="00"/>
    <w:family w:val="swiss"/>
    <w:pitch w:val="variable"/>
    <w:sig w:usb0="E00002FF" w:usb1="4000E47F" w:usb2="00000021" w:usb3="00000000" w:csb0="0000019F" w:csb1="00000000"/>
  </w:font>
  <w:font w:name="CIDFont+F4">
    <w:altName w:val="PMingLiU"/>
    <w:panose1 w:val="00000000000000000000"/>
    <w:charset w:val="88"/>
    <w:family w:val="auto"/>
    <w:notTrueType/>
    <w:pitch w:val="default"/>
    <w:sig w:usb0="00000001" w:usb1="08080000" w:usb2="00000010" w:usb3="00000000" w:csb0="00100000" w:csb1="00000000"/>
  </w:font>
  <w:font w:name="Wingdings 3">
    <w:panose1 w:val="050401020108070707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Bold">
    <w:panose1 w:val="00000000000000000000"/>
    <w:charset w:val="00"/>
    <w:family w:val="auto"/>
    <w:notTrueType/>
    <w:pitch w:val="default"/>
    <w:sig w:usb0="32701E17" w:usb1="0A8F1B9C" w:usb2="00000000" w:usb3="00000006" w:csb0="00000006" w:csb1="326F7E7E"/>
  </w:font>
  <w:font w:name="Tahoma">
    <w:panose1 w:val="020B0604030504040204"/>
    <w:charset w:val="00"/>
    <w:family w:val="swiss"/>
    <w:pitch w:val="variable"/>
    <w:sig w:usb0="E1002EFF" w:usb1="C000605B" w:usb2="00000029" w:usb3="00000000" w:csb0="0001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Roboto Light">
    <w:charset w:val="00"/>
    <w:family w:val="auto"/>
    <w:pitch w:val="variable"/>
    <w:sig w:usb0="E0000AFF" w:usb1="5000217F" w:usb2="00000021" w:usb3="00000000" w:csb0="0000019F" w:csb1="00000000"/>
  </w:font>
  <w:font w:name="Arial Unicode MS">
    <w:panose1 w:val="020B0604020202020204"/>
    <w:charset w:val="00"/>
    <w:family w:val="roman"/>
    <w:pitch w:val="variable"/>
    <w:sig w:usb0="00000003" w:usb1="00000000" w:usb2="00000000" w:usb3="00000000" w:csb0="00000001" w:csb1="00000000"/>
  </w:font>
  <w:font w:name="Helvetica Neue Light">
    <w:charset w:val="00"/>
    <w:family w:val="auto"/>
    <w:pitch w:val="variable"/>
    <w:sig w:usb0="A00002FF" w:usb1="5000205B" w:usb2="00000002" w:usb3="00000000" w:csb0="0000000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16190282"/>
      <w:docPartObj>
        <w:docPartGallery w:val="Page Numbers (Bottom of Page)"/>
        <w:docPartUnique/>
      </w:docPartObj>
    </w:sdtPr>
    <w:sdtEndPr>
      <w:rPr>
        <w:noProof/>
      </w:rPr>
    </w:sdtEndPr>
    <w:sdtContent>
      <w:p w14:paraId="377FC35A" w14:textId="64DB569E" w:rsidR="00AB0E5F" w:rsidRPr="00212FCE" w:rsidRDefault="009B6C04">
        <w:pPr>
          <w:pStyle w:val="Footer"/>
        </w:pPr>
        <w:r w:rsidRPr="00DC339F">
          <w:t xml:space="preserve">Prostheses List Post Listing Review – Review of surgical guides and </w:t>
        </w:r>
        <w:proofErr w:type="spellStart"/>
        <w:r w:rsidRPr="00DC339F">
          <w:t>biomodels</w:t>
        </w:r>
        <w:proofErr w:type="spellEnd"/>
        <w:r w:rsidR="00DC339F" w:rsidRPr="00DC339F">
          <w:t xml:space="preserve"> </w:t>
        </w:r>
        <w:r w:rsidR="00DC339F" w:rsidRPr="009D03E2">
          <w:rPr>
            <w:color w:val="0070C0"/>
          </w:rPr>
          <w:t>|</w:t>
        </w:r>
        <w:r w:rsidR="00DC339F">
          <w:rPr>
            <w:rStyle w:val="cf01"/>
          </w:rPr>
          <w:t xml:space="preserve"> </w:t>
        </w:r>
        <w:r w:rsidR="00AB0E5F" w:rsidRPr="00212FCE">
          <w:fldChar w:fldCharType="begin"/>
        </w:r>
        <w:r w:rsidR="00AB0E5F" w:rsidRPr="00212FCE">
          <w:instrText xml:space="preserve"> PAGE   \* MERGEFORMAT </w:instrText>
        </w:r>
        <w:r w:rsidR="00AB0E5F" w:rsidRPr="00212FCE">
          <w:fldChar w:fldCharType="separate"/>
        </w:r>
        <w:r w:rsidR="00DC151F">
          <w:rPr>
            <w:noProof/>
          </w:rPr>
          <w:t>18</w:t>
        </w:r>
        <w:r w:rsidR="00AB0E5F" w:rsidRPr="00212FCE">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65170455"/>
      <w:docPartObj>
        <w:docPartGallery w:val="Page Numbers (Bottom of Page)"/>
        <w:docPartUnique/>
      </w:docPartObj>
    </w:sdtPr>
    <w:sdtEndPr>
      <w:rPr>
        <w:noProof/>
      </w:rPr>
    </w:sdtEndPr>
    <w:sdtContent>
      <w:p w14:paraId="4DDED21D" w14:textId="77777777" w:rsidR="00FE715A" w:rsidRPr="00212FCE" w:rsidRDefault="00FE715A">
        <w:pPr>
          <w:pStyle w:val="Footer"/>
        </w:pPr>
        <w:r w:rsidRPr="00DC339F">
          <w:t xml:space="preserve">Prostheses List Post Listing Review – Review of surgical guides and </w:t>
        </w:r>
        <w:proofErr w:type="spellStart"/>
        <w:r w:rsidRPr="00DC339F">
          <w:t>biomodels</w:t>
        </w:r>
        <w:proofErr w:type="spellEnd"/>
        <w:r w:rsidRPr="00DC339F">
          <w:t xml:space="preserve"> </w:t>
        </w:r>
        <w:r w:rsidRPr="009D03E2">
          <w:rPr>
            <w:color w:val="0070C0"/>
          </w:rPr>
          <w:t>|</w:t>
        </w:r>
        <w:r>
          <w:rPr>
            <w:rStyle w:val="cf01"/>
          </w:rPr>
          <w:t xml:space="preserve"> </w:t>
        </w:r>
        <w:r w:rsidRPr="00212FCE">
          <w:fldChar w:fldCharType="begin"/>
        </w:r>
        <w:r w:rsidRPr="00212FCE">
          <w:instrText xml:space="preserve"> PAGE   \* MERGEFORMAT </w:instrText>
        </w:r>
        <w:r w:rsidRPr="00212FCE">
          <w:fldChar w:fldCharType="separate"/>
        </w:r>
        <w:r>
          <w:rPr>
            <w:noProof/>
          </w:rPr>
          <w:t>18</w:t>
        </w:r>
        <w:r w:rsidRPr="00212FCE">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D463E" w14:textId="77777777" w:rsidR="00FE715A" w:rsidRDefault="00FE715A">
    <w:pPr>
      <w:pStyle w:val="Footer"/>
    </w:pPr>
    <w:r w:rsidRPr="00DC339F">
      <w:t xml:space="preserve">Prostheses List Post Listing Review – Review of surgical guides and </w:t>
    </w:r>
    <w:proofErr w:type="spellStart"/>
    <w:r w:rsidRPr="00DC339F">
      <w:t>biomodels</w:t>
    </w:r>
    <w:proofErr w:type="spellEnd"/>
    <w:r w:rsidRPr="00DC339F">
      <w:t xml:space="preserve"> </w:t>
    </w:r>
    <w:r w:rsidRPr="009D03E2">
      <w:rPr>
        <w:color w:val="0070C0"/>
      </w:rPr>
      <w:t>|</w:t>
    </w:r>
    <w:r>
      <w:rPr>
        <w:rStyle w:val="cf01"/>
      </w:rPr>
      <w:t xml:space="preserve"> </w:t>
    </w:r>
    <w:r w:rsidRPr="00212FCE">
      <w:fldChar w:fldCharType="begin"/>
    </w:r>
    <w:r w:rsidRPr="00212FCE">
      <w:instrText xml:space="preserve"> PAGE   \* MERGEFORMAT </w:instrText>
    </w:r>
    <w:r w:rsidRPr="00212FCE">
      <w:fldChar w:fldCharType="separate"/>
    </w:r>
    <w:r>
      <w:t>23</w:t>
    </w:r>
    <w:r w:rsidRPr="00212FCE">
      <w:rPr>
        <w:noProof/>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FE4D4" w14:textId="77777777" w:rsidR="00A97CA2" w:rsidRDefault="0019516A">
    <w:pPr>
      <w:pStyle w:val="Footer"/>
    </w:pPr>
    <w:sdt>
      <w:sdtPr>
        <w:id w:val="-1712029438"/>
        <w:docPartObj>
          <w:docPartGallery w:val="Page Numbers (Bottom of Page)"/>
          <w:docPartUnique/>
        </w:docPartObj>
      </w:sdtPr>
      <w:sdtEndPr>
        <w:rPr>
          <w:noProof/>
        </w:rPr>
      </w:sdtEndPr>
      <w:sdtContent>
        <w:r w:rsidR="00C04706" w:rsidRPr="00DC339F">
          <w:t xml:space="preserve">Prostheses List Post Listing Review – Review of surgical guides and </w:t>
        </w:r>
        <w:proofErr w:type="spellStart"/>
        <w:r w:rsidR="00C04706" w:rsidRPr="00DC339F">
          <w:t>biomodels</w:t>
        </w:r>
        <w:proofErr w:type="spellEnd"/>
        <w:r w:rsidR="00C04706" w:rsidRPr="00DC339F">
          <w:t xml:space="preserve"> </w:t>
        </w:r>
        <w:r w:rsidR="00C04706" w:rsidRPr="009D03E2">
          <w:rPr>
            <w:color w:val="0070C0"/>
          </w:rPr>
          <w:t>|</w:t>
        </w:r>
        <w:r w:rsidR="00C04706">
          <w:rPr>
            <w:rStyle w:val="cf01"/>
          </w:rPr>
          <w:t xml:space="preserve"> </w:t>
        </w:r>
        <w:r w:rsidR="00C04706" w:rsidRPr="00212FCE">
          <w:fldChar w:fldCharType="begin"/>
        </w:r>
        <w:r w:rsidR="00C04706" w:rsidRPr="00212FCE">
          <w:instrText xml:space="preserve"> PAGE   \* MERGEFORMAT </w:instrText>
        </w:r>
        <w:r w:rsidR="00C04706" w:rsidRPr="00212FCE">
          <w:fldChar w:fldCharType="separate"/>
        </w:r>
        <w:r w:rsidR="00C04706">
          <w:t>23</w:t>
        </w:r>
        <w:r w:rsidR="00C04706" w:rsidRPr="00212FCE">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FB06D5" w14:textId="77777777" w:rsidR="007C4C57" w:rsidRDefault="007C4C57" w:rsidP="00131A64">
      <w:r>
        <w:separator/>
      </w:r>
    </w:p>
  </w:footnote>
  <w:footnote w:type="continuationSeparator" w:id="0">
    <w:p w14:paraId="4BDC0F4A" w14:textId="77777777" w:rsidR="007C4C57" w:rsidRDefault="007C4C57" w:rsidP="00131A64">
      <w:r>
        <w:continuationSeparator/>
      </w:r>
    </w:p>
  </w:footnote>
  <w:footnote w:type="continuationNotice" w:id="1">
    <w:p w14:paraId="3ACB058F" w14:textId="77777777" w:rsidR="007C4C57" w:rsidRDefault="007C4C57"/>
  </w:footnote>
  <w:footnote w:id="2">
    <w:p w14:paraId="0FE18948" w14:textId="2358E2D4" w:rsidR="00BB797F" w:rsidRDefault="00BB797F" w:rsidP="00BB797F">
      <w:pPr>
        <w:pStyle w:val="FootnoteText"/>
      </w:pPr>
      <w:r w:rsidRPr="00DA5453">
        <w:rPr>
          <w:rStyle w:val="FootnoteReference"/>
        </w:rPr>
        <w:footnoteRef/>
      </w:r>
      <w:r>
        <w:t xml:space="preserve"> The PL is the schedule to the </w:t>
      </w:r>
      <w:r w:rsidRPr="009116DA">
        <w:rPr>
          <w:rStyle w:val="BookTitle"/>
        </w:rPr>
        <w:t>Private Health Insurance (Prostheses) Rules</w:t>
      </w:r>
      <w:r>
        <w:t xml:space="preserve">, which is the legislative instrument made under the </w:t>
      </w:r>
      <w:r w:rsidRPr="006630A9">
        <w:rPr>
          <w:rStyle w:val="BookTitle"/>
        </w:rPr>
        <w:t>Private Health Insurance Act 2007</w:t>
      </w:r>
      <w:r>
        <w:t xml:space="preserve"> </w:t>
      </w:r>
      <w:r>
        <w:fldChar w:fldCharType="begin" w:fldLock="1"/>
      </w:r>
      <w:r w:rsidR="00D73530">
        <w:instrText>ADDIN CSL_CITATION {"citationItems":[{"id":"ITEM-1","itemData":{"URL":"https://www.health.gov.au/health-topics/private-health-insurance/the-prostheses-list#legislation","accessed":{"date-parts":[["2022","11","8"]]},"author":[{"dropping-particle":"","family":"Department of Health and Aged Care","given":"","non-dropping-particle":"","parse-names":false,"suffix":""}],"id":"ITEM-1","issued":{"date-parts":[["2022"]]},"title":"The Prostheses List","type":"webpage"},"uris":["http://www.mendeley.com/documents/?uuid=9479a24a-806c-44c5-9aef-d0002c41cd94"]}],"mendeley":{"formattedCitation":"(Department of Health and Aged Care 2022a)","plainTextFormattedCitation":"(Department of Health and Aged Care 2022a)","previouslyFormattedCitation":"(Department of Health and Aged Care 2022a)"},"properties":{"noteIndex":0},"schema":"https://github.com/citation-style-language/schema/raw/master/csl-citation.json"}</w:instrText>
      </w:r>
      <w:r>
        <w:fldChar w:fldCharType="separate"/>
      </w:r>
      <w:r w:rsidR="009A43DD" w:rsidRPr="009A43DD">
        <w:rPr>
          <w:noProof/>
        </w:rPr>
        <w:t>(Department of Health and Aged Care 2022a)</w:t>
      </w:r>
      <w:r>
        <w:fldChar w:fldCharType="end"/>
      </w:r>
      <w:r>
        <w:t>.</w:t>
      </w:r>
      <w:r w:rsidRPr="002514B1">
        <w:t xml:space="preserve"> </w:t>
      </w:r>
      <w:r>
        <w:t>In line with Section 72-1 of this Act, private health insurers must pay a</w:t>
      </w:r>
      <w:r w:rsidRPr="009E1666">
        <w:t xml:space="preserve"> benefit f</w:t>
      </w:r>
      <w:r>
        <w:t>or the products listed on the PL.</w:t>
      </w:r>
    </w:p>
  </w:footnote>
  <w:footnote w:id="3">
    <w:p w14:paraId="7E8E488A" w14:textId="7529F68B" w:rsidR="00E67B4E" w:rsidRDefault="00E67B4E">
      <w:pPr>
        <w:pStyle w:val="FootnoteText"/>
      </w:pPr>
      <w:r w:rsidRPr="00DA5453">
        <w:rPr>
          <w:rStyle w:val="FootnoteReference"/>
        </w:rPr>
        <w:footnoteRef/>
      </w:r>
      <w:r>
        <w:t xml:space="preserve"> </w:t>
      </w:r>
      <w:r w:rsidRPr="009E712E">
        <w:t xml:space="preserve">While this definition groups surgical guides and </w:t>
      </w:r>
      <w:proofErr w:type="spellStart"/>
      <w:r w:rsidRPr="009E712E">
        <w:t>biomodels</w:t>
      </w:r>
      <w:proofErr w:type="spellEnd"/>
      <w:r w:rsidRPr="009E712E">
        <w:t xml:space="preserve"> together, they are separate products with different applications</w:t>
      </w:r>
      <w:r>
        <w:t>, and this review therefore considers them separately where appropriate.</w:t>
      </w:r>
    </w:p>
  </w:footnote>
  <w:footnote w:id="4">
    <w:p w14:paraId="787CBBC8" w14:textId="0D8FEAF5" w:rsidR="00050519" w:rsidRDefault="00050519" w:rsidP="00050519">
      <w:pPr>
        <w:pStyle w:val="FootnoteText"/>
      </w:pPr>
      <w:r w:rsidRPr="00DA5453">
        <w:rPr>
          <w:rStyle w:val="FootnoteReference"/>
        </w:rPr>
        <w:footnoteRef/>
      </w:r>
      <w:r>
        <w:t xml:space="preserve"> While generally not ‘implanted’, surgical guides are often temporarily fixed to a patient’s anatomy during surgery to guide the procedure. </w:t>
      </w:r>
      <w:r w:rsidR="00A62789">
        <w:t>S</w:t>
      </w:r>
      <w:r>
        <w:t>takeholders reported that</w:t>
      </w:r>
      <w:r w:rsidR="00A62789">
        <w:t>, in</w:t>
      </w:r>
      <w:r>
        <w:t xml:space="preserve"> some </w:t>
      </w:r>
      <w:r w:rsidR="00A62789">
        <w:t xml:space="preserve">cases, </w:t>
      </w:r>
      <w:r>
        <w:t>surgical guides may remain in position after surgery.</w:t>
      </w:r>
    </w:p>
  </w:footnote>
  <w:footnote w:id="5">
    <w:p w14:paraId="0443F947" w14:textId="7D6184A1" w:rsidR="00766E32" w:rsidRDefault="00766E32" w:rsidP="00766E32">
      <w:pPr>
        <w:pStyle w:val="FootnoteText"/>
      </w:pPr>
      <w:r w:rsidRPr="00DA5453">
        <w:rPr>
          <w:rStyle w:val="FootnoteReference"/>
        </w:rPr>
        <w:footnoteRef/>
      </w:r>
      <w:r>
        <w:t xml:space="preserve"> The decision to grant or not grant an application </w:t>
      </w:r>
      <w:r w:rsidR="001340E6">
        <w:t>is made</w:t>
      </w:r>
      <w:r>
        <w:t xml:space="preserve"> </w:t>
      </w:r>
      <w:r w:rsidR="001340E6">
        <w:t>by</w:t>
      </w:r>
      <w:r>
        <w:t xml:space="preserve"> the Australian Government Minister for Health.</w:t>
      </w:r>
    </w:p>
  </w:footnote>
  <w:footnote w:id="6">
    <w:p w14:paraId="192EADD5" w14:textId="77777777" w:rsidR="00091FD6" w:rsidRDefault="00091FD6" w:rsidP="00091FD6">
      <w:pPr>
        <w:pStyle w:val="FootnoteText"/>
      </w:pPr>
      <w:r>
        <w:rPr>
          <w:rStyle w:val="FootnoteReference"/>
        </w:rPr>
        <w:footnoteRef/>
      </w:r>
      <w:r>
        <w:t xml:space="preserve"> Part D lists </w:t>
      </w:r>
      <w:r>
        <w:rPr>
          <w:rFonts w:ascii="Segoe UI" w:hAnsi="Segoe UI" w:cs="Segoe UI"/>
          <w:color w:val="313131"/>
          <w:shd w:val="clear" w:color="auto" w:fill="FFFFFF"/>
        </w:rPr>
        <w:t>general use items from Part A to be removed from the Prostheses List on 1 July 2023.</w:t>
      </w:r>
    </w:p>
  </w:footnote>
  <w:footnote w:id="7">
    <w:p w14:paraId="7D9D8687" w14:textId="0871FA2C" w:rsidR="00B77A25" w:rsidRDefault="00B77A25">
      <w:pPr>
        <w:pStyle w:val="FootnoteText"/>
      </w:pPr>
      <w:r w:rsidRPr="00DA5453">
        <w:rPr>
          <w:rStyle w:val="FootnoteReference"/>
        </w:rPr>
        <w:footnoteRef/>
      </w:r>
      <w:r>
        <w:t xml:space="preserve"> </w:t>
      </w:r>
      <w:r w:rsidR="009135AF" w:rsidRPr="009135AF">
        <w:t xml:space="preserve">Three surgical guides </w:t>
      </w:r>
      <w:r w:rsidR="00D3392A">
        <w:t>in scope for this review are</w:t>
      </w:r>
      <w:r w:rsidR="009135AF" w:rsidRPr="009135AF">
        <w:t xml:space="preserve"> also listed in other anatomical groups: 1 product under 07.02.06 – Nose and Zygoma (subgroup 07.02.06.06 – surgical guide) and 2 products under 07.02.07 – Orbit (subgroup 07.02.07.05 – surgical guide</w:t>
      </w:r>
      <w:r w:rsidR="001954E9">
        <w:t>)</w:t>
      </w:r>
      <w:r w:rsidR="009135AF" w:rsidRPr="009135AF">
        <w:t>.</w:t>
      </w:r>
    </w:p>
  </w:footnote>
  <w:footnote w:id="8">
    <w:p w14:paraId="10F193CE" w14:textId="741FBFEF" w:rsidR="001B04B4" w:rsidRDefault="001B04B4" w:rsidP="001B04B4">
      <w:pPr>
        <w:pStyle w:val="FootnoteText"/>
      </w:pPr>
      <w:r>
        <w:rPr>
          <w:rStyle w:val="FootnoteReference"/>
        </w:rPr>
        <w:footnoteRef/>
      </w:r>
      <w:r>
        <w:t xml:space="preserve"> Product sponsors forwarded a total of 23 letters from surgeons supporting the use of surgical guides and outlining a range of benefits for both patients and surgeons. </w:t>
      </w:r>
    </w:p>
  </w:footnote>
  <w:footnote w:id="9">
    <w:p w14:paraId="16089D7E" w14:textId="1B240129" w:rsidR="000217A5" w:rsidRDefault="000217A5" w:rsidP="000217A5">
      <w:pPr>
        <w:pStyle w:val="FootnoteText"/>
      </w:pPr>
      <w:r w:rsidRPr="00DA5453">
        <w:rPr>
          <w:rStyle w:val="FootnoteReference"/>
        </w:rPr>
        <w:footnoteRef/>
      </w:r>
      <w:r>
        <w:t xml:space="preserve"> C</w:t>
      </w:r>
      <w:r w:rsidRPr="00B97DE8">
        <w:t>onflict</w:t>
      </w:r>
      <w:r>
        <w:t>s</w:t>
      </w:r>
      <w:r w:rsidRPr="00B97DE8">
        <w:t xml:space="preserve"> of interest </w:t>
      </w:r>
      <w:r>
        <w:t>w</w:t>
      </w:r>
      <w:r w:rsidR="00557BEE">
        <w:t>ere</w:t>
      </w:r>
      <w:r>
        <w:t xml:space="preserve"> reported </w:t>
      </w:r>
      <w:r w:rsidRPr="00B97DE8">
        <w:t>by 3 surgeons</w:t>
      </w:r>
      <w:r>
        <w:t xml:space="preserve"> and</w:t>
      </w:r>
      <w:r w:rsidRPr="00B97DE8">
        <w:t xml:space="preserve"> did not appear to influence their responses given the overall consistency in feedback across stakeholders.</w:t>
      </w:r>
    </w:p>
  </w:footnote>
  <w:footnote w:id="10">
    <w:p w14:paraId="70108929" w14:textId="0E1F3FD1" w:rsidR="00330CD3" w:rsidRDefault="00330CD3" w:rsidP="00330CD3">
      <w:pPr>
        <w:pStyle w:val="FootnoteText"/>
      </w:pPr>
      <w:r w:rsidRPr="00DA5453">
        <w:rPr>
          <w:rStyle w:val="FootnoteReference"/>
        </w:rPr>
        <w:footnoteRef/>
      </w:r>
      <w:r>
        <w:t xml:space="preserve"> One surgeon suggested that the skills required for guided implant surgery could be developed in just one year of </w:t>
      </w:r>
      <w:r w:rsidRPr="00BA20B9">
        <w:t>on-the-job clinical experience</w:t>
      </w:r>
      <w:r>
        <w:t xml:space="preserve">, as opposed to 10 years to </w:t>
      </w:r>
      <w:r w:rsidR="00E67280">
        <w:t>perform</w:t>
      </w:r>
      <w:r>
        <w:t xml:space="preserve"> the same surgeries freehand.</w:t>
      </w:r>
    </w:p>
  </w:footnote>
  <w:footnote w:id="11">
    <w:p w14:paraId="3C4C78A5" w14:textId="77777777" w:rsidR="00BC287F" w:rsidRDefault="00BC287F" w:rsidP="00BC287F">
      <w:pPr>
        <w:pStyle w:val="FootnoteText"/>
      </w:pPr>
      <w:r w:rsidRPr="00DA5453">
        <w:rPr>
          <w:rStyle w:val="FootnoteReference"/>
        </w:rPr>
        <w:footnoteRef/>
      </w:r>
      <w:r>
        <w:t xml:space="preserve"> We heard from private health insurer representatives of an instance where 29 </w:t>
      </w:r>
      <w:proofErr w:type="spellStart"/>
      <w:r>
        <w:t>biomodels</w:t>
      </w:r>
      <w:proofErr w:type="spellEnd"/>
      <w:r>
        <w:t xml:space="preserve"> were billed for a single separation.</w:t>
      </w:r>
    </w:p>
  </w:footnote>
  <w:footnote w:id="12">
    <w:p w14:paraId="7DC78AFE" w14:textId="77777777" w:rsidR="00450105" w:rsidRDefault="00450105" w:rsidP="00450105">
      <w:pPr>
        <w:pStyle w:val="FootnoteText"/>
      </w:pPr>
      <w:r w:rsidRPr="00DA5453">
        <w:rPr>
          <w:rStyle w:val="FootnoteReference"/>
        </w:rPr>
        <w:footnoteRef/>
      </w:r>
      <w:r>
        <w:t xml:space="preserve"> None of the surgeons we spoke to was aware of clinical practice guidelines relating to the use of surgical guides and </w:t>
      </w:r>
      <w:proofErr w:type="spellStart"/>
      <w:r>
        <w:t>biomodels</w:t>
      </w:r>
      <w:proofErr w:type="spellEnd"/>
      <w:r>
        <w:t xml:space="preserve"> in CMF surgery.</w:t>
      </w:r>
    </w:p>
  </w:footnote>
  <w:footnote w:id="13">
    <w:p w14:paraId="14FB6434" w14:textId="4050CDF3" w:rsidR="00EA3D73" w:rsidRDefault="00EA3D73">
      <w:pPr>
        <w:pStyle w:val="FootnoteText"/>
      </w:pPr>
      <w:r>
        <w:rPr>
          <w:rStyle w:val="FootnoteReference"/>
        </w:rPr>
        <w:footnoteRef/>
      </w:r>
      <w:r>
        <w:t xml:space="preserve"> </w:t>
      </w:r>
      <w:r w:rsidR="00E37846" w:rsidRPr="00E37846">
        <w:t>O</w:t>
      </w:r>
      <w:r w:rsidR="00E37846" w:rsidRPr="00E37846">
        <w:rPr>
          <w:lang w:val="en-GB"/>
        </w:rPr>
        <w:t xml:space="preserve">ne peak body representative </w:t>
      </w:r>
      <w:r w:rsidR="00753EB7">
        <w:rPr>
          <w:lang w:val="en-GB"/>
        </w:rPr>
        <w:t>n</w:t>
      </w:r>
      <w:r w:rsidR="00E37846" w:rsidRPr="00E37846">
        <w:rPr>
          <w:lang w:val="en-GB"/>
        </w:rPr>
        <w:t>oted that even simple, single jaw surgery requires a ‘surgical stent’</w:t>
      </w:r>
      <w:r w:rsidR="00E37846">
        <w:rPr>
          <w:lang w:val="en-GB"/>
        </w:rPr>
        <w:t>.</w:t>
      </w:r>
    </w:p>
  </w:footnote>
  <w:footnote w:id="14">
    <w:p w14:paraId="00F5F28B" w14:textId="74FF5DC1" w:rsidR="001A7DA7" w:rsidRPr="00CC3EA9" w:rsidRDefault="001A7DA7" w:rsidP="001F064A">
      <w:pPr>
        <w:pStyle w:val="FootnoteText"/>
        <w:rPr>
          <w:rStyle w:val="FootnoteTextChar"/>
          <w:rFonts w:eastAsia="MS Mincho"/>
        </w:rPr>
      </w:pPr>
      <w:r>
        <w:rPr>
          <w:rStyle w:val="FootnoteReference"/>
        </w:rPr>
        <w:footnoteRef/>
      </w:r>
      <w:r w:rsidRPr="00250253">
        <w:rPr>
          <w:rStyle w:val="FootnoteTextChar"/>
          <w:rFonts w:eastAsia="MS Mincho"/>
        </w:rPr>
        <w:t xml:space="preserve"> Th</w:t>
      </w:r>
      <w:r w:rsidRPr="00CC3EA9">
        <w:rPr>
          <w:rStyle w:val="FootnoteTextChar"/>
          <w:rFonts w:eastAsia="MS Mincho"/>
        </w:rPr>
        <w:t xml:space="preserve">e literature commonly uses ‘virtual surgical planning’ to refer to the entire process of guided implant surgery. </w:t>
      </w:r>
      <w:r>
        <w:rPr>
          <w:rStyle w:val="FootnoteTextChar"/>
          <w:rFonts w:eastAsia="MS Mincho"/>
        </w:rPr>
        <w:t xml:space="preserve">We have </w:t>
      </w:r>
      <w:r w:rsidR="004C6939">
        <w:rPr>
          <w:rStyle w:val="FootnoteTextChar"/>
          <w:rFonts w:eastAsia="MS Mincho"/>
        </w:rPr>
        <w:t xml:space="preserve">generally </w:t>
      </w:r>
      <w:r w:rsidRPr="00CC3EA9">
        <w:rPr>
          <w:rStyle w:val="FootnoteTextChar"/>
          <w:rFonts w:eastAsia="MS Mincho"/>
        </w:rPr>
        <w:t xml:space="preserve">retained this </w:t>
      </w:r>
      <w:r>
        <w:rPr>
          <w:rStyle w:val="FootnoteTextChar"/>
          <w:rFonts w:eastAsia="MS Mincho"/>
        </w:rPr>
        <w:t>wording</w:t>
      </w:r>
      <w:r w:rsidRPr="00CC3EA9">
        <w:rPr>
          <w:rStyle w:val="FootnoteTextChar"/>
          <w:rFonts w:eastAsia="MS Mincho"/>
        </w:rPr>
        <w:t xml:space="preserve"> to reflect the language of the articles discussed.</w:t>
      </w:r>
    </w:p>
  </w:footnote>
  <w:footnote w:id="15">
    <w:p w14:paraId="53FAA3F7" w14:textId="77777777" w:rsidR="001009B1" w:rsidRDefault="001009B1" w:rsidP="001009B1">
      <w:pPr>
        <w:pStyle w:val="FootnoteText"/>
      </w:pPr>
      <w:r w:rsidRPr="00DA5453">
        <w:rPr>
          <w:rStyle w:val="FootnoteReference"/>
        </w:rPr>
        <w:footnoteRef/>
      </w:r>
      <w:r>
        <w:t xml:space="preserve"> </w:t>
      </w:r>
      <w:r>
        <w:rPr>
          <w:lang w:val="en-GB"/>
        </w:rPr>
        <w:t>Surgical navigation is different to surgical planning and provides ‘real-time and three-dimensional visualisation during surgery’ (</w:t>
      </w:r>
      <w:r>
        <w:rPr>
          <w:lang w:val="en-GB"/>
        </w:rPr>
        <w:fldChar w:fldCharType="begin" w:fldLock="1"/>
      </w:r>
      <w:r>
        <w:rPr>
          <w:lang w:val="en-GB"/>
        </w:rPr>
        <w:instrText>ADDIN CSL_CITATION {"citationItems":[{"id":"ITEM-1","itemData":{"author":[{"dropping-particle":"","family":"Zhang","given":"WB","non-dropping-particle":"","parse-names":false,"suffix":""},{"dropping-particle":"","family":"Wang","given":"Y","non-dropping-particle":"","parse-names":false,"suffix":""},{"dropping-particle":"","family":"Liu","given":"XJ","non-dropping-particle":"","parse-names":false,"suffix":""},{"dropping-particle":"","family":"C","given":"Mao","non-dropping-particle":"","parse-names":false,"suffix":""},{"dropping-particle":"","family":"GY","given":"Guo","non-dropping-particle":"","parse-names":false,"suffix":""},{"dropping-particle":"","family":"Peng","given":"YX","non-dropping-particle":"","parse-names":false,"suffix":""}],"container-title":"Journal of Cranio-Maxillo-Facial Surgery","id":"ITEM-1","issue":"2015","issued":{"date-parts":[["2015"]]},"page":"630-636","title":"Reconstruction of maxillary defects with free fibula flap assisted by computer techniques","type":"article-journal","volume":"43"},"uris":["http://www.mendeley.com/documents/?uuid=f2b7a9ed-b9a0-4bcd-beb9-bd1cebac59ba"]}],"mendeley":{"formattedCitation":"(Zhang et al. 2015)","manualFormatting":"Zhang et al. 2015)","plainTextFormattedCitation":"(Zhang et al. 2015)","previouslyFormattedCitation":"(Zhang et al. 2015)"},"properties":{"noteIndex":0},"schema":"https://github.com/citation-style-language/schema/raw/master/csl-citation.json"}</w:instrText>
      </w:r>
      <w:r>
        <w:rPr>
          <w:lang w:val="en-GB"/>
        </w:rPr>
        <w:fldChar w:fldCharType="separate"/>
      </w:r>
      <w:r w:rsidRPr="003653BA">
        <w:rPr>
          <w:noProof/>
          <w:lang w:val="en-GB"/>
        </w:rPr>
        <w:t>Zhang et al. 2015)</w:t>
      </w:r>
      <w:r>
        <w:rPr>
          <w:lang w:val="en-GB"/>
        </w:rPr>
        <w:fldChar w:fldCharType="end"/>
      </w:r>
      <w:r>
        <w:rPr>
          <w:lang w:val="en-GB"/>
        </w:rPr>
        <w:t>.</w:t>
      </w:r>
    </w:p>
  </w:footnote>
  <w:footnote w:id="16">
    <w:p w14:paraId="7994796B" w14:textId="2F3E1F0E" w:rsidR="00262062" w:rsidRDefault="00262062">
      <w:pPr>
        <w:pStyle w:val="FootnoteText"/>
      </w:pPr>
      <w:r w:rsidRPr="00DA5453">
        <w:rPr>
          <w:rStyle w:val="FootnoteReference"/>
        </w:rPr>
        <w:footnoteRef/>
      </w:r>
      <w:r>
        <w:t xml:space="preserve"> </w:t>
      </w:r>
      <w:r w:rsidRPr="00150970">
        <w:t xml:space="preserve">The TGA has established transition processes for product sponsors supplying personal medical devices (PMDs) that are not included on the ARTG. </w:t>
      </w:r>
      <w:r w:rsidR="0063009E">
        <w:t>Registered s</w:t>
      </w:r>
      <w:r w:rsidRPr="00150970">
        <w:t>ponsors were required to register for transition arrangements by 25</w:t>
      </w:r>
      <w:r w:rsidR="00943575">
        <w:t> </w:t>
      </w:r>
      <w:r w:rsidRPr="00150970">
        <w:t>August</w:t>
      </w:r>
      <w:r w:rsidR="00500629">
        <w:t> </w:t>
      </w:r>
      <w:r w:rsidRPr="00150970">
        <w:t xml:space="preserve">2022. </w:t>
      </w:r>
      <w:r w:rsidR="0063009E">
        <w:t>Spo</w:t>
      </w:r>
      <w:r w:rsidR="00403907">
        <w:t>nsor products have until November</w:t>
      </w:r>
      <w:r w:rsidR="00500629">
        <w:t> </w:t>
      </w:r>
      <w:r w:rsidR="00403907">
        <w:t xml:space="preserve">2024 to be </w:t>
      </w:r>
      <w:r w:rsidR="00FF4005">
        <w:t>listed</w:t>
      </w:r>
      <w:r w:rsidR="00403907">
        <w:t xml:space="preserve"> on the ARTG.</w:t>
      </w:r>
    </w:p>
  </w:footnote>
  <w:footnote w:id="17">
    <w:p w14:paraId="737AF09C" w14:textId="3A996A17" w:rsidR="00C21A58" w:rsidRDefault="00C21A58">
      <w:pPr>
        <w:pStyle w:val="FootnoteText"/>
      </w:pPr>
      <w:r w:rsidRPr="00DA5453">
        <w:rPr>
          <w:rStyle w:val="FootnoteReference"/>
        </w:rPr>
        <w:footnoteRef/>
      </w:r>
      <w:r>
        <w:t xml:space="preserve"> </w:t>
      </w:r>
      <w:r w:rsidR="007F2259">
        <w:t>Surgeons advised that some dental procedures that occur as part of complex CMF surgery – for example, where teeth need to be replaced due to cancer or trauma, or in paediatric surgery – may be appropriately claimed through the MBS.</w:t>
      </w:r>
    </w:p>
  </w:footnote>
  <w:footnote w:id="18">
    <w:p w14:paraId="59F9DDAE" w14:textId="2FAFB285" w:rsidR="003B4624" w:rsidRDefault="003B4624">
      <w:pPr>
        <w:pStyle w:val="FootnoteText"/>
      </w:pPr>
      <w:r w:rsidRPr="00DA5453">
        <w:rPr>
          <w:rStyle w:val="FootnoteReference"/>
        </w:rPr>
        <w:footnoteRef/>
      </w:r>
      <w:r>
        <w:t xml:space="preserve"> </w:t>
      </w:r>
      <w:r>
        <w:rPr>
          <w:lang w:val="en-US"/>
        </w:rPr>
        <w:t xml:space="preserve">Many surgical guides and </w:t>
      </w:r>
      <w:proofErr w:type="spellStart"/>
      <w:r>
        <w:rPr>
          <w:lang w:val="en-US"/>
        </w:rPr>
        <w:t>biomodels</w:t>
      </w:r>
      <w:proofErr w:type="spellEnd"/>
      <w:r>
        <w:rPr>
          <w:lang w:val="en-US"/>
        </w:rPr>
        <w:t xml:space="preserve"> listed on the PL are provided as </w:t>
      </w:r>
      <w:r w:rsidR="002A0392">
        <w:rPr>
          <w:lang w:val="en-US"/>
        </w:rPr>
        <w:t>part of a kit. In assessing</w:t>
      </w:r>
      <w:r>
        <w:rPr>
          <w:lang w:val="en-US"/>
        </w:rPr>
        <w:t xml:space="preserve"> this </w:t>
      </w:r>
      <w:r w:rsidR="002A0392">
        <w:rPr>
          <w:lang w:val="en-US"/>
        </w:rPr>
        <w:t>criterion, we</w:t>
      </w:r>
      <w:r>
        <w:rPr>
          <w:lang w:val="en-US"/>
        </w:rPr>
        <w:t xml:space="preserve"> consider surgical guides and </w:t>
      </w:r>
      <w:proofErr w:type="spellStart"/>
      <w:r>
        <w:rPr>
          <w:lang w:val="en-US"/>
        </w:rPr>
        <w:t>biomodels</w:t>
      </w:r>
      <w:proofErr w:type="spellEnd"/>
      <w:r>
        <w:rPr>
          <w:lang w:val="en-US"/>
        </w:rPr>
        <w:t xml:space="preserve"> separately</w:t>
      </w:r>
      <w:r w:rsidR="0036624D">
        <w:rPr>
          <w:lang w:val="en-US"/>
        </w:rPr>
        <w:t xml:space="preserve"> from other items supplied as part of a kit</w:t>
      </w:r>
      <w:r>
        <w:rPr>
          <w:lang w:val="en-US"/>
        </w:rPr>
        <w:t>.</w:t>
      </w:r>
    </w:p>
  </w:footnote>
  <w:footnote w:id="19">
    <w:p w14:paraId="0D7458BC" w14:textId="6F808EB3" w:rsidR="00C85CB4" w:rsidRDefault="00C85CB4">
      <w:pPr>
        <w:pStyle w:val="FootnoteText"/>
      </w:pPr>
      <w:r w:rsidRPr="00DA5453">
        <w:rPr>
          <w:rStyle w:val="FootnoteReference"/>
        </w:rPr>
        <w:footnoteRef/>
      </w:r>
      <w:r w:rsidR="00802781">
        <w:t xml:space="preserve"> </w:t>
      </w:r>
      <w:r w:rsidR="007B35D7">
        <w:t>I</w:t>
      </w:r>
      <w:r w:rsidR="000A6813" w:rsidRPr="00150970">
        <w:t xml:space="preserve">n some cases, </w:t>
      </w:r>
      <w:r w:rsidR="000A6813">
        <w:t xml:space="preserve">the </w:t>
      </w:r>
      <w:r w:rsidR="000A6813" w:rsidRPr="00150970">
        <w:t xml:space="preserve">timeframe </w:t>
      </w:r>
      <w:r w:rsidR="007B35D7">
        <w:t>for</w:t>
      </w:r>
      <w:r w:rsidR="007B35D7" w:rsidRPr="00150970">
        <w:t xml:space="preserve"> </w:t>
      </w:r>
      <w:r w:rsidR="000A6813" w:rsidRPr="00150970">
        <w:t>manufactu</w:t>
      </w:r>
      <w:r w:rsidR="000A6813" w:rsidRPr="00150970">
        <w:rPr>
          <w:szCs w:val="18"/>
        </w:rPr>
        <w:t>ring products may be longer than the window of surgical opportunity.</w:t>
      </w:r>
    </w:p>
  </w:footnote>
  <w:footnote w:id="20">
    <w:p w14:paraId="07B1FFA6" w14:textId="69197AEB" w:rsidR="00511F08" w:rsidRDefault="00511F08">
      <w:pPr>
        <w:pStyle w:val="FootnoteText"/>
      </w:pPr>
      <w:r w:rsidRPr="00DA5453">
        <w:rPr>
          <w:rStyle w:val="FootnoteReference"/>
        </w:rPr>
        <w:footnoteRef/>
      </w:r>
      <w:r>
        <w:t xml:space="preserve"> Excluding circumstances where dental implants are placed at the same time as a more complex CMF procedure.</w:t>
      </w:r>
    </w:p>
  </w:footnote>
  <w:footnote w:id="21">
    <w:p w14:paraId="723C8340" w14:textId="110762DC" w:rsidR="00193DD4" w:rsidRDefault="00193DD4" w:rsidP="00193DD4">
      <w:pPr>
        <w:pStyle w:val="FootnoteText"/>
      </w:pPr>
      <w:r w:rsidRPr="00DA5453">
        <w:rPr>
          <w:rStyle w:val="FootnoteReference"/>
        </w:rPr>
        <w:footnoteRef/>
      </w:r>
      <w:r w:rsidRPr="006A79B9">
        <w:t xml:space="preserve"> </w:t>
      </w:r>
      <w:r w:rsidR="00124858">
        <w:t xml:space="preserve">For example, </w:t>
      </w:r>
      <w:r w:rsidRPr="006A79B9">
        <w:t xml:space="preserve">an Independent Health and Aged Care Pricing Authority </w:t>
      </w:r>
      <w:r w:rsidR="00124858">
        <w:t>(</w:t>
      </w:r>
      <w:r w:rsidRPr="006A79B9">
        <w:t>IHACPA</w:t>
      </w:r>
      <w:r w:rsidR="00124858">
        <w:t>)</w:t>
      </w:r>
      <w:r w:rsidRPr="006A79B9">
        <w:t xml:space="preserve"> review </w:t>
      </w:r>
      <w:r w:rsidR="00D45ED3">
        <w:t xml:space="preserve">to ensure </w:t>
      </w:r>
      <w:r w:rsidRPr="006A79B9">
        <w:t>consistency with concurrent reforms</w:t>
      </w:r>
      <w:r>
        <w:t>.</w:t>
      </w:r>
    </w:p>
  </w:footnote>
  <w:footnote w:id="22">
    <w:p w14:paraId="22793EBE" w14:textId="274F2CD1" w:rsidR="00E525D6" w:rsidRDefault="00E525D6">
      <w:pPr>
        <w:pStyle w:val="FootnoteText"/>
      </w:pPr>
      <w:r>
        <w:rPr>
          <w:rStyle w:val="FootnoteReference"/>
        </w:rPr>
        <w:footnoteRef/>
      </w:r>
      <w:r>
        <w:t xml:space="preserve"> </w:t>
      </w:r>
      <w:r w:rsidR="004901C2" w:rsidRPr="004901C2">
        <w:t xml:space="preserve">The PLAC will be replaced by a new Medical Devices and Human Tissue Advisory Committee (MDHTAC) </w:t>
      </w:r>
      <w:r w:rsidR="004901C2">
        <w:t>from</w:t>
      </w:r>
      <w:r w:rsidR="004901C2" w:rsidRPr="004901C2">
        <w:t xml:space="preserve"> 1</w:t>
      </w:r>
      <w:r w:rsidR="004901C2">
        <w:t> </w:t>
      </w:r>
      <w:r w:rsidR="004901C2" w:rsidRPr="004901C2">
        <w:t>July</w:t>
      </w:r>
      <w:r w:rsidR="001F47DC">
        <w:t> </w:t>
      </w:r>
      <w:r w:rsidR="004901C2" w:rsidRPr="004901C2">
        <w:t xml:space="preserve">2023 </w:t>
      </w:r>
      <w:r w:rsidR="004901C2" w:rsidRPr="004901C2">
        <w:fldChar w:fldCharType="begin" w:fldLock="1"/>
      </w:r>
      <w:r w:rsidR="004901C2" w:rsidRPr="004901C2">
        <w:instrText>ADDIN CSL_CITATION {"citationItems":[{"id":"ITEM-1","itemData":{"URL":"https://www.health.gov.au/ministers/the-hon-mark-butler-mp/media/modernising-the-prostheses-list-committee-process","accessed":{"date-parts":[["2023","2","13"]]},"author":[{"dropping-particle":"","family":"Butler","given":"Mark","non-dropping-particle":"","parse-names":false,"suffix":""}],"container-title":"Department of Health and Aged Care website","id":"ITEM-1","issued":{"date-parts":[["2023"]]},"title":"Modernising the prostheses list committee process","type":"webpage"},"uris":["http://www.mendeley.com/documents/?uuid=a284c732-1cc6-410f-be6f-32aa1dc8530e"]}],"mendeley":{"formattedCitation":"(Butler 2023)","plainTextFormattedCitation":"(Butler 2023)","previouslyFormattedCitation":"(Butler 2023)"},"properties":{"noteIndex":0},"schema":"https://github.com/citation-style-language/schema/raw/master/csl-citation.json"}</w:instrText>
      </w:r>
      <w:r w:rsidR="004901C2" w:rsidRPr="004901C2">
        <w:fldChar w:fldCharType="separate"/>
      </w:r>
      <w:r w:rsidR="004901C2" w:rsidRPr="004901C2">
        <w:rPr>
          <w:noProof/>
        </w:rPr>
        <w:t>(Butler 2023)</w:t>
      </w:r>
      <w:r w:rsidR="004901C2" w:rsidRPr="004901C2">
        <w:fldChar w:fldCharType="end"/>
      </w:r>
      <w:r w:rsidR="004901C2" w:rsidRPr="004901C2">
        <w:t xml:space="preserve">. </w:t>
      </w:r>
    </w:p>
  </w:footnote>
  <w:footnote w:id="23">
    <w:p w14:paraId="1396B449" w14:textId="559EB685" w:rsidR="005714BF" w:rsidRDefault="005714BF">
      <w:pPr>
        <w:pStyle w:val="FootnoteText"/>
      </w:pPr>
      <w:r>
        <w:rPr>
          <w:rStyle w:val="FootnoteReference"/>
        </w:rPr>
        <w:footnoteRef/>
      </w:r>
      <w:r>
        <w:t xml:space="preserve"> C</w:t>
      </w:r>
      <w:r w:rsidRPr="00B97DE8">
        <w:t>onflict</w:t>
      </w:r>
      <w:r>
        <w:t>s</w:t>
      </w:r>
      <w:r w:rsidRPr="00B97DE8">
        <w:t xml:space="preserve"> of interest </w:t>
      </w:r>
      <w:r>
        <w:t xml:space="preserve">were reported </w:t>
      </w:r>
      <w:r w:rsidRPr="00B97DE8">
        <w:t>by 3 surgeons</w:t>
      </w:r>
      <w:r>
        <w:t xml:space="preserve"> and</w:t>
      </w:r>
      <w:r w:rsidRPr="00B97DE8">
        <w:t xml:space="preserve"> did not appear to influence their responses given the overall consistency in feedback across stakeholders.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60204" w14:textId="51790124" w:rsidR="00E455A5" w:rsidRDefault="00656FEF" w:rsidP="00E455A5">
    <w:pPr>
      <w:pStyle w:val="Header"/>
    </w:pPr>
    <w:fldSimple w:instr="STYLEREF  &quot;Heading 01&quot;  \* MERGEFORMAT">
      <w:r w:rsidR="00410D54">
        <w:rPr>
          <w:noProof/>
        </w:rPr>
        <w:t>Consumer summary</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BA36C" w14:textId="5142B6A0" w:rsidR="003F16E4" w:rsidRPr="003F16E4" w:rsidRDefault="00656FEF" w:rsidP="003F16E4">
    <w:pPr>
      <w:pStyle w:val="Header"/>
    </w:pPr>
    <w:fldSimple w:instr="STYLEREF  &quot;TOC Heading&quot;  \* MERGEFORMAT">
      <w:r w:rsidR="009E2A51">
        <w:rPr>
          <w:noProof/>
        </w:rPr>
        <w:t>Glossary</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896E0" w14:textId="4949C3E2" w:rsidR="00FE715A" w:rsidRDefault="00656FEF" w:rsidP="00E455A5">
    <w:pPr>
      <w:pStyle w:val="Header"/>
    </w:pPr>
    <w:fldSimple w:instr="STYLEREF  &quot;Heading 01&quot;  \* MERGEFORMAT">
      <w:r w:rsidR="009E2A51">
        <w:rPr>
          <w:noProof/>
        </w:rPr>
        <w:t>Consumer summary</w:t>
      </w:r>
    </w:fldSimple>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B0C3D" w14:textId="4CCC0D8C" w:rsidR="00270242" w:rsidRDefault="00656FEF">
    <w:pPr>
      <w:pStyle w:val="Header"/>
    </w:pPr>
    <w:fldSimple w:instr="STYLEREF  &quot;Heading 01&quot;  \* MERGEFORMAT">
      <w:r w:rsidR="009220E6">
        <w:rPr>
          <w:noProof/>
        </w:rPr>
        <w:t>Executive summary</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478CC" w14:textId="2AD6C007" w:rsidR="00D76F72" w:rsidRDefault="00D76F72">
    <w:pPr>
      <w:pStyle w:val="Header"/>
    </w:pPr>
    <w:r>
      <w:fldChar w:fldCharType="begin"/>
    </w:r>
    <w:r>
      <w:instrText xml:space="preserve"> STYLEREF  "Heading </w:instrText>
    </w:r>
    <w:r w:rsidR="004830A2">
      <w:instrText>0</w:instrText>
    </w:r>
    <w:r>
      <w:instrText xml:space="preserve">1"  \* MERGEFORMAT </w:instrText>
    </w:r>
    <w:r>
      <w:fldChar w:fldCharType="separate"/>
    </w:r>
    <w:r w:rsidR="009220E6">
      <w:rPr>
        <w:noProof/>
      </w:rPr>
      <w:t>Background</w: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A130C" w14:textId="23C91C11" w:rsidR="00D76F72" w:rsidRDefault="00656FEF">
    <w:pPr>
      <w:pStyle w:val="Header"/>
    </w:pPr>
    <w:fldSimple w:instr="STYLEREF  &quot;Heading 1&quot; \n  \* MERGEFORMAT">
      <w:r w:rsidR="009220E6">
        <w:rPr>
          <w:noProof/>
        </w:rPr>
        <w:t>Section 1</w:t>
      </w:r>
    </w:fldSimple>
    <w:fldSimple w:instr="STYLEREF  &quot;Heading 1&quot;  \* MERGEFORMAT">
      <w:r w:rsidR="009220E6">
        <w:rPr>
          <w:noProof/>
        </w:rPr>
        <w:t>: ToR 1 – Role of surgical guides and biomodels in clinical practice</w:t>
      </w:r>
    </w:fldSimple>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FA1B1" w14:textId="498A64D6" w:rsidR="00C04706" w:rsidRDefault="00656FEF">
    <w:pPr>
      <w:pStyle w:val="Header"/>
    </w:pPr>
    <w:fldSimple w:instr="STYLEREF  &quot;Heading 1&quot; \n  \* MERGEFORMAT">
      <w:r w:rsidR="00181065">
        <w:rPr>
          <w:noProof/>
        </w:rPr>
        <w:t>Section 5</w:t>
      </w:r>
    </w:fldSimple>
    <w:fldSimple w:instr="STYLEREF  &quot;Heading 1&quot;  \* MERGEFORMAT">
      <w:r w:rsidR="00181065">
        <w:rPr>
          <w:noProof/>
        </w:rPr>
        <w:t>: Conclusions</w:t>
      </w:r>
    </w:fldSimple>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D5F1E" w14:textId="6AC8283D" w:rsidR="00175364" w:rsidRDefault="00AE7AB3">
    <w:pPr>
      <w:pStyle w:val="Header"/>
    </w:pPr>
    <w:r>
      <w:fldChar w:fldCharType="begin"/>
    </w:r>
    <w:r>
      <w:instrText xml:space="preserve">STYLEREF  "Heading </w:instrText>
    </w:r>
    <w:r w:rsidR="00B67581">
      <w:instrText>0</w:instrText>
    </w:r>
    <w:r>
      <w:instrText>1"  \* MERGEFORMAT</w:instrText>
    </w:r>
    <w:r>
      <w:fldChar w:fldCharType="separate"/>
    </w:r>
    <w:r w:rsidR="00181065">
      <w:rPr>
        <w:noProof/>
      </w:rPr>
      <w:t>References</w:t>
    </w:r>
    <w:r>
      <w:rPr>
        <w:noProof/>
      </w:rPr>
      <w:fldChar w:fldCharType="end"/>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8A9C0" w14:textId="2B486A90" w:rsidR="00C501CD" w:rsidRPr="00756770" w:rsidRDefault="00656FEF">
    <w:pPr>
      <w:pStyle w:val="Header"/>
    </w:pPr>
    <w:fldSimple w:instr="STYLEREF  &quot;Heading A1&quot; \n  \* MERGEFORMAT">
      <w:r w:rsidR="0019516A">
        <w:rPr>
          <w:noProof/>
        </w:rPr>
        <w:t>Appendix D</w:t>
      </w:r>
    </w:fldSimple>
    <w:r w:rsidR="00756770">
      <w:t xml:space="preserve">: </w:t>
    </w:r>
    <w:fldSimple w:instr="STYLEREF  &quot;Heading A1&quot;  \* MERGEFORMAT">
      <w:r w:rsidR="0019516A">
        <w:rPr>
          <w:noProof/>
        </w:rPr>
        <w:t>Summary of evidence from recent synthesised literature</w:t>
      </w:r>
    </w:fldSimple>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355096B8"/>
    <w:lvl w:ilvl="0">
      <w:start w:val="1"/>
      <w:numFmt w:val="decimal"/>
      <w:pStyle w:val="ListNumber2"/>
      <w:lvlText w:val="%1."/>
      <w:lvlJc w:val="left"/>
      <w:pPr>
        <w:tabs>
          <w:tab w:val="num" w:pos="643"/>
        </w:tabs>
        <w:ind w:left="643" w:hanging="360"/>
      </w:pPr>
    </w:lvl>
  </w:abstractNum>
  <w:abstractNum w:abstractNumId="1" w15:restartNumberingAfterBreak="0">
    <w:nsid w:val="FFFFFF80"/>
    <w:multiLevelType w:val="singleLevel"/>
    <w:tmpl w:val="2F32F55C"/>
    <w:lvl w:ilvl="0">
      <w:start w:val="1"/>
      <w:numFmt w:val="bullet"/>
      <w:pStyle w:val="ListBullet5"/>
      <w:lvlText w:val=""/>
      <w:lvlJc w:val="left"/>
      <w:pPr>
        <w:tabs>
          <w:tab w:val="num" w:pos="1492"/>
        </w:tabs>
        <w:ind w:left="1492" w:hanging="360"/>
      </w:pPr>
      <w:rPr>
        <w:rFonts w:ascii="Symbol" w:hAnsi="Symbol" w:hint="default"/>
      </w:rPr>
    </w:lvl>
  </w:abstractNum>
  <w:abstractNum w:abstractNumId="2" w15:restartNumberingAfterBreak="0">
    <w:nsid w:val="FFFFFF82"/>
    <w:multiLevelType w:val="singleLevel"/>
    <w:tmpl w:val="64BE3B56"/>
    <w:lvl w:ilvl="0">
      <w:start w:val="1"/>
      <w:numFmt w:val="bullet"/>
      <w:pStyle w:val="ListBullet3"/>
      <w:lvlText w:val=""/>
      <w:lvlJc w:val="left"/>
      <w:pPr>
        <w:tabs>
          <w:tab w:val="num" w:pos="714"/>
        </w:tabs>
        <w:ind w:left="714" w:hanging="357"/>
      </w:pPr>
      <w:rPr>
        <w:rFonts w:ascii="Symbol" w:hAnsi="Symbol" w:hint="default"/>
      </w:rPr>
    </w:lvl>
  </w:abstractNum>
  <w:abstractNum w:abstractNumId="3" w15:restartNumberingAfterBreak="0">
    <w:nsid w:val="FFFFFF88"/>
    <w:multiLevelType w:val="singleLevel"/>
    <w:tmpl w:val="849A6D9A"/>
    <w:lvl w:ilvl="0">
      <w:start w:val="1"/>
      <w:numFmt w:val="decimal"/>
      <w:pStyle w:val="ListNumber"/>
      <w:lvlText w:val="%1."/>
      <w:lvlJc w:val="left"/>
      <w:pPr>
        <w:tabs>
          <w:tab w:val="num" w:pos="360"/>
        </w:tabs>
        <w:ind w:left="360" w:hanging="360"/>
      </w:pPr>
    </w:lvl>
  </w:abstractNum>
  <w:abstractNum w:abstractNumId="4" w15:restartNumberingAfterBreak="0">
    <w:nsid w:val="FFFFFF89"/>
    <w:multiLevelType w:val="singleLevel"/>
    <w:tmpl w:val="1FFEC3A4"/>
    <w:lvl w:ilvl="0">
      <w:start w:val="1"/>
      <w:numFmt w:val="bullet"/>
      <w:pStyle w:val="ListBullet"/>
      <w:lvlText w:val=""/>
      <w:lvlJc w:val="left"/>
      <w:pPr>
        <w:tabs>
          <w:tab w:val="num" w:pos="360"/>
        </w:tabs>
        <w:ind w:left="714" w:hanging="357"/>
      </w:pPr>
      <w:rPr>
        <w:rFonts w:ascii="Symbol" w:hAnsi="Symbol" w:hint="default"/>
      </w:rPr>
    </w:lvl>
  </w:abstractNum>
  <w:abstractNum w:abstractNumId="5" w15:restartNumberingAfterBreak="0">
    <w:nsid w:val="00CF35FF"/>
    <w:multiLevelType w:val="hybridMultilevel"/>
    <w:tmpl w:val="47D410AC"/>
    <w:lvl w:ilvl="0" w:tplc="03868E2C">
      <w:start w:val="1"/>
      <w:numFmt w:val="bullet"/>
      <w:lvlText w:val="•"/>
      <w:lvlJc w:val="left"/>
      <w:pPr>
        <w:tabs>
          <w:tab w:val="num" w:pos="720"/>
        </w:tabs>
        <w:ind w:left="720" w:hanging="360"/>
      </w:pPr>
      <w:rPr>
        <w:rFonts w:ascii="Arial" w:hAnsi="Arial" w:hint="default"/>
      </w:rPr>
    </w:lvl>
    <w:lvl w:ilvl="1" w:tplc="AA4A5FC6" w:tentative="1">
      <w:start w:val="1"/>
      <w:numFmt w:val="bullet"/>
      <w:lvlText w:val="•"/>
      <w:lvlJc w:val="left"/>
      <w:pPr>
        <w:tabs>
          <w:tab w:val="num" w:pos="1440"/>
        </w:tabs>
        <w:ind w:left="1440" w:hanging="360"/>
      </w:pPr>
      <w:rPr>
        <w:rFonts w:ascii="Arial" w:hAnsi="Arial" w:hint="default"/>
      </w:rPr>
    </w:lvl>
    <w:lvl w:ilvl="2" w:tplc="CBEE01CC" w:tentative="1">
      <w:start w:val="1"/>
      <w:numFmt w:val="bullet"/>
      <w:lvlText w:val="•"/>
      <w:lvlJc w:val="left"/>
      <w:pPr>
        <w:tabs>
          <w:tab w:val="num" w:pos="2160"/>
        </w:tabs>
        <w:ind w:left="2160" w:hanging="360"/>
      </w:pPr>
      <w:rPr>
        <w:rFonts w:ascii="Arial" w:hAnsi="Arial" w:hint="default"/>
      </w:rPr>
    </w:lvl>
    <w:lvl w:ilvl="3" w:tplc="4740B97C" w:tentative="1">
      <w:start w:val="1"/>
      <w:numFmt w:val="bullet"/>
      <w:lvlText w:val="•"/>
      <w:lvlJc w:val="left"/>
      <w:pPr>
        <w:tabs>
          <w:tab w:val="num" w:pos="2880"/>
        </w:tabs>
        <w:ind w:left="2880" w:hanging="360"/>
      </w:pPr>
      <w:rPr>
        <w:rFonts w:ascii="Arial" w:hAnsi="Arial" w:hint="default"/>
      </w:rPr>
    </w:lvl>
    <w:lvl w:ilvl="4" w:tplc="796CA5C8" w:tentative="1">
      <w:start w:val="1"/>
      <w:numFmt w:val="bullet"/>
      <w:lvlText w:val="•"/>
      <w:lvlJc w:val="left"/>
      <w:pPr>
        <w:tabs>
          <w:tab w:val="num" w:pos="3600"/>
        </w:tabs>
        <w:ind w:left="3600" w:hanging="360"/>
      </w:pPr>
      <w:rPr>
        <w:rFonts w:ascii="Arial" w:hAnsi="Arial" w:hint="default"/>
      </w:rPr>
    </w:lvl>
    <w:lvl w:ilvl="5" w:tplc="7DF0DDD0" w:tentative="1">
      <w:start w:val="1"/>
      <w:numFmt w:val="bullet"/>
      <w:lvlText w:val="•"/>
      <w:lvlJc w:val="left"/>
      <w:pPr>
        <w:tabs>
          <w:tab w:val="num" w:pos="4320"/>
        </w:tabs>
        <w:ind w:left="4320" w:hanging="360"/>
      </w:pPr>
      <w:rPr>
        <w:rFonts w:ascii="Arial" w:hAnsi="Arial" w:hint="default"/>
      </w:rPr>
    </w:lvl>
    <w:lvl w:ilvl="6" w:tplc="27BCAEEE" w:tentative="1">
      <w:start w:val="1"/>
      <w:numFmt w:val="bullet"/>
      <w:lvlText w:val="•"/>
      <w:lvlJc w:val="left"/>
      <w:pPr>
        <w:tabs>
          <w:tab w:val="num" w:pos="5040"/>
        </w:tabs>
        <w:ind w:left="5040" w:hanging="360"/>
      </w:pPr>
      <w:rPr>
        <w:rFonts w:ascii="Arial" w:hAnsi="Arial" w:hint="default"/>
      </w:rPr>
    </w:lvl>
    <w:lvl w:ilvl="7" w:tplc="951E4C72" w:tentative="1">
      <w:start w:val="1"/>
      <w:numFmt w:val="bullet"/>
      <w:lvlText w:val="•"/>
      <w:lvlJc w:val="left"/>
      <w:pPr>
        <w:tabs>
          <w:tab w:val="num" w:pos="5760"/>
        </w:tabs>
        <w:ind w:left="5760" w:hanging="360"/>
      </w:pPr>
      <w:rPr>
        <w:rFonts w:ascii="Arial" w:hAnsi="Arial" w:hint="default"/>
      </w:rPr>
    </w:lvl>
    <w:lvl w:ilvl="8" w:tplc="2E7E03AA"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047937B0"/>
    <w:multiLevelType w:val="multilevel"/>
    <w:tmpl w:val="9A6ED8B2"/>
    <w:lvl w:ilvl="0">
      <w:start w:val="1"/>
      <w:numFmt w:val="decimal"/>
      <w:pStyle w:val="Tabletitle"/>
      <w:lvlText w:val="Table %1: "/>
      <w:lvlJc w:val="left"/>
      <w:pPr>
        <w:ind w:left="502" w:hanging="360"/>
      </w:pPr>
      <w:rPr>
        <w:rFonts w:asciiTheme="majorHAnsi" w:hAnsiTheme="majorHAnsi" w:hint="default"/>
        <w:b/>
        <w:bCs w:val="0"/>
        <w:i w:val="0"/>
        <w:iCs w:val="0"/>
        <w:caps/>
        <w:smallCaps w:val="0"/>
        <w:strike w:val="0"/>
        <w:dstrike w:val="0"/>
        <w:noProof w:val="0"/>
        <w:vanish w:val="0"/>
        <w:color w:val="auto"/>
        <w:spacing w:val="0"/>
        <w:kern w:val="0"/>
        <w:position w:val="0"/>
        <w:sz w:val="22"/>
        <w:szCs w:val="22"/>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62"/>
        </w:tabs>
        <w:ind w:left="862" w:hanging="360"/>
      </w:pPr>
      <w:rPr>
        <w:rFonts w:hint="default"/>
      </w:rPr>
    </w:lvl>
    <w:lvl w:ilvl="2">
      <w:start w:val="1"/>
      <w:numFmt w:val="lowerRoman"/>
      <w:lvlText w:val="%3)"/>
      <w:lvlJc w:val="left"/>
      <w:pPr>
        <w:tabs>
          <w:tab w:val="num" w:pos="1222"/>
        </w:tabs>
        <w:ind w:left="1222" w:hanging="360"/>
      </w:pPr>
      <w:rPr>
        <w:rFonts w:hint="default"/>
      </w:rPr>
    </w:lvl>
    <w:lvl w:ilvl="3">
      <w:start w:val="1"/>
      <w:numFmt w:val="decimal"/>
      <w:lvlText w:val="(%4)"/>
      <w:lvlJc w:val="left"/>
      <w:pPr>
        <w:tabs>
          <w:tab w:val="num" w:pos="1582"/>
        </w:tabs>
        <w:ind w:left="1582" w:hanging="360"/>
      </w:pPr>
      <w:rPr>
        <w:rFonts w:hint="default"/>
      </w:rPr>
    </w:lvl>
    <w:lvl w:ilvl="4">
      <w:start w:val="1"/>
      <w:numFmt w:val="lowerLetter"/>
      <w:lvlText w:val="(%5)"/>
      <w:lvlJc w:val="left"/>
      <w:pPr>
        <w:tabs>
          <w:tab w:val="num" w:pos="1942"/>
        </w:tabs>
        <w:ind w:left="1942" w:hanging="360"/>
      </w:pPr>
      <w:rPr>
        <w:rFonts w:hint="default"/>
      </w:rPr>
    </w:lvl>
    <w:lvl w:ilvl="5">
      <w:start w:val="1"/>
      <w:numFmt w:val="lowerRoman"/>
      <w:lvlText w:val="(%6)"/>
      <w:lvlJc w:val="left"/>
      <w:pPr>
        <w:tabs>
          <w:tab w:val="num" w:pos="2302"/>
        </w:tabs>
        <w:ind w:left="2302" w:hanging="360"/>
      </w:pPr>
      <w:rPr>
        <w:rFonts w:hint="default"/>
      </w:rPr>
    </w:lvl>
    <w:lvl w:ilvl="6">
      <w:start w:val="1"/>
      <w:numFmt w:val="decimal"/>
      <w:lvlText w:val="%7."/>
      <w:lvlJc w:val="left"/>
      <w:pPr>
        <w:tabs>
          <w:tab w:val="num" w:pos="2662"/>
        </w:tabs>
        <w:ind w:left="2662" w:hanging="360"/>
      </w:pPr>
      <w:rPr>
        <w:rFonts w:hint="default"/>
      </w:rPr>
    </w:lvl>
    <w:lvl w:ilvl="7">
      <w:start w:val="1"/>
      <w:numFmt w:val="lowerLetter"/>
      <w:lvlText w:val="%8."/>
      <w:lvlJc w:val="left"/>
      <w:pPr>
        <w:tabs>
          <w:tab w:val="num" w:pos="3022"/>
        </w:tabs>
        <w:ind w:left="3022" w:hanging="360"/>
      </w:pPr>
      <w:rPr>
        <w:rFonts w:hint="default"/>
      </w:rPr>
    </w:lvl>
    <w:lvl w:ilvl="8">
      <w:start w:val="1"/>
      <w:numFmt w:val="lowerRoman"/>
      <w:lvlText w:val="%9."/>
      <w:lvlJc w:val="left"/>
      <w:pPr>
        <w:tabs>
          <w:tab w:val="num" w:pos="3382"/>
        </w:tabs>
        <w:ind w:left="3382" w:hanging="360"/>
      </w:pPr>
      <w:rPr>
        <w:rFonts w:hint="default"/>
      </w:rPr>
    </w:lvl>
  </w:abstractNum>
  <w:abstractNum w:abstractNumId="7" w15:restartNumberingAfterBreak="0">
    <w:nsid w:val="0F636B35"/>
    <w:multiLevelType w:val="hybridMultilevel"/>
    <w:tmpl w:val="525E3DF8"/>
    <w:lvl w:ilvl="0" w:tplc="2E642168">
      <w:start w:val="1"/>
      <w:numFmt w:val="bullet"/>
      <w:pStyle w:val="TableBullet2"/>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8" w15:restartNumberingAfterBreak="0">
    <w:nsid w:val="1B1944B3"/>
    <w:multiLevelType w:val="hybridMultilevel"/>
    <w:tmpl w:val="1F3A4F2A"/>
    <w:lvl w:ilvl="0" w:tplc="08090001">
      <w:start w:val="1"/>
      <w:numFmt w:val="bullet"/>
      <w:lvlText w:val=""/>
      <w:lvlJc w:val="left"/>
      <w:pPr>
        <w:ind w:left="720" w:hanging="360"/>
      </w:pPr>
      <w:rPr>
        <w:rFonts w:ascii="Symbol" w:hAnsi="Symbol" w:hint="default"/>
      </w:rPr>
    </w:lvl>
    <w:lvl w:ilvl="1" w:tplc="58C26D2A">
      <w:start w:val="1"/>
      <w:numFmt w:val="bullet"/>
      <w:pStyle w:val="Bullet2"/>
      <w:lvlText w:val="-"/>
      <w:lvlJc w:val="left"/>
      <w:pPr>
        <w:ind w:left="567" w:hanging="283"/>
      </w:pPr>
      <w:rPr>
        <w:rFonts w:ascii="Courier New" w:hAnsi="Courier New" w:hint="default"/>
      </w:rPr>
    </w:lvl>
    <w:lvl w:ilvl="2" w:tplc="0C090005">
      <w:start w:val="1"/>
      <w:numFmt w:val="bullet"/>
      <w:lvlText w:val=""/>
      <w:lvlJc w:val="left"/>
      <w:pPr>
        <w:ind w:left="2160" w:hanging="360"/>
      </w:pPr>
      <w:rPr>
        <w:rFonts w:ascii="Segoe UI Black" w:hAnsi="Segoe UI Black" w:hint="default"/>
      </w:rPr>
    </w:lvl>
    <w:lvl w:ilvl="3" w:tplc="0C090001" w:tentative="1">
      <w:start w:val="1"/>
      <w:numFmt w:val="bullet"/>
      <w:lvlText w:val=""/>
      <w:lvlJc w:val="left"/>
      <w:pPr>
        <w:ind w:left="2880" w:hanging="360"/>
      </w:pPr>
      <w:rPr>
        <w:rFonts w:ascii="CIDFont+F4" w:hAnsi="CIDFont+F4" w:hint="default"/>
      </w:rPr>
    </w:lvl>
    <w:lvl w:ilvl="4" w:tplc="0C090003" w:tentative="1">
      <w:start w:val="1"/>
      <w:numFmt w:val="bullet"/>
      <w:lvlText w:val="o"/>
      <w:lvlJc w:val="left"/>
      <w:pPr>
        <w:ind w:left="3600" w:hanging="360"/>
      </w:pPr>
      <w:rPr>
        <w:rFonts w:ascii="Segoe UI" w:hAnsi="Segoe UI" w:cs="Segoe UI" w:hint="default"/>
      </w:rPr>
    </w:lvl>
    <w:lvl w:ilvl="5" w:tplc="0C090005" w:tentative="1">
      <w:start w:val="1"/>
      <w:numFmt w:val="bullet"/>
      <w:lvlText w:val=""/>
      <w:lvlJc w:val="left"/>
      <w:pPr>
        <w:ind w:left="4320" w:hanging="360"/>
      </w:pPr>
      <w:rPr>
        <w:rFonts w:ascii="Segoe UI Black" w:hAnsi="Segoe UI Black" w:hint="default"/>
      </w:rPr>
    </w:lvl>
    <w:lvl w:ilvl="6" w:tplc="0C090001" w:tentative="1">
      <w:start w:val="1"/>
      <w:numFmt w:val="bullet"/>
      <w:lvlText w:val=""/>
      <w:lvlJc w:val="left"/>
      <w:pPr>
        <w:ind w:left="5040" w:hanging="360"/>
      </w:pPr>
      <w:rPr>
        <w:rFonts w:ascii="CIDFont+F4" w:hAnsi="CIDFont+F4" w:hint="default"/>
      </w:rPr>
    </w:lvl>
    <w:lvl w:ilvl="7" w:tplc="0C090003" w:tentative="1">
      <w:start w:val="1"/>
      <w:numFmt w:val="bullet"/>
      <w:lvlText w:val="o"/>
      <w:lvlJc w:val="left"/>
      <w:pPr>
        <w:ind w:left="5760" w:hanging="360"/>
      </w:pPr>
      <w:rPr>
        <w:rFonts w:ascii="Segoe UI" w:hAnsi="Segoe UI" w:cs="Segoe UI" w:hint="default"/>
      </w:rPr>
    </w:lvl>
    <w:lvl w:ilvl="8" w:tplc="0C090005" w:tentative="1">
      <w:start w:val="1"/>
      <w:numFmt w:val="bullet"/>
      <w:lvlText w:val=""/>
      <w:lvlJc w:val="left"/>
      <w:pPr>
        <w:ind w:left="6480" w:hanging="360"/>
      </w:pPr>
      <w:rPr>
        <w:rFonts w:ascii="Segoe UI Black" w:hAnsi="Segoe UI Black" w:hint="default"/>
      </w:rPr>
    </w:lvl>
  </w:abstractNum>
  <w:abstractNum w:abstractNumId="9" w15:restartNumberingAfterBreak="0">
    <w:nsid w:val="255F579A"/>
    <w:multiLevelType w:val="multilevel"/>
    <w:tmpl w:val="DC565522"/>
    <w:lvl w:ilvl="0">
      <w:start w:val="1"/>
      <w:numFmt w:val="upperLetter"/>
      <w:pStyle w:val="HeadingA1"/>
      <w:lvlText w:val="Appendix %1"/>
      <w:lvlJc w:val="left"/>
      <w:pPr>
        <w:ind w:left="0" w:firstLine="0"/>
      </w:pPr>
      <w:rPr>
        <w:rFonts w:hint="default"/>
      </w:rPr>
    </w:lvl>
    <w:lvl w:ilvl="1">
      <w:start w:val="1"/>
      <w:numFmt w:val="decimal"/>
      <w:pStyle w:val="HeadingA2"/>
      <w:lvlText w:val="%1.%2"/>
      <w:lvlJc w:val="left"/>
      <w:pPr>
        <w:ind w:left="0" w:firstLine="0"/>
      </w:pPr>
      <w:rPr>
        <w:rFonts w:hint="default"/>
      </w:rPr>
    </w:lvl>
    <w:lvl w:ilvl="2">
      <w:start w:val="1"/>
      <w:numFmt w:val="decimal"/>
      <w:pStyle w:val="HeadingA3"/>
      <w:lvlText w:val="%1.%2.%3"/>
      <w:lvlJc w:val="left"/>
      <w:pPr>
        <w:ind w:left="0" w:firstLine="0"/>
      </w:pPr>
      <w:rPr>
        <w:rFonts w:hint="default"/>
      </w:rPr>
    </w:lvl>
    <w:lvl w:ilvl="3">
      <w:start w:val="1"/>
      <w:numFmt w:val="decimal"/>
      <w:lvlText w:val="(%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10" w15:restartNumberingAfterBreak="0">
    <w:nsid w:val="2B355AA5"/>
    <w:multiLevelType w:val="hybridMultilevel"/>
    <w:tmpl w:val="066CC6C6"/>
    <w:lvl w:ilvl="0" w:tplc="0C38FE4C">
      <w:start w:val="1"/>
      <w:numFmt w:val="bullet"/>
      <w:lvlText w:val=""/>
      <w:lvlJc w:val="left"/>
      <w:pPr>
        <w:ind w:left="720" w:hanging="360"/>
      </w:pPr>
      <w:rPr>
        <w:rFonts w:ascii="Symbol" w:hAnsi="Symbol" w:hint="default"/>
      </w:rPr>
    </w:lvl>
    <w:lvl w:ilvl="1" w:tplc="4A3C5BC2">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BB64FE"/>
    <w:multiLevelType w:val="hybridMultilevel"/>
    <w:tmpl w:val="26BC769E"/>
    <w:lvl w:ilvl="0" w:tplc="5D748152">
      <w:start w:val="1"/>
      <w:numFmt w:val="bullet"/>
      <w:lvlText w:val=""/>
      <w:lvlJc w:val="left"/>
      <w:pPr>
        <w:ind w:left="567" w:hanging="283"/>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38F83C5D"/>
    <w:multiLevelType w:val="multilevel"/>
    <w:tmpl w:val="AB54405E"/>
    <w:lvl w:ilvl="0">
      <w:start w:val="1"/>
      <w:numFmt w:val="bullet"/>
      <w:pStyle w:val="ListBullet1"/>
      <w:lvlText w:val=""/>
      <w:lvlJc w:val="left"/>
      <w:pPr>
        <w:ind w:left="360" w:hanging="360"/>
      </w:pPr>
      <w:rPr>
        <w:rFonts w:ascii="Wingdings 3" w:hAnsi="Wingdings 3" w:hint="default"/>
        <w:b/>
        <w:i w:val="0"/>
        <w:color w:val="401E6C"/>
        <w:spacing w:val="0"/>
        <w:w w:val="100"/>
        <w:position w:val="3"/>
        <w:sz w:val="16"/>
      </w:rPr>
    </w:lvl>
    <w:lvl w:ilvl="1">
      <w:start w:val="1"/>
      <w:numFmt w:val="bullet"/>
      <w:lvlText w:val="–"/>
      <w:lvlJc w:val="left"/>
      <w:pPr>
        <w:tabs>
          <w:tab w:val="num" w:pos="714"/>
        </w:tabs>
        <w:ind w:left="714" w:hanging="357"/>
      </w:pPr>
      <w:rPr>
        <w:rFonts w:ascii="Times New Roman" w:hAnsi="Times New Roman" w:cs="Times New Roman" w:hint="default"/>
        <w:b w:val="0"/>
        <w:i w:val="0"/>
        <w:color w:val="00326C"/>
        <w:position w:val="2"/>
        <w:sz w:val="19"/>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DA34E19"/>
    <w:multiLevelType w:val="hybridMultilevel"/>
    <w:tmpl w:val="044086C6"/>
    <w:lvl w:ilvl="0" w:tplc="FFB20E6E">
      <w:start w:val="1"/>
      <w:numFmt w:val="bullet"/>
      <w:pStyle w:val="TableBullet1"/>
      <w:lvlText w:val=""/>
      <w:lvlJc w:val="left"/>
      <w:pPr>
        <w:ind w:left="227" w:hanging="227"/>
      </w:pPr>
      <w:rPr>
        <w:rFonts w:ascii="Symbol" w:hAnsi="Symbol" w:hint="default"/>
        <w:caps w:val="0"/>
        <w:strike w:val="0"/>
        <w:dstrike w:val="0"/>
        <w:vanish w:val="0"/>
        <w:color w:val="auto"/>
        <w:sz w:val="22"/>
        <w:vertAlign w:val="baseline"/>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4FF23C6"/>
    <w:multiLevelType w:val="hybridMultilevel"/>
    <w:tmpl w:val="4DB230CA"/>
    <w:lvl w:ilvl="0" w:tplc="675494AE">
      <w:start w:val="1"/>
      <w:numFmt w:val="bullet"/>
      <w:pStyle w:val="Tablebullet"/>
      <w:lvlText w:val="-"/>
      <w:lvlJc w:val="left"/>
      <w:pPr>
        <w:tabs>
          <w:tab w:val="num" w:pos="0"/>
        </w:tabs>
        <w:ind w:left="85" w:hanging="85"/>
      </w:pPr>
      <w:rPr>
        <w:rFonts w:ascii="Arial Narrow" w:hAnsi="Arial Narrow"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9F20745"/>
    <w:multiLevelType w:val="hybridMultilevel"/>
    <w:tmpl w:val="55DA1FCA"/>
    <w:lvl w:ilvl="0" w:tplc="05B68D86">
      <w:start w:val="1"/>
      <w:numFmt w:val="bullet"/>
      <w:pStyle w:val="Pullquote"/>
      <w:lvlText w:val="“"/>
      <w:lvlJc w:val="left"/>
      <w:pPr>
        <w:ind w:left="851" w:hanging="681"/>
      </w:pPr>
      <w:rPr>
        <w:rFonts w:ascii="Arial Narrow" w:hAnsi="Arial Narrow" w:hint="default"/>
        <w:color w:val="D9D9D9" w:themeColor="background1" w:themeShade="D9"/>
        <w:position w:val="-76"/>
        <w:sz w:val="144"/>
        <w:szCs w:val="18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A707A56"/>
    <w:multiLevelType w:val="multilevel"/>
    <w:tmpl w:val="5040FE5C"/>
    <w:lvl w:ilvl="0">
      <w:start w:val="1"/>
      <w:numFmt w:val="decimal"/>
      <w:pStyle w:val="Heading1"/>
      <w:suff w:val="nothing"/>
      <w:lvlText w:val="Section %1"/>
      <w:lvlJc w:val="left"/>
      <w:pPr>
        <w:ind w:left="0" w:firstLine="0"/>
      </w:pPr>
      <w:rPr>
        <w:rFonts w:hint="default"/>
      </w:rPr>
    </w:lvl>
    <w:lvl w:ilvl="1">
      <w:start w:val="1"/>
      <w:numFmt w:val="decimal"/>
      <w:pStyle w:val="Heading2"/>
      <w:lvlText w:val="%1.%2"/>
      <w:lvlJc w:val="left"/>
      <w:pPr>
        <w:ind w:left="0" w:firstLine="0"/>
      </w:pPr>
      <w:rPr>
        <w:rFonts w:hint="default"/>
      </w:rPr>
    </w:lvl>
    <w:lvl w:ilvl="2">
      <w:start w:val="1"/>
      <w:numFmt w:val="none"/>
      <w:pStyle w:val="Heading3"/>
      <w:lvlText w:val=""/>
      <w:lvlJc w:val="left"/>
      <w:pPr>
        <w:ind w:left="0" w:firstLine="0"/>
      </w:pPr>
      <w:rPr>
        <w:rFonts w:hint="default"/>
      </w:rPr>
    </w:lvl>
    <w:lvl w:ilvl="3">
      <w:start w:val="1"/>
      <w:numFmt w:val="none"/>
      <w:pStyle w:val="Heading4"/>
      <w:lvlText w:val=""/>
      <w:lvlJc w:val="left"/>
      <w:pPr>
        <w:ind w:left="0" w:firstLine="0"/>
      </w:pPr>
      <w:rPr>
        <w:rFonts w:hint="default"/>
      </w:rPr>
    </w:lvl>
    <w:lvl w:ilvl="4">
      <w:start w:val="1"/>
      <w:numFmt w:val="none"/>
      <w:pStyle w:val="Heading5"/>
      <w:lvlText w:val=""/>
      <w:lvlJc w:val="left"/>
      <w:pPr>
        <w:ind w:left="0" w:firstLine="0"/>
      </w:pPr>
      <w:rPr>
        <w:rFonts w:hint="default"/>
      </w:rPr>
    </w:lvl>
    <w:lvl w:ilvl="5">
      <w:start w:val="1"/>
      <w:numFmt w:val="none"/>
      <w:pStyle w:val="Heading6"/>
      <w:lvlText w:val=""/>
      <w:lvlJc w:val="left"/>
      <w:pPr>
        <w:ind w:left="0" w:firstLine="0"/>
      </w:pPr>
      <w:rPr>
        <w:rFonts w:hint="default"/>
      </w:rPr>
    </w:lvl>
    <w:lvl w:ilvl="6">
      <w:start w:val="1"/>
      <w:numFmt w:val="none"/>
      <w:pStyle w:val="Heading7"/>
      <w:lvlText w:val=""/>
      <w:lvlJc w:val="left"/>
      <w:pPr>
        <w:ind w:left="0" w:firstLine="0"/>
      </w:pPr>
      <w:rPr>
        <w:rFonts w:hint="default"/>
      </w:rPr>
    </w:lvl>
    <w:lvl w:ilvl="7">
      <w:start w:val="1"/>
      <w:numFmt w:val="none"/>
      <w:pStyle w:val="Heading8"/>
      <w:lvlText w:val=""/>
      <w:lvlJc w:val="left"/>
      <w:pPr>
        <w:ind w:left="0" w:firstLine="0"/>
      </w:pPr>
      <w:rPr>
        <w:rFonts w:hint="default"/>
      </w:rPr>
    </w:lvl>
    <w:lvl w:ilvl="8">
      <w:start w:val="1"/>
      <w:numFmt w:val="none"/>
      <w:pStyle w:val="Heading9"/>
      <w:lvlText w:val=""/>
      <w:lvlJc w:val="left"/>
      <w:pPr>
        <w:ind w:left="0" w:firstLine="0"/>
      </w:pPr>
      <w:rPr>
        <w:rFonts w:hint="default"/>
      </w:rPr>
    </w:lvl>
  </w:abstractNum>
  <w:abstractNum w:abstractNumId="17" w15:restartNumberingAfterBreak="0">
    <w:nsid w:val="5FB572F9"/>
    <w:multiLevelType w:val="hybridMultilevel"/>
    <w:tmpl w:val="BA18A390"/>
    <w:lvl w:ilvl="0" w:tplc="3FA88254">
      <w:start w:val="1"/>
      <w:numFmt w:val="bullet"/>
      <w:pStyle w:val="Bullet1"/>
      <w:lvlText w:val=""/>
      <w:lvlJc w:val="left"/>
      <w:pPr>
        <w:ind w:left="567" w:hanging="283"/>
      </w:pPr>
      <w:rPr>
        <w:rFonts w:ascii="Symbol" w:hAnsi="Symbol" w:hint="default"/>
      </w:rPr>
    </w:lvl>
    <w:lvl w:ilvl="1" w:tplc="0C090003">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8" w15:restartNumberingAfterBreak="0">
    <w:nsid w:val="6A464EAF"/>
    <w:multiLevelType w:val="hybridMultilevel"/>
    <w:tmpl w:val="B268D1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8064492"/>
    <w:multiLevelType w:val="multilevel"/>
    <w:tmpl w:val="2BBAD8F4"/>
    <w:lvl w:ilvl="0">
      <w:start w:val="1"/>
      <w:numFmt w:val="none"/>
      <w:suff w:val="nothing"/>
      <w:lvlText w:val=""/>
      <w:lvlJc w:val="left"/>
      <w:pPr>
        <w:ind w:left="0" w:firstLine="0"/>
      </w:pPr>
      <w:rPr>
        <w:rFonts w:hint="default"/>
      </w:rPr>
    </w:lvl>
    <w:lvl w:ilvl="1">
      <w:start w:val="1"/>
      <w:numFmt w:val="decimal"/>
      <w:pStyle w:val="Headingb2"/>
      <w:lvlText w:val="B.%1%2"/>
      <w:lvlJc w:val="left"/>
      <w:pPr>
        <w:ind w:left="0" w:firstLine="0"/>
      </w:pPr>
      <w:rPr>
        <w:rFonts w:hint="default"/>
      </w:rPr>
    </w:lvl>
    <w:lvl w:ilvl="2">
      <w:start w:val="1"/>
      <w:numFmt w:val="decimal"/>
      <w:pStyle w:val="Headingb3"/>
      <w:lvlText w:val="%1B.%2.%3"/>
      <w:lvlJc w:val="left"/>
      <w:pPr>
        <w:ind w:left="0" w:firstLine="0"/>
      </w:pPr>
      <w:rPr>
        <w:rFonts w:hint="default"/>
      </w:rPr>
    </w:lvl>
    <w:lvl w:ilvl="3">
      <w:start w:val="1"/>
      <w:numFmt w:val="decimal"/>
      <w:pStyle w:val="Headingb4"/>
      <w:lvlText w:val="B.%2.%3.%4"/>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num w:numId="1" w16cid:durableId="1596086775">
    <w:abstractNumId w:val="6"/>
  </w:num>
  <w:num w:numId="2" w16cid:durableId="1813981541">
    <w:abstractNumId w:val="14"/>
  </w:num>
  <w:num w:numId="3" w16cid:durableId="302850174">
    <w:abstractNumId w:val="12"/>
  </w:num>
  <w:num w:numId="4" w16cid:durableId="1326519307">
    <w:abstractNumId w:val="2"/>
  </w:num>
  <w:num w:numId="5" w16cid:durableId="993877192">
    <w:abstractNumId w:val="8"/>
  </w:num>
  <w:num w:numId="6" w16cid:durableId="161431459">
    <w:abstractNumId w:val="3"/>
  </w:num>
  <w:num w:numId="7" w16cid:durableId="375394800">
    <w:abstractNumId w:val="0"/>
  </w:num>
  <w:num w:numId="8" w16cid:durableId="708190251">
    <w:abstractNumId w:val="4"/>
    <w:lvlOverride w:ilvl="0">
      <w:startOverride w:val="1"/>
    </w:lvlOverride>
  </w:num>
  <w:num w:numId="9" w16cid:durableId="1380739614">
    <w:abstractNumId w:val="16"/>
  </w:num>
  <w:num w:numId="10" w16cid:durableId="637883266">
    <w:abstractNumId w:val="19"/>
  </w:num>
  <w:num w:numId="11" w16cid:durableId="1353141471">
    <w:abstractNumId w:val="1"/>
  </w:num>
  <w:num w:numId="12" w16cid:durableId="115880028">
    <w:abstractNumId w:val="13"/>
  </w:num>
  <w:num w:numId="13" w16cid:durableId="1305156239">
    <w:abstractNumId w:val="10"/>
  </w:num>
  <w:num w:numId="14" w16cid:durableId="40110148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5518992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014498949">
    <w:abstractNumId w:val="7"/>
  </w:num>
  <w:num w:numId="17" w16cid:durableId="5863744">
    <w:abstractNumId w:val="9"/>
  </w:num>
  <w:num w:numId="18" w16cid:durableId="120923666">
    <w:abstractNumId w:val="11"/>
  </w:num>
  <w:num w:numId="19" w16cid:durableId="126974250">
    <w:abstractNumId w:val="17"/>
  </w:num>
  <w:num w:numId="20" w16cid:durableId="1984189096">
    <w:abstractNumId w:val="18"/>
  </w:num>
  <w:num w:numId="21" w16cid:durableId="1683241182">
    <w:abstractNumId w:val="15"/>
  </w:num>
  <w:num w:numId="22" w16cid:durableId="54611365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990866058">
    <w:abstractNumId w:val="5"/>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7"/>
  <w:removePersonalInformation/>
  <w:removeDateAndTime/>
  <w:displayBackgroundShape/>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oNotTrackFormatting/>
  <w:documentProtection w:edit="trackedChanges" w:enforcement="0"/>
  <w:defaultTabStop w:val="720"/>
  <w:defaultTableStyle w:val="SGB"/>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IyMDA0NTMyNDMzMTVQ0lEKTi0uzszPAymwqAUAak9+xCwAAAA="/>
    <w:docVar w:name="EN.InstantFormat" w:val="&lt;ENInstantFormat&gt;&lt;Enabled&gt;1&lt;/Enabled&gt;&lt;ScanUnformatted&gt;1&lt;/ScanUnformatted&gt;&lt;ScanChanges&gt;1&lt;/ScanChanges&gt;&lt;Suspended&gt;0&lt;/Suspended&gt;&lt;/ENInstantFormat&gt;"/>
    <w:docVar w:name="EN.Layout" w:val="&lt;ENLayout&gt;&lt;Style&gt;Vancouver&lt;/Style&gt;&lt;LeftDelim&gt;{&lt;/LeftDelim&gt;&lt;RightDelim&gt;}&lt;/RightDelim&gt;&lt;FontName&gt;Cambria&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wd559px9awvxvyeprsvpw50k9p0x002z2wf0&quot;&gt;Asthma EndNote Library&lt;record-ids&gt;&lt;item&gt;764&lt;/item&gt;&lt;item&gt;766&lt;/item&gt;&lt;item&gt;768&lt;/item&gt;&lt;item&gt;769&lt;/item&gt;&lt;item&gt;770&lt;/item&gt;&lt;item&gt;771&lt;/item&gt;&lt;item&gt;772&lt;/item&gt;&lt;item&gt;777&lt;/item&gt;&lt;item&gt;782&lt;/item&gt;&lt;item&gt;783&lt;/item&gt;&lt;item&gt;784&lt;/item&gt;&lt;item&gt;786&lt;/item&gt;&lt;item&gt;789&lt;/item&gt;&lt;item&gt;796&lt;/item&gt;&lt;item&gt;800&lt;/item&gt;&lt;item&gt;801&lt;/item&gt;&lt;item&gt;802&lt;/item&gt;&lt;item&gt;805&lt;/item&gt;&lt;item&gt;806&lt;/item&gt;&lt;item&gt;807&lt;/item&gt;&lt;item&gt;810&lt;/item&gt;&lt;item&gt;814&lt;/item&gt;&lt;item&gt;815&lt;/item&gt;&lt;item&gt;816&lt;/item&gt;&lt;item&gt;817&lt;/item&gt;&lt;item&gt;822&lt;/item&gt;&lt;item&gt;824&lt;/item&gt;&lt;item&gt;825&lt;/item&gt;&lt;item&gt;826&lt;/item&gt;&lt;item&gt;827&lt;/item&gt;&lt;item&gt;829&lt;/item&gt;&lt;item&gt;832&lt;/item&gt;&lt;item&gt;835&lt;/item&gt;&lt;item&gt;836&lt;/item&gt;&lt;item&gt;838&lt;/item&gt;&lt;item&gt;845&lt;/item&gt;&lt;item&gt;848&lt;/item&gt;&lt;item&gt;850&lt;/item&gt;&lt;item&gt;852&lt;/item&gt;&lt;item&gt;855&lt;/item&gt;&lt;item&gt;857&lt;/item&gt;&lt;item&gt;860&lt;/item&gt;&lt;item&gt;861&lt;/item&gt;&lt;item&gt;869&lt;/item&gt;&lt;item&gt;870&lt;/item&gt;&lt;item&gt;878&lt;/item&gt;&lt;item&gt;879&lt;/item&gt;&lt;item&gt;880&lt;/item&gt;&lt;item&gt;886&lt;/item&gt;&lt;item&gt;904&lt;/item&gt;&lt;item&gt;905&lt;/item&gt;&lt;item&gt;918&lt;/item&gt;&lt;item&gt;921&lt;/item&gt;&lt;item&gt;926&lt;/item&gt;&lt;item&gt;929&lt;/item&gt;&lt;item&gt;934&lt;/item&gt;&lt;item&gt;936&lt;/item&gt;&lt;item&gt;941&lt;/item&gt;&lt;item&gt;947&lt;/item&gt;&lt;item&gt;955&lt;/item&gt;&lt;item&gt;961&lt;/item&gt;&lt;item&gt;962&lt;/item&gt;&lt;item&gt;964&lt;/item&gt;&lt;item&gt;969&lt;/item&gt;&lt;item&gt;977&lt;/item&gt;&lt;item&gt;988&lt;/item&gt;&lt;item&gt;989&lt;/item&gt;&lt;item&gt;990&lt;/item&gt;&lt;item&gt;996&lt;/item&gt;&lt;item&gt;997&lt;/item&gt;&lt;item&gt;998&lt;/item&gt;&lt;item&gt;999&lt;/item&gt;&lt;item&gt;1001&lt;/item&gt;&lt;item&gt;1003&lt;/item&gt;&lt;item&gt;1004&lt;/item&gt;&lt;item&gt;1007&lt;/item&gt;&lt;item&gt;1008&lt;/item&gt;&lt;item&gt;1009&lt;/item&gt;&lt;item&gt;1010&lt;/item&gt;&lt;item&gt;1012&lt;/item&gt;&lt;item&gt;1013&lt;/item&gt;&lt;item&gt;1015&lt;/item&gt;&lt;item&gt;1016&lt;/item&gt;&lt;item&gt;1017&lt;/item&gt;&lt;item&gt;1019&lt;/item&gt;&lt;item&gt;1020&lt;/item&gt;&lt;item&gt;1021&lt;/item&gt;&lt;item&gt;1024&lt;/item&gt;&lt;item&gt;1025&lt;/item&gt;&lt;item&gt;1026&lt;/item&gt;&lt;item&gt;1027&lt;/item&gt;&lt;item&gt;1028&lt;/item&gt;&lt;item&gt;1029&lt;/item&gt;&lt;item&gt;1030&lt;/item&gt;&lt;item&gt;1031&lt;/item&gt;&lt;item&gt;1032&lt;/item&gt;&lt;item&gt;1036&lt;/item&gt;&lt;item&gt;1037&lt;/item&gt;&lt;item&gt;1039&lt;/item&gt;&lt;item&gt;1040&lt;/item&gt;&lt;item&gt;1042&lt;/item&gt;&lt;item&gt;1046&lt;/item&gt;&lt;item&gt;1047&lt;/item&gt;&lt;item&gt;1048&lt;/item&gt;&lt;item&gt;1049&lt;/item&gt;&lt;item&gt;1051&lt;/item&gt;&lt;item&gt;1052&lt;/item&gt;&lt;item&gt;1053&lt;/item&gt;&lt;item&gt;1055&lt;/item&gt;&lt;item&gt;1060&lt;/item&gt;&lt;item&gt;1068&lt;/item&gt;&lt;item&gt;1069&lt;/item&gt;&lt;item&gt;1070&lt;/item&gt;&lt;item&gt;1071&lt;/item&gt;&lt;item&gt;1072&lt;/item&gt;&lt;item&gt;1073&lt;/item&gt;&lt;item&gt;1074&lt;/item&gt;&lt;item&gt;1075&lt;/item&gt;&lt;item&gt;1076&lt;/item&gt;&lt;item&gt;1077&lt;/item&gt;&lt;item&gt;1078&lt;/item&gt;&lt;item&gt;1079&lt;/item&gt;&lt;item&gt;1080&lt;/item&gt;&lt;item&gt;1084&lt;/item&gt;&lt;item&gt;1085&lt;/item&gt;&lt;item&gt;1086&lt;/item&gt;&lt;item&gt;1087&lt;/item&gt;&lt;item&gt;1088&lt;/item&gt;&lt;item&gt;1091&lt;/item&gt;&lt;item&gt;1095&lt;/item&gt;&lt;item&gt;1106&lt;/item&gt;&lt;item&gt;1110&lt;/item&gt;&lt;item&gt;1121&lt;/item&gt;&lt;item&gt;1124&lt;/item&gt;&lt;item&gt;1125&lt;/item&gt;&lt;item&gt;1126&lt;/item&gt;&lt;item&gt;1127&lt;/item&gt;&lt;item&gt;1128&lt;/item&gt;&lt;item&gt;1129&lt;/item&gt;&lt;item&gt;1130&lt;/item&gt;&lt;item&gt;1132&lt;/item&gt;&lt;item&gt;1133&lt;/item&gt;&lt;item&gt;1134&lt;/item&gt;&lt;item&gt;1135&lt;/item&gt;&lt;item&gt;1136&lt;/item&gt;&lt;item&gt;1159&lt;/item&gt;&lt;item&gt;1166&lt;/item&gt;&lt;/record-ids&gt;&lt;/item&gt;&lt;/Libraries&gt;"/>
  </w:docVars>
  <w:rsids>
    <w:rsidRoot w:val="008D0D0C"/>
    <w:rsid w:val="0000001E"/>
    <w:rsid w:val="000000AA"/>
    <w:rsid w:val="00000152"/>
    <w:rsid w:val="000001A7"/>
    <w:rsid w:val="00000213"/>
    <w:rsid w:val="0000021E"/>
    <w:rsid w:val="00000295"/>
    <w:rsid w:val="000002AB"/>
    <w:rsid w:val="000002F4"/>
    <w:rsid w:val="000003BB"/>
    <w:rsid w:val="000003ED"/>
    <w:rsid w:val="0000047A"/>
    <w:rsid w:val="000004BB"/>
    <w:rsid w:val="00000504"/>
    <w:rsid w:val="000005F1"/>
    <w:rsid w:val="00000614"/>
    <w:rsid w:val="000006E0"/>
    <w:rsid w:val="00000738"/>
    <w:rsid w:val="00000948"/>
    <w:rsid w:val="0000099F"/>
    <w:rsid w:val="00000A06"/>
    <w:rsid w:val="00000A39"/>
    <w:rsid w:val="00000BE4"/>
    <w:rsid w:val="00000C1C"/>
    <w:rsid w:val="00000C22"/>
    <w:rsid w:val="00000D8E"/>
    <w:rsid w:val="00000E81"/>
    <w:rsid w:val="00000F39"/>
    <w:rsid w:val="00000FB7"/>
    <w:rsid w:val="00000FE6"/>
    <w:rsid w:val="00001085"/>
    <w:rsid w:val="00001127"/>
    <w:rsid w:val="00001186"/>
    <w:rsid w:val="000011A6"/>
    <w:rsid w:val="000011BC"/>
    <w:rsid w:val="000011DA"/>
    <w:rsid w:val="00001201"/>
    <w:rsid w:val="000012BB"/>
    <w:rsid w:val="00001389"/>
    <w:rsid w:val="000013A9"/>
    <w:rsid w:val="00001449"/>
    <w:rsid w:val="000014A5"/>
    <w:rsid w:val="00001589"/>
    <w:rsid w:val="0000158A"/>
    <w:rsid w:val="000015A3"/>
    <w:rsid w:val="00001669"/>
    <w:rsid w:val="000016E5"/>
    <w:rsid w:val="000016F5"/>
    <w:rsid w:val="00001768"/>
    <w:rsid w:val="000017F7"/>
    <w:rsid w:val="00001A16"/>
    <w:rsid w:val="00001A88"/>
    <w:rsid w:val="00001AB1"/>
    <w:rsid w:val="00001AD1"/>
    <w:rsid w:val="00001BBC"/>
    <w:rsid w:val="00001C84"/>
    <w:rsid w:val="00001D52"/>
    <w:rsid w:val="00001D78"/>
    <w:rsid w:val="00001E5B"/>
    <w:rsid w:val="00001E82"/>
    <w:rsid w:val="00001ED6"/>
    <w:rsid w:val="00002006"/>
    <w:rsid w:val="000020FA"/>
    <w:rsid w:val="00002160"/>
    <w:rsid w:val="000022DC"/>
    <w:rsid w:val="00002465"/>
    <w:rsid w:val="00002496"/>
    <w:rsid w:val="00002533"/>
    <w:rsid w:val="0000257B"/>
    <w:rsid w:val="0000278E"/>
    <w:rsid w:val="000028D9"/>
    <w:rsid w:val="000029AA"/>
    <w:rsid w:val="00002A95"/>
    <w:rsid w:val="00002B1A"/>
    <w:rsid w:val="00002B24"/>
    <w:rsid w:val="00002B95"/>
    <w:rsid w:val="00002BD7"/>
    <w:rsid w:val="00002C22"/>
    <w:rsid w:val="00002D5C"/>
    <w:rsid w:val="00002FA1"/>
    <w:rsid w:val="00003055"/>
    <w:rsid w:val="0000306E"/>
    <w:rsid w:val="000030C3"/>
    <w:rsid w:val="0000317F"/>
    <w:rsid w:val="0000320D"/>
    <w:rsid w:val="0000330A"/>
    <w:rsid w:val="00003374"/>
    <w:rsid w:val="000033B5"/>
    <w:rsid w:val="000033F9"/>
    <w:rsid w:val="00003439"/>
    <w:rsid w:val="000034A1"/>
    <w:rsid w:val="000034E4"/>
    <w:rsid w:val="0000358E"/>
    <w:rsid w:val="000035EC"/>
    <w:rsid w:val="00003657"/>
    <w:rsid w:val="0000366B"/>
    <w:rsid w:val="000036B7"/>
    <w:rsid w:val="000036D1"/>
    <w:rsid w:val="000036E2"/>
    <w:rsid w:val="00003741"/>
    <w:rsid w:val="00003872"/>
    <w:rsid w:val="00003935"/>
    <w:rsid w:val="00003963"/>
    <w:rsid w:val="00003A69"/>
    <w:rsid w:val="00003BB4"/>
    <w:rsid w:val="00003C59"/>
    <w:rsid w:val="00003D73"/>
    <w:rsid w:val="00003E07"/>
    <w:rsid w:val="00003EF2"/>
    <w:rsid w:val="00003F09"/>
    <w:rsid w:val="00003F17"/>
    <w:rsid w:val="00003F9F"/>
    <w:rsid w:val="0000400E"/>
    <w:rsid w:val="00004029"/>
    <w:rsid w:val="0000403B"/>
    <w:rsid w:val="0000407C"/>
    <w:rsid w:val="0000409E"/>
    <w:rsid w:val="000040CD"/>
    <w:rsid w:val="000040D1"/>
    <w:rsid w:val="00004283"/>
    <w:rsid w:val="00004353"/>
    <w:rsid w:val="00004370"/>
    <w:rsid w:val="0000443B"/>
    <w:rsid w:val="00004444"/>
    <w:rsid w:val="00004553"/>
    <w:rsid w:val="000045AB"/>
    <w:rsid w:val="000046C6"/>
    <w:rsid w:val="0000481B"/>
    <w:rsid w:val="0000497A"/>
    <w:rsid w:val="000049F7"/>
    <w:rsid w:val="00004A02"/>
    <w:rsid w:val="00004B73"/>
    <w:rsid w:val="00004CEC"/>
    <w:rsid w:val="00004D1B"/>
    <w:rsid w:val="00004D29"/>
    <w:rsid w:val="00004D37"/>
    <w:rsid w:val="00004E19"/>
    <w:rsid w:val="00004E99"/>
    <w:rsid w:val="00004FA7"/>
    <w:rsid w:val="00005045"/>
    <w:rsid w:val="00005072"/>
    <w:rsid w:val="00005095"/>
    <w:rsid w:val="000050FE"/>
    <w:rsid w:val="00005101"/>
    <w:rsid w:val="0000513A"/>
    <w:rsid w:val="00005151"/>
    <w:rsid w:val="00005155"/>
    <w:rsid w:val="0000515B"/>
    <w:rsid w:val="0000521E"/>
    <w:rsid w:val="0000523C"/>
    <w:rsid w:val="00005262"/>
    <w:rsid w:val="00005317"/>
    <w:rsid w:val="00005342"/>
    <w:rsid w:val="000053CE"/>
    <w:rsid w:val="000053E5"/>
    <w:rsid w:val="00005424"/>
    <w:rsid w:val="000054C2"/>
    <w:rsid w:val="00005529"/>
    <w:rsid w:val="000055A4"/>
    <w:rsid w:val="000055B7"/>
    <w:rsid w:val="000055EA"/>
    <w:rsid w:val="0000568D"/>
    <w:rsid w:val="000057A2"/>
    <w:rsid w:val="000058B1"/>
    <w:rsid w:val="000058DE"/>
    <w:rsid w:val="00005907"/>
    <w:rsid w:val="00005929"/>
    <w:rsid w:val="00005949"/>
    <w:rsid w:val="00005A39"/>
    <w:rsid w:val="00005AEC"/>
    <w:rsid w:val="00005CC7"/>
    <w:rsid w:val="00005E3B"/>
    <w:rsid w:val="00006042"/>
    <w:rsid w:val="00006125"/>
    <w:rsid w:val="00006164"/>
    <w:rsid w:val="000061D8"/>
    <w:rsid w:val="00006281"/>
    <w:rsid w:val="0000643F"/>
    <w:rsid w:val="000064E0"/>
    <w:rsid w:val="000065A2"/>
    <w:rsid w:val="00006610"/>
    <w:rsid w:val="00006613"/>
    <w:rsid w:val="00006623"/>
    <w:rsid w:val="0000663F"/>
    <w:rsid w:val="000067F0"/>
    <w:rsid w:val="00006802"/>
    <w:rsid w:val="0000680D"/>
    <w:rsid w:val="000068CF"/>
    <w:rsid w:val="000069F3"/>
    <w:rsid w:val="00006A97"/>
    <w:rsid w:val="00006BAE"/>
    <w:rsid w:val="00006BE0"/>
    <w:rsid w:val="00006C59"/>
    <w:rsid w:val="00006C7D"/>
    <w:rsid w:val="00006C9C"/>
    <w:rsid w:val="00006D32"/>
    <w:rsid w:val="00006DEF"/>
    <w:rsid w:val="00006E10"/>
    <w:rsid w:val="00006E5C"/>
    <w:rsid w:val="00006EC8"/>
    <w:rsid w:val="00006EC9"/>
    <w:rsid w:val="00006FA4"/>
    <w:rsid w:val="00006FB3"/>
    <w:rsid w:val="00007074"/>
    <w:rsid w:val="000070AC"/>
    <w:rsid w:val="00007191"/>
    <w:rsid w:val="0000724A"/>
    <w:rsid w:val="00007304"/>
    <w:rsid w:val="00007412"/>
    <w:rsid w:val="000074FD"/>
    <w:rsid w:val="00007527"/>
    <w:rsid w:val="00007625"/>
    <w:rsid w:val="00007717"/>
    <w:rsid w:val="00007734"/>
    <w:rsid w:val="00007813"/>
    <w:rsid w:val="000079A2"/>
    <w:rsid w:val="00007A13"/>
    <w:rsid w:val="00007B46"/>
    <w:rsid w:val="00007D41"/>
    <w:rsid w:val="00007DC9"/>
    <w:rsid w:val="00007E0C"/>
    <w:rsid w:val="0001004D"/>
    <w:rsid w:val="000102B0"/>
    <w:rsid w:val="00010300"/>
    <w:rsid w:val="0001034F"/>
    <w:rsid w:val="00010394"/>
    <w:rsid w:val="0001040F"/>
    <w:rsid w:val="00010516"/>
    <w:rsid w:val="0001058E"/>
    <w:rsid w:val="00010628"/>
    <w:rsid w:val="0001063E"/>
    <w:rsid w:val="00010664"/>
    <w:rsid w:val="00010718"/>
    <w:rsid w:val="000108E6"/>
    <w:rsid w:val="000108F0"/>
    <w:rsid w:val="00010A98"/>
    <w:rsid w:val="00010B85"/>
    <w:rsid w:val="00010C24"/>
    <w:rsid w:val="00010C6B"/>
    <w:rsid w:val="00010C6C"/>
    <w:rsid w:val="00010DC0"/>
    <w:rsid w:val="00010F52"/>
    <w:rsid w:val="00010F54"/>
    <w:rsid w:val="00010F6F"/>
    <w:rsid w:val="00010F94"/>
    <w:rsid w:val="00011266"/>
    <w:rsid w:val="000112E1"/>
    <w:rsid w:val="0001149B"/>
    <w:rsid w:val="000114B8"/>
    <w:rsid w:val="000114D9"/>
    <w:rsid w:val="00011514"/>
    <w:rsid w:val="0001165E"/>
    <w:rsid w:val="0001168B"/>
    <w:rsid w:val="000116C5"/>
    <w:rsid w:val="0001172E"/>
    <w:rsid w:val="000117C0"/>
    <w:rsid w:val="00011846"/>
    <w:rsid w:val="00011847"/>
    <w:rsid w:val="000118D3"/>
    <w:rsid w:val="000118EF"/>
    <w:rsid w:val="00011917"/>
    <w:rsid w:val="0001199E"/>
    <w:rsid w:val="000119D9"/>
    <w:rsid w:val="00011A76"/>
    <w:rsid w:val="00011AF4"/>
    <w:rsid w:val="00011CE5"/>
    <w:rsid w:val="00011D4D"/>
    <w:rsid w:val="00011D58"/>
    <w:rsid w:val="00011D8F"/>
    <w:rsid w:val="00011E6F"/>
    <w:rsid w:val="00011EB9"/>
    <w:rsid w:val="00011F00"/>
    <w:rsid w:val="00011F08"/>
    <w:rsid w:val="000120F3"/>
    <w:rsid w:val="00012139"/>
    <w:rsid w:val="00012182"/>
    <w:rsid w:val="000122DB"/>
    <w:rsid w:val="000122E6"/>
    <w:rsid w:val="00012354"/>
    <w:rsid w:val="000123E6"/>
    <w:rsid w:val="000123F0"/>
    <w:rsid w:val="00012415"/>
    <w:rsid w:val="00012470"/>
    <w:rsid w:val="000124A0"/>
    <w:rsid w:val="000124A9"/>
    <w:rsid w:val="000124C1"/>
    <w:rsid w:val="000124C7"/>
    <w:rsid w:val="000124D2"/>
    <w:rsid w:val="000124F0"/>
    <w:rsid w:val="00012584"/>
    <w:rsid w:val="00012642"/>
    <w:rsid w:val="00012689"/>
    <w:rsid w:val="000126D3"/>
    <w:rsid w:val="00012736"/>
    <w:rsid w:val="00012950"/>
    <w:rsid w:val="000129B0"/>
    <w:rsid w:val="000129F5"/>
    <w:rsid w:val="00012A42"/>
    <w:rsid w:val="00012AC5"/>
    <w:rsid w:val="00012BF9"/>
    <w:rsid w:val="00012D09"/>
    <w:rsid w:val="00012D46"/>
    <w:rsid w:val="00012D49"/>
    <w:rsid w:val="00012D89"/>
    <w:rsid w:val="00012F01"/>
    <w:rsid w:val="00013139"/>
    <w:rsid w:val="0001315D"/>
    <w:rsid w:val="0001317E"/>
    <w:rsid w:val="00013265"/>
    <w:rsid w:val="000132B4"/>
    <w:rsid w:val="000133AD"/>
    <w:rsid w:val="00013570"/>
    <w:rsid w:val="000135FA"/>
    <w:rsid w:val="00013692"/>
    <w:rsid w:val="0001370C"/>
    <w:rsid w:val="00013788"/>
    <w:rsid w:val="00013860"/>
    <w:rsid w:val="0001389C"/>
    <w:rsid w:val="000138A0"/>
    <w:rsid w:val="00013972"/>
    <w:rsid w:val="000139F4"/>
    <w:rsid w:val="00013A3A"/>
    <w:rsid w:val="00013A58"/>
    <w:rsid w:val="00013A9D"/>
    <w:rsid w:val="00013B3A"/>
    <w:rsid w:val="00013C15"/>
    <w:rsid w:val="00013C18"/>
    <w:rsid w:val="00013C8E"/>
    <w:rsid w:val="00013CD6"/>
    <w:rsid w:val="00013D53"/>
    <w:rsid w:val="00013DC9"/>
    <w:rsid w:val="00013DD5"/>
    <w:rsid w:val="00013DF7"/>
    <w:rsid w:val="00013E02"/>
    <w:rsid w:val="00013E29"/>
    <w:rsid w:val="00013E66"/>
    <w:rsid w:val="00013E6F"/>
    <w:rsid w:val="00013FC6"/>
    <w:rsid w:val="00014049"/>
    <w:rsid w:val="00014134"/>
    <w:rsid w:val="000142CC"/>
    <w:rsid w:val="000142DB"/>
    <w:rsid w:val="000143CF"/>
    <w:rsid w:val="00014403"/>
    <w:rsid w:val="00014431"/>
    <w:rsid w:val="0001450E"/>
    <w:rsid w:val="00014541"/>
    <w:rsid w:val="000145DB"/>
    <w:rsid w:val="000145E7"/>
    <w:rsid w:val="00014630"/>
    <w:rsid w:val="00014735"/>
    <w:rsid w:val="0001474B"/>
    <w:rsid w:val="0001476F"/>
    <w:rsid w:val="00014910"/>
    <w:rsid w:val="000149AD"/>
    <w:rsid w:val="00014A80"/>
    <w:rsid w:val="00014AD3"/>
    <w:rsid w:val="00014BBA"/>
    <w:rsid w:val="00014C29"/>
    <w:rsid w:val="00014C9A"/>
    <w:rsid w:val="00014CB1"/>
    <w:rsid w:val="00014CBF"/>
    <w:rsid w:val="00014CCD"/>
    <w:rsid w:val="00014CE8"/>
    <w:rsid w:val="00014D28"/>
    <w:rsid w:val="00014DC4"/>
    <w:rsid w:val="00014E20"/>
    <w:rsid w:val="00014E6D"/>
    <w:rsid w:val="00014F5B"/>
    <w:rsid w:val="00014FC3"/>
    <w:rsid w:val="00014FFD"/>
    <w:rsid w:val="0001506C"/>
    <w:rsid w:val="000150F2"/>
    <w:rsid w:val="000151A1"/>
    <w:rsid w:val="0001523D"/>
    <w:rsid w:val="00015260"/>
    <w:rsid w:val="00015298"/>
    <w:rsid w:val="0001531B"/>
    <w:rsid w:val="00015380"/>
    <w:rsid w:val="000153CB"/>
    <w:rsid w:val="00015410"/>
    <w:rsid w:val="00015414"/>
    <w:rsid w:val="000155DC"/>
    <w:rsid w:val="0001560E"/>
    <w:rsid w:val="00015680"/>
    <w:rsid w:val="000157AF"/>
    <w:rsid w:val="000157C0"/>
    <w:rsid w:val="000157CD"/>
    <w:rsid w:val="00015806"/>
    <w:rsid w:val="0001586A"/>
    <w:rsid w:val="000158CF"/>
    <w:rsid w:val="00015905"/>
    <w:rsid w:val="00015AFB"/>
    <w:rsid w:val="00015B61"/>
    <w:rsid w:val="00015C0B"/>
    <w:rsid w:val="00015C4A"/>
    <w:rsid w:val="00015C5F"/>
    <w:rsid w:val="00015D95"/>
    <w:rsid w:val="00015DC9"/>
    <w:rsid w:val="00015E47"/>
    <w:rsid w:val="00015E57"/>
    <w:rsid w:val="00015F4C"/>
    <w:rsid w:val="00015FD8"/>
    <w:rsid w:val="00016016"/>
    <w:rsid w:val="000160C9"/>
    <w:rsid w:val="000161D0"/>
    <w:rsid w:val="000161E2"/>
    <w:rsid w:val="00016292"/>
    <w:rsid w:val="00016308"/>
    <w:rsid w:val="00016324"/>
    <w:rsid w:val="00016361"/>
    <w:rsid w:val="00016371"/>
    <w:rsid w:val="00016457"/>
    <w:rsid w:val="0001650B"/>
    <w:rsid w:val="00016576"/>
    <w:rsid w:val="0001659E"/>
    <w:rsid w:val="000165E2"/>
    <w:rsid w:val="0001678B"/>
    <w:rsid w:val="000167AC"/>
    <w:rsid w:val="000167E1"/>
    <w:rsid w:val="000168A0"/>
    <w:rsid w:val="00016932"/>
    <w:rsid w:val="00016960"/>
    <w:rsid w:val="000169CC"/>
    <w:rsid w:val="00016A42"/>
    <w:rsid w:val="00016A6A"/>
    <w:rsid w:val="00016B3E"/>
    <w:rsid w:val="00016B51"/>
    <w:rsid w:val="00016B75"/>
    <w:rsid w:val="00016B99"/>
    <w:rsid w:val="00016BA4"/>
    <w:rsid w:val="00016D2A"/>
    <w:rsid w:val="00016DDB"/>
    <w:rsid w:val="00016F56"/>
    <w:rsid w:val="00016F7B"/>
    <w:rsid w:val="00016FAA"/>
    <w:rsid w:val="00016FCE"/>
    <w:rsid w:val="0001701F"/>
    <w:rsid w:val="0001704E"/>
    <w:rsid w:val="0001712A"/>
    <w:rsid w:val="00017145"/>
    <w:rsid w:val="00017232"/>
    <w:rsid w:val="000173E0"/>
    <w:rsid w:val="000173F0"/>
    <w:rsid w:val="00017474"/>
    <w:rsid w:val="000174D2"/>
    <w:rsid w:val="000175E7"/>
    <w:rsid w:val="0001777F"/>
    <w:rsid w:val="000178FD"/>
    <w:rsid w:val="00017CE3"/>
    <w:rsid w:val="00017CFB"/>
    <w:rsid w:val="00017DEC"/>
    <w:rsid w:val="00017ED5"/>
    <w:rsid w:val="00017F61"/>
    <w:rsid w:val="00017F83"/>
    <w:rsid w:val="00017F8F"/>
    <w:rsid w:val="00020027"/>
    <w:rsid w:val="000201D1"/>
    <w:rsid w:val="00020252"/>
    <w:rsid w:val="0002034C"/>
    <w:rsid w:val="000203A3"/>
    <w:rsid w:val="0002052B"/>
    <w:rsid w:val="000205E0"/>
    <w:rsid w:val="0002069D"/>
    <w:rsid w:val="000206EE"/>
    <w:rsid w:val="00020745"/>
    <w:rsid w:val="0002078A"/>
    <w:rsid w:val="00020810"/>
    <w:rsid w:val="00020AEB"/>
    <w:rsid w:val="00020BD5"/>
    <w:rsid w:val="00020E6F"/>
    <w:rsid w:val="00020ECF"/>
    <w:rsid w:val="00020F28"/>
    <w:rsid w:val="00020F46"/>
    <w:rsid w:val="00020FD0"/>
    <w:rsid w:val="00020FE6"/>
    <w:rsid w:val="0002105C"/>
    <w:rsid w:val="00021107"/>
    <w:rsid w:val="0002116E"/>
    <w:rsid w:val="000211E4"/>
    <w:rsid w:val="0002126C"/>
    <w:rsid w:val="000212C3"/>
    <w:rsid w:val="00021365"/>
    <w:rsid w:val="00021371"/>
    <w:rsid w:val="00021483"/>
    <w:rsid w:val="0002154C"/>
    <w:rsid w:val="00021597"/>
    <w:rsid w:val="000215A7"/>
    <w:rsid w:val="000215B4"/>
    <w:rsid w:val="000215B8"/>
    <w:rsid w:val="000215E7"/>
    <w:rsid w:val="000216D3"/>
    <w:rsid w:val="0002175D"/>
    <w:rsid w:val="000217A5"/>
    <w:rsid w:val="000217F8"/>
    <w:rsid w:val="0002184F"/>
    <w:rsid w:val="000218E6"/>
    <w:rsid w:val="0002190F"/>
    <w:rsid w:val="0002197F"/>
    <w:rsid w:val="00021A29"/>
    <w:rsid w:val="00021A45"/>
    <w:rsid w:val="00021B2A"/>
    <w:rsid w:val="00021B84"/>
    <w:rsid w:val="00021BC1"/>
    <w:rsid w:val="00021BE1"/>
    <w:rsid w:val="00021C9F"/>
    <w:rsid w:val="00021EDD"/>
    <w:rsid w:val="00021FAD"/>
    <w:rsid w:val="0002201F"/>
    <w:rsid w:val="00022159"/>
    <w:rsid w:val="000221DC"/>
    <w:rsid w:val="000222F8"/>
    <w:rsid w:val="0002239E"/>
    <w:rsid w:val="000223C1"/>
    <w:rsid w:val="000223D2"/>
    <w:rsid w:val="0002245D"/>
    <w:rsid w:val="000225B4"/>
    <w:rsid w:val="00022725"/>
    <w:rsid w:val="00022742"/>
    <w:rsid w:val="000227C5"/>
    <w:rsid w:val="000228F0"/>
    <w:rsid w:val="00022A14"/>
    <w:rsid w:val="00022A6B"/>
    <w:rsid w:val="00022A81"/>
    <w:rsid w:val="00022ABE"/>
    <w:rsid w:val="00022C1D"/>
    <w:rsid w:val="00022C44"/>
    <w:rsid w:val="00022C72"/>
    <w:rsid w:val="00022C8D"/>
    <w:rsid w:val="00022CE9"/>
    <w:rsid w:val="00022ED8"/>
    <w:rsid w:val="00022F69"/>
    <w:rsid w:val="0002302E"/>
    <w:rsid w:val="00023052"/>
    <w:rsid w:val="000230A6"/>
    <w:rsid w:val="00023130"/>
    <w:rsid w:val="00023156"/>
    <w:rsid w:val="00023285"/>
    <w:rsid w:val="000232E5"/>
    <w:rsid w:val="00023351"/>
    <w:rsid w:val="000233B1"/>
    <w:rsid w:val="000233C2"/>
    <w:rsid w:val="00023405"/>
    <w:rsid w:val="00023498"/>
    <w:rsid w:val="000234EA"/>
    <w:rsid w:val="000234EB"/>
    <w:rsid w:val="00023506"/>
    <w:rsid w:val="000235A6"/>
    <w:rsid w:val="000235F3"/>
    <w:rsid w:val="0002363B"/>
    <w:rsid w:val="00023659"/>
    <w:rsid w:val="000236BB"/>
    <w:rsid w:val="000236DC"/>
    <w:rsid w:val="00023744"/>
    <w:rsid w:val="000237E1"/>
    <w:rsid w:val="000237E6"/>
    <w:rsid w:val="00023819"/>
    <w:rsid w:val="00023827"/>
    <w:rsid w:val="000238CC"/>
    <w:rsid w:val="00023A90"/>
    <w:rsid w:val="00023B0D"/>
    <w:rsid w:val="00023B16"/>
    <w:rsid w:val="00023B61"/>
    <w:rsid w:val="00023B95"/>
    <w:rsid w:val="00023BDD"/>
    <w:rsid w:val="00023C30"/>
    <w:rsid w:val="00023D3F"/>
    <w:rsid w:val="00023D83"/>
    <w:rsid w:val="00023E36"/>
    <w:rsid w:val="00023F41"/>
    <w:rsid w:val="00023FDC"/>
    <w:rsid w:val="00023FED"/>
    <w:rsid w:val="0002404A"/>
    <w:rsid w:val="000240CD"/>
    <w:rsid w:val="00024108"/>
    <w:rsid w:val="0002421E"/>
    <w:rsid w:val="0002428A"/>
    <w:rsid w:val="000242B7"/>
    <w:rsid w:val="0002436D"/>
    <w:rsid w:val="0002439A"/>
    <w:rsid w:val="000244B5"/>
    <w:rsid w:val="00024524"/>
    <w:rsid w:val="000245A3"/>
    <w:rsid w:val="000245F9"/>
    <w:rsid w:val="00024607"/>
    <w:rsid w:val="000246AB"/>
    <w:rsid w:val="000246BF"/>
    <w:rsid w:val="00024741"/>
    <w:rsid w:val="000247D4"/>
    <w:rsid w:val="0002497D"/>
    <w:rsid w:val="00024A35"/>
    <w:rsid w:val="00024A74"/>
    <w:rsid w:val="00024B96"/>
    <w:rsid w:val="00024E76"/>
    <w:rsid w:val="00024EB0"/>
    <w:rsid w:val="00024F9A"/>
    <w:rsid w:val="00024F9E"/>
    <w:rsid w:val="00024FE3"/>
    <w:rsid w:val="0002508A"/>
    <w:rsid w:val="0002509E"/>
    <w:rsid w:val="00025132"/>
    <w:rsid w:val="00025144"/>
    <w:rsid w:val="000251CC"/>
    <w:rsid w:val="0002531C"/>
    <w:rsid w:val="0002531E"/>
    <w:rsid w:val="00025388"/>
    <w:rsid w:val="00025392"/>
    <w:rsid w:val="00025460"/>
    <w:rsid w:val="000254CB"/>
    <w:rsid w:val="00025584"/>
    <w:rsid w:val="00025609"/>
    <w:rsid w:val="00025646"/>
    <w:rsid w:val="000256E0"/>
    <w:rsid w:val="00025710"/>
    <w:rsid w:val="00025795"/>
    <w:rsid w:val="000257BB"/>
    <w:rsid w:val="000258DE"/>
    <w:rsid w:val="000259DE"/>
    <w:rsid w:val="000259EC"/>
    <w:rsid w:val="00025BD4"/>
    <w:rsid w:val="00025DF3"/>
    <w:rsid w:val="0002601C"/>
    <w:rsid w:val="00026069"/>
    <w:rsid w:val="000260E5"/>
    <w:rsid w:val="0002628E"/>
    <w:rsid w:val="000263BF"/>
    <w:rsid w:val="00026480"/>
    <w:rsid w:val="0002655E"/>
    <w:rsid w:val="000265A1"/>
    <w:rsid w:val="000265EC"/>
    <w:rsid w:val="000267D4"/>
    <w:rsid w:val="000267D8"/>
    <w:rsid w:val="000268CC"/>
    <w:rsid w:val="000268EB"/>
    <w:rsid w:val="000268FF"/>
    <w:rsid w:val="00026933"/>
    <w:rsid w:val="00026A03"/>
    <w:rsid w:val="00026A30"/>
    <w:rsid w:val="00026AAE"/>
    <w:rsid w:val="00026C11"/>
    <w:rsid w:val="00026C71"/>
    <w:rsid w:val="00026CF4"/>
    <w:rsid w:val="00026D09"/>
    <w:rsid w:val="00026E59"/>
    <w:rsid w:val="00026FB6"/>
    <w:rsid w:val="00027010"/>
    <w:rsid w:val="0002705A"/>
    <w:rsid w:val="000270A2"/>
    <w:rsid w:val="000270E3"/>
    <w:rsid w:val="00027278"/>
    <w:rsid w:val="000272A5"/>
    <w:rsid w:val="000273CD"/>
    <w:rsid w:val="0002742A"/>
    <w:rsid w:val="00027444"/>
    <w:rsid w:val="00027585"/>
    <w:rsid w:val="00027646"/>
    <w:rsid w:val="000276EC"/>
    <w:rsid w:val="000277FF"/>
    <w:rsid w:val="00027871"/>
    <w:rsid w:val="0002788F"/>
    <w:rsid w:val="0002795A"/>
    <w:rsid w:val="00027A84"/>
    <w:rsid w:val="00027B71"/>
    <w:rsid w:val="00027C13"/>
    <w:rsid w:val="00027CA6"/>
    <w:rsid w:val="00027E4F"/>
    <w:rsid w:val="00027E8D"/>
    <w:rsid w:val="00027EB4"/>
    <w:rsid w:val="00030082"/>
    <w:rsid w:val="000300C7"/>
    <w:rsid w:val="000301A4"/>
    <w:rsid w:val="000301AD"/>
    <w:rsid w:val="000301B3"/>
    <w:rsid w:val="000301F3"/>
    <w:rsid w:val="00030226"/>
    <w:rsid w:val="0003022D"/>
    <w:rsid w:val="00030230"/>
    <w:rsid w:val="00030259"/>
    <w:rsid w:val="000302A4"/>
    <w:rsid w:val="000303B0"/>
    <w:rsid w:val="000303C4"/>
    <w:rsid w:val="000304BE"/>
    <w:rsid w:val="000304C9"/>
    <w:rsid w:val="0003051A"/>
    <w:rsid w:val="00030537"/>
    <w:rsid w:val="0003056B"/>
    <w:rsid w:val="000305A3"/>
    <w:rsid w:val="00030600"/>
    <w:rsid w:val="0003069C"/>
    <w:rsid w:val="000307BD"/>
    <w:rsid w:val="000307D3"/>
    <w:rsid w:val="000308BF"/>
    <w:rsid w:val="000308DC"/>
    <w:rsid w:val="0003095E"/>
    <w:rsid w:val="000309FD"/>
    <w:rsid w:val="00030A9C"/>
    <w:rsid w:val="00030B4C"/>
    <w:rsid w:val="00030B68"/>
    <w:rsid w:val="00030C04"/>
    <w:rsid w:val="00030C65"/>
    <w:rsid w:val="00030C6D"/>
    <w:rsid w:val="00030D5A"/>
    <w:rsid w:val="00030DB0"/>
    <w:rsid w:val="00030E3C"/>
    <w:rsid w:val="00030E95"/>
    <w:rsid w:val="00030ECE"/>
    <w:rsid w:val="00030F8D"/>
    <w:rsid w:val="000311CA"/>
    <w:rsid w:val="0003132A"/>
    <w:rsid w:val="00031362"/>
    <w:rsid w:val="00031405"/>
    <w:rsid w:val="00031469"/>
    <w:rsid w:val="00031491"/>
    <w:rsid w:val="000316C8"/>
    <w:rsid w:val="000316CD"/>
    <w:rsid w:val="000316F0"/>
    <w:rsid w:val="00031783"/>
    <w:rsid w:val="000317BC"/>
    <w:rsid w:val="00031827"/>
    <w:rsid w:val="000318D5"/>
    <w:rsid w:val="00031935"/>
    <w:rsid w:val="000319DF"/>
    <w:rsid w:val="000319FA"/>
    <w:rsid w:val="00031A79"/>
    <w:rsid w:val="00031ADF"/>
    <w:rsid w:val="00031D0F"/>
    <w:rsid w:val="00031EDB"/>
    <w:rsid w:val="00031F4B"/>
    <w:rsid w:val="00031F5D"/>
    <w:rsid w:val="0003223D"/>
    <w:rsid w:val="000322B4"/>
    <w:rsid w:val="00032335"/>
    <w:rsid w:val="00032592"/>
    <w:rsid w:val="000325E0"/>
    <w:rsid w:val="000326B0"/>
    <w:rsid w:val="000326E9"/>
    <w:rsid w:val="00032757"/>
    <w:rsid w:val="00032837"/>
    <w:rsid w:val="000328B5"/>
    <w:rsid w:val="000328DB"/>
    <w:rsid w:val="000329C4"/>
    <w:rsid w:val="00032A15"/>
    <w:rsid w:val="00032A49"/>
    <w:rsid w:val="00032AF6"/>
    <w:rsid w:val="00032B77"/>
    <w:rsid w:val="00032BA0"/>
    <w:rsid w:val="00032CCD"/>
    <w:rsid w:val="00032CF0"/>
    <w:rsid w:val="00032D2F"/>
    <w:rsid w:val="00032D71"/>
    <w:rsid w:val="00032DB3"/>
    <w:rsid w:val="00032DBC"/>
    <w:rsid w:val="00032DD7"/>
    <w:rsid w:val="00032E18"/>
    <w:rsid w:val="00032E59"/>
    <w:rsid w:val="00032FDB"/>
    <w:rsid w:val="0003303A"/>
    <w:rsid w:val="000330F7"/>
    <w:rsid w:val="0003315C"/>
    <w:rsid w:val="000332E0"/>
    <w:rsid w:val="000332E1"/>
    <w:rsid w:val="000333D7"/>
    <w:rsid w:val="0003345A"/>
    <w:rsid w:val="00033484"/>
    <w:rsid w:val="000334A5"/>
    <w:rsid w:val="000334E9"/>
    <w:rsid w:val="0003352E"/>
    <w:rsid w:val="0003354F"/>
    <w:rsid w:val="00033557"/>
    <w:rsid w:val="0003359E"/>
    <w:rsid w:val="000335F2"/>
    <w:rsid w:val="000336C0"/>
    <w:rsid w:val="00033708"/>
    <w:rsid w:val="000337BA"/>
    <w:rsid w:val="0003384B"/>
    <w:rsid w:val="0003385D"/>
    <w:rsid w:val="00033934"/>
    <w:rsid w:val="00033A4E"/>
    <w:rsid w:val="00033ABB"/>
    <w:rsid w:val="00033AFC"/>
    <w:rsid w:val="00033B59"/>
    <w:rsid w:val="00033B67"/>
    <w:rsid w:val="00033BEA"/>
    <w:rsid w:val="00033C54"/>
    <w:rsid w:val="00033C71"/>
    <w:rsid w:val="00033CDF"/>
    <w:rsid w:val="00033D1E"/>
    <w:rsid w:val="00033D63"/>
    <w:rsid w:val="00033DEA"/>
    <w:rsid w:val="00033E56"/>
    <w:rsid w:val="00033E95"/>
    <w:rsid w:val="00033EAA"/>
    <w:rsid w:val="00033EC5"/>
    <w:rsid w:val="0003404B"/>
    <w:rsid w:val="00034064"/>
    <w:rsid w:val="000340B5"/>
    <w:rsid w:val="000340C6"/>
    <w:rsid w:val="000340DB"/>
    <w:rsid w:val="0003430E"/>
    <w:rsid w:val="00034472"/>
    <w:rsid w:val="000344AF"/>
    <w:rsid w:val="000344D2"/>
    <w:rsid w:val="0003453B"/>
    <w:rsid w:val="0003453E"/>
    <w:rsid w:val="0003460E"/>
    <w:rsid w:val="000346D5"/>
    <w:rsid w:val="00034772"/>
    <w:rsid w:val="0003479C"/>
    <w:rsid w:val="00034886"/>
    <w:rsid w:val="0003494C"/>
    <w:rsid w:val="000349D9"/>
    <w:rsid w:val="000349F7"/>
    <w:rsid w:val="00034A06"/>
    <w:rsid w:val="00034A3B"/>
    <w:rsid w:val="00034B71"/>
    <w:rsid w:val="00034F05"/>
    <w:rsid w:val="00035014"/>
    <w:rsid w:val="0003502E"/>
    <w:rsid w:val="000350E4"/>
    <w:rsid w:val="000350E8"/>
    <w:rsid w:val="00035153"/>
    <w:rsid w:val="000351B3"/>
    <w:rsid w:val="0003522A"/>
    <w:rsid w:val="0003522B"/>
    <w:rsid w:val="0003525B"/>
    <w:rsid w:val="0003539F"/>
    <w:rsid w:val="000353BD"/>
    <w:rsid w:val="00035400"/>
    <w:rsid w:val="00035414"/>
    <w:rsid w:val="0003543B"/>
    <w:rsid w:val="0003546B"/>
    <w:rsid w:val="000355D0"/>
    <w:rsid w:val="00035693"/>
    <w:rsid w:val="00035776"/>
    <w:rsid w:val="00035824"/>
    <w:rsid w:val="00035874"/>
    <w:rsid w:val="000358F7"/>
    <w:rsid w:val="00035931"/>
    <w:rsid w:val="00035954"/>
    <w:rsid w:val="000359AC"/>
    <w:rsid w:val="00035A03"/>
    <w:rsid w:val="00035A94"/>
    <w:rsid w:val="00035A97"/>
    <w:rsid w:val="00035B67"/>
    <w:rsid w:val="00035BEB"/>
    <w:rsid w:val="00035C4B"/>
    <w:rsid w:val="00035CFF"/>
    <w:rsid w:val="00035D89"/>
    <w:rsid w:val="00035F8E"/>
    <w:rsid w:val="0003613B"/>
    <w:rsid w:val="00036181"/>
    <w:rsid w:val="000361BD"/>
    <w:rsid w:val="000361E9"/>
    <w:rsid w:val="0003636B"/>
    <w:rsid w:val="000364A1"/>
    <w:rsid w:val="000364E8"/>
    <w:rsid w:val="0003657C"/>
    <w:rsid w:val="00036607"/>
    <w:rsid w:val="00036691"/>
    <w:rsid w:val="00036780"/>
    <w:rsid w:val="000367B1"/>
    <w:rsid w:val="00036879"/>
    <w:rsid w:val="00036887"/>
    <w:rsid w:val="000368B9"/>
    <w:rsid w:val="000369BE"/>
    <w:rsid w:val="000369E6"/>
    <w:rsid w:val="00036A79"/>
    <w:rsid w:val="00036A9C"/>
    <w:rsid w:val="00036B6B"/>
    <w:rsid w:val="00036C7E"/>
    <w:rsid w:val="00036CC7"/>
    <w:rsid w:val="00036D38"/>
    <w:rsid w:val="00036D5C"/>
    <w:rsid w:val="00036DD6"/>
    <w:rsid w:val="00036E87"/>
    <w:rsid w:val="00036EE8"/>
    <w:rsid w:val="00036F4D"/>
    <w:rsid w:val="00036FB8"/>
    <w:rsid w:val="0003708D"/>
    <w:rsid w:val="00037198"/>
    <w:rsid w:val="000371EF"/>
    <w:rsid w:val="0003726C"/>
    <w:rsid w:val="000372A3"/>
    <w:rsid w:val="00037404"/>
    <w:rsid w:val="00037442"/>
    <w:rsid w:val="0003747A"/>
    <w:rsid w:val="000374F3"/>
    <w:rsid w:val="00037514"/>
    <w:rsid w:val="0003757E"/>
    <w:rsid w:val="00037720"/>
    <w:rsid w:val="000377A2"/>
    <w:rsid w:val="00037854"/>
    <w:rsid w:val="00037860"/>
    <w:rsid w:val="000378AA"/>
    <w:rsid w:val="000378E2"/>
    <w:rsid w:val="000378E9"/>
    <w:rsid w:val="000378EF"/>
    <w:rsid w:val="00037902"/>
    <w:rsid w:val="000379F7"/>
    <w:rsid w:val="00037A53"/>
    <w:rsid w:val="00037A5D"/>
    <w:rsid w:val="00037C02"/>
    <w:rsid w:val="00037C12"/>
    <w:rsid w:val="00037C6A"/>
    <w:rsid w:val="00037C6C"/>
    <w:rsid w:val="00037D75"/>
    <w:rsid w:val="00037DC2"/>
    <w:rsid w:val="00037DDB"/>
    <w:rsid w:val="00037E48"/>
    <w:rsid w:val="00037EC3"/>
    <w:rsid w:val="00037EC4"/>
    <w:rsid w:val="00037F0B"/>
    <w:rsid w:val="00037F76"/>
    <w:rsid w:val="0004001D"/>
    <w:rsid w:val="00040070"/>
    <w:rsid w:val="000400C3"/>
    <w:rsid w:val="00040140"/>
    <w:rsid w:val="0004014E"/>
    <w:rsid w:val="00040178"/>
    <w:rsid w:val="000401D4"/>
    <w:rsid w:val="000401FC"/>
    <w:rsid w:val="00040237"/>
    <w:rsid w:val="00040284"/>
    <w:rsid w:val="000402E8"/>
    <w:rsid w:val="0004030F"/>
    <w:rsid w:val="00040429"/>
    <w:rsid w:val="000404A0"/>
    <w:rsid w:val="000404B0"/>
    <w:rsid w:val="000404DE"/>
    <w:rsid w:val="0004054E"/>
    <w:rsid w:val="00040617"/>
    <w:rsid w:val="00040662"/>
    <w:rsid w:val="00040775"/>
    <w:rsid w:val="000408A4"/>
    <w:rsid w:val="000408C0"/>
    <w:rsid w:val="000408E6"/>
    <w:rsid w:val="000409D7"/>
    <w:rsid w:val="000409E3"/>
    <w:rsid w:val="00040A3D"/>
    <w:rsid w:val="00040A7D"/>
    <w:rsid w:val="00040AC2"/>
    <w:rsid w:val="00040ACF"/>
    <w:rsid w:val="00040AFB"/>
    <w:rsid w:val="00040B25"/>
    <w:rsid w:val="00040B3D"/>
    <w:rsid w:val="00040B40"/>
    <w:rsid w:val="00040CED"/>
    <w:rsid w:val="00040D9A"/>
    <w:rsid w:val="00040E00"/>
    <w:rsid w:val="00040EFF"/>
    <w:rsid w:val="00040F97"/>
    <w:rsid w:val="0004107B"/>
    <w:rsid w:val="000412F2"/>
    <w:rsid w:val="000413BB"/>
    <w:rsid w:val="000414B7"/>
    <w:rsid w:val="00041577"/>
    <w:rsid w:val="0004157F"/>
    <w:rsid w:val="00041603"/>
    <w:rsid w:val="0004164E"/>
    <w:rsid w:val="000416B4"/>
    <w:rsid w:val="000417B2"/>
    <w:rsid w:val="00041890"/>
    <w:rsid w:val="000418B2"/>
    <w:rsid w:val="000419C6"/>
    <w:rsid w:val="00041A38"/>
    <w:rsid w:val="00041A64"/>
    <w:rsid w:val="00041B33"/>
    <w:rsid w:val="00041B58"/>
    <w:rsid w:val="00041B60"/>
    <w:rsid w:val="00041E18"/>
    <w:rsid w:val="00041E94"/>
    <w:rsid w:val="00041E97"/>
    <w:rsid w:val="00041EF2"/>
    <w:rsid w:val="00041FBA"/>
    <w:rsid w:val="0004206F"/>
    <w:rsid w:val="00042075"/>
    <w:rsid w:val="000420B7"/>
    <w:rsid w:val="0004227E"/>
    <w:rsid w:val="00042286"/>
    <w:rsid w:val="000422CA"/>
    <w:rsid w:val="0004236B"/>
    <w:rsid w:val="00042555"/>
    <w:rsid w:val="0004259B"/>
    <w:rsid w:val="00042616"/>
    <w:rsid w:val="00042638"/>
    <w:rsid w:val="000426FF"/>
    <w:rsid w:val="000427DB"/>
    <w:rsid w:val="000427F6"/>
    <w:rsid w:val="000427FD"/>
    <w:rsid w:val="0004280A"/>
    <w:rsid w:val="00042875"/>
    <w:rsid w:val="0004288C"/>
    <w:rsid w:val="0004289B"/>
    <w:rsid w:val="000428B5"/>
    <w:rsid w:val="000429AC"/>
    <w:rsid w:val="00042B2D"/>
    <w:rsid w:val="00042B4C"/>
    <w:rsid w:val="00042B6A"/>
    <w:rsid w:val="00042CBC"/>
    <w:rsid w:val="00042D0F"/>
    <w:rsid w:val="00042E0C"/>
    <w:rsid w:val="00042E3E"/>
    <w:rsid w:val="00042EAD"/>
    <w:rsid w:val="00042EC7"/>
    <w:rsid w:val="00042F41"/>
    <w:rsid w:val="00042FED"/>
    <w:rsid w:val="00042FF9"/>
    <w:rsid w:val="00043255"/>
    <w:rsid w:val="00043349"/>
    <w:rsid w:val="0004336D"/>
    <w:rsid w:val="00043466"/>
    <w:rsid w:val="000434FC"/>
    <w:rsid w:val="00043536"/>
    <w:rsid w:val="00043538"/>
    <w:rsid w:val="00043632"/>
    <w:rsid w:val="00043638"/>
    <w:rsid w:val="0004363E"/>
    <w:rsid w:val="00043671"/>
    <w:rsid w:val="00043786"/>
    <w:rsid w:val="0004380E"/>
    <w:rsid w:val="00043813"/>
    <w:rsid w:val="00043A3D"/>
    <w:rsid w:val="00043A80"/>
    <w:rsid w:val="00043B40"/>
    <w:rsid w:val="00043C2A"/>
    <w:rsid w:val="00043C6F"/>
    <w:rsid w:val="00043CD5"/>
    <w:rsid w:val="00043D59"/>
    <w:rsid w:val="00043D96"/>
    <w:rsid w:val="00043F4E"/>
    <w:rsid w:val="00043FC3"/>
    <w:rsid w:val="00043FE5"/>
    <w:rsid w:val="00044030"/>
    <w:rsid w:val="00044131"/>
    <w:rsid w:val="00044172"/>
    <w:rsid w:val="000441F1"/>
    <w:rsid w:val="0004421F"/>
    <w:rsid w:val="0004428E"/>
    <w:rsid w:val="00044313"/>
    <w:rsid w:val="000443A6"/>
    <w:rsid w:val="000443C8"/>
    <w:rsid w:val="000443F6"/>
    <w:rsid w:val="000443FF"/>
    <w:rsid w:val="00044463"/>
    <w:rsid w:val="00044471"/>
    <w:rsid w:val="00044603"/>
    <w:rsid w:val="000447D6"/>
    <w:rsid w:val="0004488B"/>
    <w:rsid w:val="000448BB"/>
    <w:rsid w:val="00044917"/>
    <w:rsid w:val="000449D0"/>
    <w:rsid w:val="00044AEA"/>
    <w:rsid w:val="00044B2A"/>
    <w:rsid w:val="00044B5A"/>
    <w:rsid w:val="00044B6E"/>
    <w:rsid w:val="00044D07"/>
    <w:rsid w:val="00044D94"/>
    <w:rsid w:val="00044FED"/>
    <w:rsid w:val="0004509E"/>
    <w:rsid w:val="0004514A"/>
    <w:rsid w:val="0004514D"/>
    <w:rsid w:val="000451CB"/>
    <w:rsid w:val="00045255"/>
    <w:rsid w:val="0004529B"/>
    <w:rsid w:val="000452A8"/>
    <w:rsid w:val="000453DB"/>
    <w:rsid w:val="000454C9"/>
    <w:rsid w:val="00045598"/>
    <w:rsid w:val="000455E1"/>
    <w:rsid w:val="000457A0"/>
    <w:rsid w:val="00045806"/>
    <w:rsid w:val="0004580C"/>
    <w:rsid w:val="0004588C"/>
    <w:rsid w:val="000458CA"/>
    <w:rsid w:val="000459B4"/>
    <w:rsid w:val="00045A37"/>
    <w:rsid w:val="00045A4F"/>
    <w:rsid w:val="00045C22"/>
    <w:rsid w:val="00045D06"/>
    <w:rsid w:val="00045D11"/>
    <w:rsid w:val="00045D30"/>
    <w:rsid w:val="00045DE3"/>
    <w:rsid w:val="00045E05"/>
    <w:rsid w:val="00045E1C"/>
    <w:rsid w:val="00045E29"/>
    <w:rsid w:val="00045FA0"/>
    <w:rsid w:val="00045FA7"/>
    <w:rsid w:val="00046035"/>
    <w:rsid w:val="000460B6"/>
    <w:rsid w:val="00046104"/>
    <w:rsid w:val="0004621A"/>
    <w:rsid w:val="000462DA"/>
    <w:rsid w:val="00046374"/>
    <w:rsid w:val="00046381"/>
    <w:rsid w:val="000463F2"/>
    <w:rsid w:val="0004640C"/>
    <w:rsid w:val="000464BA"/>
    <w:rsid w:val="00046585"/>
    <w:rsid w:val="00046587"/>
    <w:rsid w:val="00046614"/>
    <w:rsid w:val="00046672"/>
    <w:rsid w:val="00046745"/>
    <w:rsid w:val="000467D3"/>
    <w:rsid w:val="00046805"/>
    <w:rsid w:val="0004680D"/>
    <w:rsid w:val="00046869"/>
    <w:rsid w:val="000468CF"/>
    <w:rsid w:val="00046991"/>
    <w:rsid w:val="00046999"/>
    <w:rsid w:val="000469F6"/>
    <w:rsid w:val="00046A07"/>
    <w:rsid w:val="00046A42"/>
    <w:rsid w:val="00046A53"/>
    <w:rsid w:val="00046A58"/>
    <w:rsid w:val="00046A92"/>
    <w:rsid w:val="00046AB3"/>
    <w:rsid w:val="00046B5D"/>
    <w:rsid w:val="00046BA2"/>
    <w:rsid w:val="00046C3D"/>
    <w:rsid w:val="00046C58"/>
    <w:rsid w:val="00046D4A"/>
    <w:rsid w:val="00046DCC"/>
    <w:rsid w:val="00046DD5"/>
    <w:rsid w:val="00046DE6"/>
    <w:rsid w:val="00046E01"/>
    <w:rsid w:val="00046E64"/>
    <w:rsid w:val="00046F72"/>
    <w:rsid w:val="00046F95"/>
    <w:rsid w:val="00046FFD"/>
    <w:rsid w:val="00047054"/>
    <w:rsid w:val="0004707B"/>
    <w:rsid w:val="00047092"/>
    <w:rsid w:val="000471A7"/>
    <w:rsid w:val="00047243"/>
    <w:rsid w:val="00047283"/>
    <w:rsid w:val="00047342"/>
    <w:rsid w:val="0004734C"/>
    <w:rsid w:val="0004783C"/>
    <w:rsid w:val="0004785E"/>
    <w:rsid w:val="000478B5"/>
    <w:rsid w:val="00047A55"/>
    <w:rsid w:val="00047AC8"/>
    <w:rsid w:val="00047ACD"/>
    <w:rsid w:val="00047AD5"/>
    <w:rsid w:val="00047AE8"/>
    <w:rsid w:val="00047B14"/>
    <w:rsid w:val="00047C9E"/>
    <w:rsid w:val="00047E8B"/>
    <w:rsid w:val="00047F04"/>
    <w:rsid w:val="00047F89"/>
    <w:rsid w:val="00050047"/>
    <w:rsid w:val="0005007B"/>
    <w:rsid w:val="000500F0"/>
    <w:rsid w:val="00050125"/>
    <w:rsid w:val="00050142"/>
    <w:rsid w:val="00050176"/>
    <w:rsid w:val="000502A9"/>
    <w:rsid w:val="000502C1"/>
    <w:rsid w:val="00050337"/>
    <w:rsid w:val="00050415"/>
    <w:rsid w:val="0005044D"/>
    <w:rsid w:val="0005045D"/>
    <w:rsid w:val="0005048F"/>
    <w:rsid w:val="00050519"/>
    <w:rsid w:val="00050523"/>
    <w:rsid w:val="000506CB"/>
    <w:rsid w:val="0005072C"/>
    <w:rsid w:val="0005086C"/>
    <w:rsid w:val="0005091F"/>
    <w:rsid w:val="00050A11"/>
    <w:rsid w:val="00050A37"/>
    <w:rsid w:val="00050A82"/>
    <w:rsid w:val="00050BAA"/>
    <w:rsid w:val="00050C81"/>
    <w:rsid w:val="00050D47"/>
    <w:rsid w:val="00050E0A"/>
    <w:rsid w:val="00050EF0"/>
    <w:rsid w:val="00050F57"/>
    <w:rsid w:val="00051018"/>
    <w:rsid w:val="000510FD"/>
    <w:rsid w:val="0005111B"/>
    <w:rsid w:val="00051136"/>
    <w:rsid w:val="0005114D"/>
    <w:rsid w:val="00051222"/>
    <w:rsid w:val="0005135C"/>
    <w:rsid w:val="0005135F"/>
    <w:rsid w:val="00051374"/>
    <w:rsid w:val="00051393"/>
    <w:rsid w:val="000514E5"/>
    <w:rsid w:val="00051513"/>
    <w:rsid w:val="00051518"/>
    <w:rsid w:val="000515C8"/>
    <w:rsid w:val="000515DA"/>
    <w:rsid w:val="000516A5"/>
    <w:rsid w:val="00051796"/>
    <w:rsid w:val="00051850"/>
    <w:rsid w:val="000518A8"/>
    <w:rsid w:val="0005194A"/>
    <w:rsid w:val="00051A00"/>
    <w:rsid w:val="00051A60"/>
    <w:rsid w:val="00051AB9"/>
    <w:rsid w:val="00051B6A"/>
    <w:rsid w:val="00051C3C"/>
    <w:rsid w:val="00051C79"/>
    <w:rsid w:val="00051CCF"/>
    <w:rsid w:val="00051D2C"/>
    <w:rsid w:val="00051D82"/>
    <w:rsid w:val="00051DE1"/>
    <w:rsid w:val="00051DED"/>
    <w:rsid w:val="00051E39"/>
    <w:rsid w:val="00051EF0"/>
    <w:rsid w:val="00051F84"/>
    <w:rsid w:val="00051F88"/>
    <w:rsid w:val="00051FA3"/>
    <w:rsid w:val="00052029"/>
    <w:rsid w:val="000520E0"/>
    <w:rsid w:val="000520F8"/>
    <w:rsid w:val="000521B0"/>
    <w:rsid w:val="000521CD"/>
    <w:rsid w:val="000521F1"/>
    <w:rsid w:val="00052232"/>
    <w:rsid w:val="00052263"/>
    <w:rsid w:val="000522AC"/>
    <w:rsid w:val="000522D7"/>
    <w:rsid w:val="000523F9"/>
    <w:rsid w:val="000523FD"/>
    <w:rsid w:val="000524E3"/>
    <w:rsid w:val="000524E8"/>
    <w:rsid w:val="000524F7"/>
    <w:rsid w:val="00052509"/>
    <w:rsid w:val="000527B5"/>
    <w:rsid w:val="000529A5"/>
    <w:rsid w:val="000529D9"/>
    <w:rsid w:val="00052A93"/>
    <w:rsid w:val="00052B09"/>
    <w:rsid w:val="00052B5D"/>
    <w:rsid w:val="00052C8D"/>
    <w:rsid w:val="00052CCB"/>
    <w:rsid w:val="00052D47"/>
    <w:rsid w:val="00052E2A"/>
    <w:rsid w:val="00052E4E"/>
    <w:rsid w:val="00052E61"/>
    <w:rsid w:val="00052E7C"/>
    <w:rsid w:val="00052EE1"/>
    <w:rsid w:val="00052F54"/>
    <w:rsid w:val="00053022"/>
    <w:rsid w:val="00053168"/>
    <w:rsid w:val="000531A9"/>
    <w:rsid w:val="00053468"/>
    <w:rsid w:val="0005346A"/>
    <w:rsid w:val="00053514"/>
    <w:rsid w:val="00053578"/>
    <w:rsid w:val="000535D1"/>
    <w:rsid w:val="0005360F"/>
    <w:rsid w:val="00053645"/>
    <w:rsid w:val="00053669"/>
    <w:rsid w:val="0005367D"/>
    <w:rsid w:val="000536AC"/>
    <w:rsid w:val="000536F1"/>
    <w:rsid w:val="00053752"/>
    <w:rsid w:val="00053780"/>
    <w:rsid w:val="000537E0"/>
    <w:rsid w:val="00053A6C"/>
    <w:rsid w:val="00053A96"/>
    <w:rsid w:val="00053B71"/>
    <w:rsid w:val="00053C63"/>
    <w:rsid w:val="00053CCE"/>
    <w:rsid w:val="00053CE6"/>
    <w:rsid w:val="00053CE9"/>
    <w:rsid w:val="00053D59"/>
    <w:rsid w:val="00053EBF"/>
    <w:rsid w:val="00053F19"/>
    <w:rsid w:val="00053F29"/>
    <w:rsid w:val="000541CE"/>
    <w:rsid w:val="00054219"/>
    <w:rsid w:val="0005424D"/>
    <w:rsid w:val="000543D8"/>
    <w:rsid w:val="000544CF"/>
    <w:rsid w:val="000544E9"/>
    <w:rsid w:val="00054515"/>
    <w:rsid w:val="00054542"/>
    <w:rsid w:val="0005456D"/>
    <w:rsid w:val="0005465B"/>
    <w:rsid w:val="0005467A"/>
    <w:rsid w:val="000546B3"/>
    <w:rsid w:val="0005475A"/>
    <w:rsid w:val="000547CF"/>
    <w:rsid w:val="0005491F"/>
    <w:rsid w:val="0005498A"/>
    <w:rsid w:val="0005499E"/>
    <w:rsid w:val="000549A9"/>
    <w:rsid w:val="000549F8"/>
    <w:rsid w:val="00054A09"/>
    <w:rsid w:val="00054A30"/>
    <w:rsid w:val="00054ACF"/>
    <w:rsid w:val="00054B3E"/>
    <w:rsid w:val="00054B80"/>
    <w:rsid w:val="00054BC4"/>
    <w:rsid w:val="00054C0C"/>
    <w:rsid w:val="00054C0D"/>
    <w:rsid w:val="00054C50"/>
    <w:rsid w:val="00054C8B"/>
    <w:rsid w:val="00054CB9"/>
    <w:rsid w:val="00054DF9"/>
    <w:rsid w:val="00054EA7"/>
    <w:rsid w:val="00054F49"/>
    <w:rsid w:val="00054FE3"/>
    <w:rsid w:val="0005507C"/>
    <w:rsid w:val="000550E9"/>
    <w:rsid w:val="00055110"/>
    <w:rsid w:val="00055123"/>
    <w:rsid w:val="00055141"/>
    <w:rsid w:val="00055240"/>
    <w:rsid w:val="00055340"/>
    <w:rsid w:val="00055376"/>
    <w:rsid w:val="00055439"/>
    <w:rsid w:val="0005551F"/>
    <w:rsid w:val="00055534"/>
    <w:rsid w:val="0005559B"/>
    <w:rsid w:val="000555B4"/>
    <w:rsid w:val="00055619"/>
    <w:rsid w:val="000556F8"/>
    <w:rsid w:val="0005579F"/>
    <w:rsid w:val="000557A9"/>
    <w:rsid w:val="000557AC"/>
    <w:rsid w:val="00055826"/>
    <w:rsid w:val="00055987"/>
    <w:rsid w:val="000559A9"/>
    <w:rsid w:val="000559D9"/>
    <w:rsid w:val="00055B54"/>
    <w:rsid w:val="00055B7C"/>
    <w:rsid w:val="00055BC5"/>
    <w:rsid w:val="00055BDB"/>
    <w:rsid w:val="00055C45"/>
    <w:rsid w:val="00055D4F"/>
    <w:rsid w:val="00055DD2"/>
    <w:rsid w:val="00055E16"/>
    <w:rsid w:val="00055E58"/>
    <w:rsid w:val="00055F54"/>
    <w:rsid w:val="000560D1"/>
    <w:rsid w:val="0005622C"/>
    <w:rsid w:val="000565D1"/>
    <w:rsid w:val="00056617"/>
    <w:rsid w:val="00056715"/>
    <w:rsid w:val="00056787"/>
    <w:rsid w:val="000567AC"/>
    <w:rsid w:val="000567F1"/>
    <w:rsid w:val="0005681B"/>
    <w:rsid w:val="000568FE"/>
    <w:rsid w:val="00056960"/>
    <w:rsid w:val="00056971"/>
    <w:rsid w:val="000569C5"/>
    <w:rsid w:val="00056B4C"/>
    <w:rsid w:val="00056B63"/>
    <w:rsid w:val="00056BB9"/>
    <w:rsid w:val="00056E74"/>
    <w:rsid w:val="00056EA3"/>
    <w:rsid w:val="00056ED9"/>
    <w:rsid w:val="00056FCF"/>
    <w:rsid w:val="000570FD"/>
    <w:rsid w:val="00057174"/>
    <w:rsid w:val="000572D7"/>
    <w:rsid w:val="0005732A"/>
    <w:rsid w:val="00057333"/>
    <w:rsid w:val="00057396"/>
    <w:rsid w:val="000573FF"/>
    <w:rsid w:val="000574FE"/>
    <w:rsid w:val="000575D1"/>
    <w:rsid w:val="0005761B"/>
    <w:rsid w:val="00057622"/>
    <w:rsid w:val="0005769C"/>
    <w:rsid w:val="00057742"/>
    <w:rsid w:val="000577C0"/>
    <w:rsid w:val="000577DE"/>
    <w:rsid w:val="000577E5"/>
    <w:rsid w:val="000579D9"/>
    <w:rsid w:val="00057A78"/>
    <w:rsid w:val="00057AC0"/>
    <w:rsid w:val="00057AFA"/>
    <w:rsid w:val="00057C93"/>
    <w:rsid w:val="00057CC1"/>
    <w:rsid w:val="00057D25"/>
    <w:rsid w:val="00057D46"/>
    <w:rsid w:val="00057ED4"/>
    <w:rsid w:val="00057F41"/>
    <w:rsid w:val="00057F72"/>
    <w:rsid w:val="00057FD6"/>
    <w:rsid w:val="00060030"/>
    <w:rsid w:val="000600AF"/>
    <w:rsid w:val="000600E8"/>
    <w:rsid w:val="000601A1"/>
    <w:rsid w:val="000602B7"/>
    <w:rsid w:val="00060351"/>
    <w:rsid w:val="0006035A"/>
    <w:rsid w:val="000603FB"/>
    <w:rsid w:val="00060435"/>
    <w:rsid w:val="00060451"/>
    <w:rsid w:val="00060479"/>
    <w:rsid w:val="00060610"/>
    <w:rsid w:val="0006094F"/>
    <w:rsid w:val="00060BA6"/>
    <w:rsid w:val="00060C2C"/>
    <w:rsid w:val="00060C7E"/>
    <w:rsid w:val="00060D36"/>
    <w:rsid w:val="00060E7E"/>
    <w:rsid w:val="00060F73"/>
    <w:rsid w:val="00060FD2"/>
    <w:rsid w:val="0006111F"/>
    <w:rsid w:val="00061184"/>
    <w:rsid w:val="000611A8"/>
    <w:rsid w:val="0006122C"/>
    <w:rsid w:val="000612B7"/>
    <w:rsid w:val="000612F1"/>
    <w:rsid w:val="0006136F"/>
    <w:rsid w:val="000613AD"/>
    <w:rsid w:val="000613F5"/>
    <w:rsid w:val="000614EF"/>
    <w:rsid w:val="00061598"/>
    <w:rsid w:val="000615DF"/>
    <w:rsid w:val="000615E6"/>
    <w:rsid w:val="00061655"/>
    <w:rsid w:val="0006169D"/>
    <w:rsid w:val="000616B2"/>
    <w:rsid w:val="000616CA"/>
    <w:rsid w:val="0006172B"/>
    <w:rsid w:val="0006173E"/>
    <w:rsid w:val="000617D0"/>
    <w:rsid w:val="000617D2"/>
    <w:rsid w:val="000617FF"/>
    <w:rsid w:val="00061846"/>
    <w:rsid w:val="00061969"/>
    <w:rsid w:val="00061975"/>
    <w:rsid w:val="00061C19"/>
    <w:rsid w:val="00061C29"/>
    <w:rsid w:val="00061C34"/>
    <w:rsid w:val="00061C3F"/>
    <w:rsid w:val="00061CF6"/>
    <w:rsid w:val="00061D04"/>
    <w:rsid w:val="00061DAB"/>
    <w:rsid w:val="00062089"/>
    <w:rsid w:val="000620FE"/>
    <w:rsid w:val="0006218D"/>
    <w:rsid w:val="00062327"/>
    <w:rsid w:val="000623AE"/>
    <w:rsid w:val="000625C6"/>
    <w:rsid w:val="00062674"/>
    <w:rsid w:val="00062709"/>
    <w:rsid w:val="000627B9"/>
    <w:rsid w:val="000627BF"/>
    <w:rsid w:val="0006288F"/>
    <w:rsid w:val="0006291A"/>
    <w:rsid w:val="0006296D"/>
    <w:rsid w:val="0006299E"/>
    <w:rsid w:val="00062A32"/>
    <w:rsid w:val="00062A4B"/>
    <w:rsid w:val="00062B62"/>
    <w:rsid w:val="00062B78"/>
    <w:rsid w:val="00062B81"/>
    <w:rsid w:val="00062C6C"/>
    <w:rsid w:val="00062C7C"/>
    <w:rsid w:val="00062D20"/>
    <w:rsid w:val="00062E55"/>
    <w:rsid w:val="00062E99"/>
    <w:rsid w:val="00062EC5"/>
    <w:rsid w:val="00062F1B"/>
    <w:rsid w:val="00062F20"/>
    <w:rsid w:val="00062FE6"/>
    <w:rsid w:val="00063092"/>
    <w:rsid w:val="0006313C"/>
    <w:rsid w:val="000631AD"/>
    <w:rsid w:val="000631D9"/>
    <w:rsid w:val="00063241"/>
    <w:rsid w:val="000632BD"/>
    <w:rsid w:val="0006334A"/>
    <w:rsid w:val="0006338A"/>
    <w:rsid w:val="00063400"/>
    <w:rsid w:val="0006349D"/>
    <w:rsid w:val="00063588"/>
    <w:rsid w:val="0006368A"/>
    <w:rsid w:val="000636A7"/>
    <w:rsid w:val="00063767"/>
    <w:rsid w:val="00063794"/>
    <w:rsid w:val="000638AE"/>
    <w:rsid w:val="000638E2"/>
    <w:rsid w:val="00063928"/>
    <w:rsid w:val="000639BE"/>
    <w:rsid w:val="00063A84"/>
    <w:rsid w:val="00063A9B"/>
    <w:rsid w:val="00063AEA"/>
    <w:rsid w:val="00063C67"/>
    <w:rsid w:val="00063CB5"/>
    <w:rsid w:val="00063D63"/>
    <w:rsid w:val="00063D78"/>
    <w:rsid w:val="00063ED5"/>
    <w:rsid w:val="00063F13"/>
    <w:rsid w:val="00063F8E"/>
    <w:rsid w:val="00064013"/>
    <w:rsid w:val="0006402B"/>
    <w:rsid w:val="000641D2"/>
    <w:rsid w:val="0006421D"/>
    <w:rsid w:val="00064294"/>
    <w:rsid w:val="0006429C"/>
    <w:rsid w:val="000642A9"/>
    <w:rsid w:val="00064354"/>
    <w:rsid w:val="00064357"/>
    <w:rsid w:val="0006439A"/>
    <w:rsid w:val="000644C0"/>
    <w:rsid w:val="000644C5"/>
    <w:rsid w:val="00064530"/>
    <w:rsid w:val="00064534"/>
    <w:rsid w:val="00064557"/>
    <w:rsid w:val="00064591"/>
    <w:rsid w:val="0006465A"/>
    <w:rsid w:val="00064702"/>
    <w:rsid w:val="0006470B"/>
    <w:rsid w:val="00064711"/>
    <w:rsid w:val="0006476B"/>
    <w:rsid w:val="000647CE"/>
    <w:rsid w:val="0006489D"/>
    <w:rsid w:val="000648BA"/>
    <w:rsid w:val="000648BF"/>
    <w:rsid w:val="0006494D"/>
    <w:rsid w:val="0006497A"/>
    <w:rsid w:val="0006498C"/>
    <w:rsid w:val="000649FD"/>
    <w:rsid w:val="00064A7C"/>
    <w:rsid w:val="00064AC6"/>
    <w:rsid w:val="00064C5E"/>
    <w:rsid w:val="00064D6B"/>
    <w:rsid w:val="00064E8A"/>
    <w:rsid w:val="00064EFF"/>
    <w:rsid w:val="00064F03"/>
    <w:rsid w:val="0006501B"/>
    <w:rsid w:val="00065089"/>
    <w:rsid w:val="000650CF"/>
    <w:rsid w:val="00065100"/>
    <w:rsid w:val="0006519A"/>
    <w:rsid w:val="000652AC"/>
    <w:rsid w:val="000652BD"/>
    <w:rsid w:val="000652C7"/>
    <w:rsid w:val="000652D9"/>
    <w:rsid w:val="00065318"/>
    <w:rsid w:val="0006535F"/>
    <w:rsid w:val="00065381"/>
    <w:rsid w:val="000653D5"/>
    <w:rsid w:val="000653FB"/>
    <w:rsid w:val="0006555D"/>
    <w:rsid w:val="000655D1"/>
    <w:rsid w:val="000655D3"/>
    <w:rsid w:val="00065764"/>
    <w:rsid w:val="0006579F"/>
    <w:rsid w:val="000657B9"/>
    <w:rsid w:val="0006586E"/>
    <w:rsid w:val="000658CA"/>
    <w:rsid w:val="0006590F"/>
    <w:rsid w:val="00065C00"/>
    <w:rsid w:val="00065DCE"/>
    <w:rsid w:val="00065FA1"/>
    <w:rsid w:val="00066000"/>
    <w:rsid w:val="000660D9"/>
    <w:rsid w:val="000661B4"/>
    <w:rsid w:val="00066215"/>
    <w:rsid w:val="0006631B"/>
    <w:rsid w:val="00066345"/>
    <w:rsid w:val="00066405"/>
    <w:rsid w:val="00066527"/>
    <w:rsid w:val="00066589"/>
    <w:rsid w:val="00066596"/>
    <w:rsid w:val="0006664F"/>
    <w:rsid w:val="00066658"/>
    <w:rsid w:val="00066676"/>
    <w:rsid w:val="0006667B"/>
    <w:rsid w:val="00066680"/>
    <w:rsid w:val="00066691"/>
    <w:rsid w:val="00066766"/>
    <w:rsid w:val="00066854"/>
    <w:rsid w:val="00066860"/>
    <w:rsid w:val="000668AA"/>
    <w:rsid w:val="000668E7"/>
    <w:rsid w:val="0006699D"/>
    <w:rsid w:val="00066A10"/>
    <w:rsid w:val="00066AD7"/>
    <w:rsid w:val="00066C05"/>
    <w:rsid w:val="00066C2E"/>
    <w:rsid w:val="00066C42"/>
    <w:rsid w:val="00066C4F"/>
    <w:rsid w:val="00066D41"/>
    <w:rsid w:val="00066DE1"/>
    <w:rsid w:val="00066E24"/>
    <w:rsid w:val="00066E37"/>
    <w:rsid w:val="00066ED5"/>
    <w:rsid w:val="0006711F"/>
    <w:rsid w:val="00067233"/>
    <w:rsid w:val="00067294"/>
    <w:rsid w:val="00067388"/>
    <w:rsid w:val="00067480"/>
    <w:rsid w:val="000674E0"/>
    <w:rsid w:val="000674E1"/>
    <w:rsid w:val="00067520"/>
    <w:rsid w:val="00067532"/>
    <w:rsid w:val="00067578"/>
    <w:rsid w:val="0006773C"/>
    <w:rsid w:val="00067757"/>
    <w:rsid w:val="0006783A"/>
    <w:rsid w:val="0006789D"/>
    <w:rsid w:val="00067911"/>
    <w:rsid w:val="0006798C"/>
    <w:rsid w:val="00067A41"/>
    <w:rsid w:val="00067C0C"/>
    <w:rsid w:val="00067C30"/>
    <w:rsid w:val="00067D35"/>
    <w:rsid w:val="00067DF5"/>
    <w:rsid w:val="00067E51"/>
    <w:rsid w:val="000700CA"/>
    <w:rsid w:val="00070128"/>
    <w:rsid w:val="0007014F"/>
    <w:rsid w:val="000701FF"/>
    <w:rsid w:val="00070258"/>
    <w:rsid w:val="0007025D"/>
    <w:rsid w:val="0007026E"/>
    <w:rsid w:val="00070662"/>
    <w:rsid w:val="000706F5"/>
    <w:rsid w:val="00070732"/>
    <w:rsid w:val="00070759"/>
    <w:rsid w:val="00070900"/>
    <w:rsid w:val="0007098D"/>
    <w:rsid w:val="000709A0"/>
    <w:rsid w:val="000709E0"/>
    <w:rsid w:val="00070A69"/>
    <w:rsid w:val="00070AD4"/>
    <w:rsid w:val="00070C56"/>
    <w:rsid w:val="00070C65"/>
    <w:rsid w:val="00070CAE"/>
    <w:rsid w:val="00070E09"/>
    <w:rsid w:val="00070EB3"/>
    <w:rsid w:val="00070F71"/>
    <w:rsid w:val="00070F74"/>
    <w:rsid w:val="00070FE2"/>
    <w:rsid w:val="00071032"/>
    <w:rsid w:val="00071058"/>
    <w:rsid w:val="00071081"/>
    <w:rsid w:val="0007112F"/>
    <w:rsid w:val="0007118D"/>
    <w:rsid w:val="00071196"/>
    <w:rsid w:val="00071206"/>
    <w:rsid w:val="0007123B"/>
    <w:rsid w:val="00071386"/>
    <w:rsid w:val="00071440"/>
    <w:rsid w:val="00071471"/>
    <w:rsid w:val="0007148C"/>
    <w:rsid w:val="00071498"/>
    <w:rsid w:val="000714EC"/>
    <w:rsid w:val="00071891"/>
    <w:rsid w:val="000718EB"/>
    <w:rsid w:val="00071984"/>
    <w:rsid w:val="0007199A"/>
    <w:rsid w:val="00071A0E"/>
    <w:rsid w:val="00071A47"/>
    <w:rsid w:val="00071AC8"/>
    <w:rsid w:val="00071B93"/>
    <w:rsid w:val="00071C38"/>
    <w:rsid w:val="00071CD7"/>
    <w:rsid w:val="00071D35"/>
    <w:rsid w:val="00071D89"/>
    <w:rsid w:val="00071D8C"/>
    <w:rsid w:val="00071D94"/>
    <w:rsid w:val="00071E5F"/>
    <w:rsid w:val="00071E76"/>
    <w:rsid w:val="00071F67"/>
    <w:rsid w:val="00071FF2"/>
    <w:rsid w:val="00071FF4"/>
    <w:rsid w:val="00072011"/>
    <w:rsid w:val="00072071"/>
    <w:rsid w:val="00072089"/>
    <w:rsid w:val="000720E6"/>
    <w:rsid w:val="00072107"/>
    <w:rsid w:val="000721C2"/>
    <w:rsid w:val="0007233B"/>
    <w:rsid w:val="00072409"/>
    <w:rsid w:val="00072427"/>
    <w:rsid w:val="0007246A"/>
    <w:rsid w:val="0007248D"/>
    <w:rsid w:val="000724AF"/>
    <w:rsid w:val="000724C8"/>
    <w:rsid w:val="000724DB"/>
    <w:rsid w:val="00072511"/>
    <w:rsid w:val="00072599"/>
    <w:rsid w:val="000725F8"/>
    <w:rsid w:val="000726A4"/>
    <w:rsid w:val="000727A8"/>
    <w:rsid w:val="00072964"/>
    <w:rsid w:val="00072969"/>
    <w:rsid w:val="000729DB"/>
    <w:rsid w:val="00072A02"/>
    <w:rsid w:val="00072A06"/>
    <w:rsid w:val="00072B9B"/>
    <w:rsid w:val="00072C90"/>
    <w:rsid w:val="00072CE6"/>
    <w:rsid w:val="00072D7C"/>
    <w:rsid w:val="00072E05"/>
    <w:rsid w:val="00072E29"/>
    <w:rsid w:val="00072F19"/>
    <w:rsid w:val="00072F8B"/>
    <w:rsid w:val="00072F95"/>
    <w:rsid w:val="00072F9A"/>
    <w:rsid w:val="00073007"/>
    <w:rsid w:val="00073021"/>
    <w:rsid w:val="000730D4"/>
    <w:rsid w:val="000731A5"/>
    <w:rsid w:val="00073221"/>
    <w:rsid w:val="0007334E"/>
    <w:rsid w:val="0007337E"/>
    <w:rsid w:val="0007346A"/>
    <w:rsid w:val="000734C8"/>
    <w:rsid w:val="000734CA"/>
    <w:rsid w:val="0007354C"/>
    <w:rsid w:val="000735EA"/>
    <w:rsid w:val="00073652"/>
    <w:rsid w:val="00073735"/>
    <w:rsid w:val="00073815"/>
    <w:rsid w:val="0007389A"/>
    <w:rsid w:val="00073BF1"/>
    <w:rsid w:val="00073BF6"/>
    <w:rsid w:val="00073CBA"/>
    <w:rsid w:val="00073D0C"/>
    <w:rsid w:val="00073D10"/>
    <w:rsid w:val="00073DF6"/>
    <w:rsid w:val="00073E2A"/>
    <w:rsid w:val="00073E94"/>
    <w:rsid w:val="00073EAE"/>
    <w:rsid w:val="00073F59"/>
    <w:rsid w:val="00073FB9"/>
    <w:rsid w:val="00073FBC"/>
    <w:rsid w:val="00073FF8"/>
    <w:rsid w:val="00073FFA"/>
    <w:rsid w:val="0007405B"/>
    <w:rsid w:val="000740AD"/>
    <w:rsid w:val="000740BF"/>
    <w:rsid w:val="00074168"/>
    <w:rsid w:val="000742BB"/>
    <w:rsid w:val="00074350"/>
    <w:rsid w:val="000743F8"/>
    <w:rsid w:val="0007441B"/>
    <w:rsid w:val="0007445A"/>
    <w:rsid w:val="00074471"/>
    <w:rsid w:val="0007447C"/>
    <w:rsid w:val="00074572"/>
    <w:rsid w:val="0007459F"/>
    <w:rsid w:val="000746E7"/>
    <w:rsid w:val="0007475D"/>
    <w:rsid w:val="00074783"/>
    <w:rsid w:val="00074812"/>
    <w:rsid w:val="0007491B"/>
    <w:rsid w:val="00074A66"/>
    <w:rsid w:val="00074B3D"/>
    <w:rsid w:val="00074B60"/>
    <w:rsid w:val="00074B6C"/>
    <w:rsid w:val="00074CEB"/>
    <w:rsid w:val="00074E55"/>
    <w:rsid w:val="00074E75"/>
    <w:rsid w:val="00074E95"/>
    <w:rsid w:val="00075054"/>
    <w:rsid w:val="000751AF"/>
    <w:rsid w:val="0007527C"/>
    <w:rsid w:val="00075308"/>
    <w:rsid w:val="00075393"/>
    <w:rsid w:val="000753E9"/>
    <w:rsid w:val="0007546C"/>
    <w:rsid w:val="000755B3"/>
    <w:rsid w:val="000756DC"/>
    <w:rsid w:val="000756EE"/>
    <w:rsid w:val="00075720"/>
    <w:rsid w:val="00075722"/>
    <w:rsid w:val="0007584E"/>
    <w:rsid w:val="00075939"/>
    <w:rsid w:val="00075A05"/>
    <w:rsid w:val="00075A50"/>
    <w:rsid w:val="00075A60"/>
    <w:rsid w:val="00075A9C"/>
    <w:rsid w:val="00075AA0"/>
    <w:rsid w:val="00075ABD"/>
    <w:rsid w:val="00075B6A"/>
    <w:rsid w:val="00075C97"/>
    <w:rsid w:val="00075D7F"/>
    <w:rsid w:val="00075D9E"/>
    <w:rsid w:val="00075DB2"/>
    <w:rsid w:val="00075DD2"/>
    <w:rsid w:val="00075EBD"/>
    <w:rsid w:val="00075ED9"/>
    <w:rsid w:val="00075F15"/>
    <w:rsid w:val="00075F6E"/>
    <w:rsid w:val="00075FCA"/>
    <w:rsid w:val="0007601E"/>
    <w:rsid w:val="00076221"/>
    <w:rsid w:val="0007628D"/>
    <w:rsid w:val="0007635D"/>
    <w:rsid w:val="00076401"/>
    <w:rsid w:val="00076542"/>
    <w:rsid w:val="00076546"/>
    <w:rsid w:val="00076639"/>
    <w:rsid w:val="000766AC"/>
    <w:rsid w:val="000768AF"/>
    <w:rsid w:val="000769AC"/>
    <w:rsid w:val="00076A53"/>
    <w:rsid w:val="00076BDD"/>
    <w:rsid w:val="00076C48"/>
    <w:rsid w:val="00076CD1"/>
    <w:rsid w:val="00076D05"/>
    <w:rsid w:val="00076D8C"/>
    <w:rsid w:val="00076E4D"/>
    <w:rsid w:val="00076EEF"/>
    <w:rsid w:val="000770E1"/>
    <w:rsid w:val="000770F6"/>
    <w:rsid w:val="000772B2"/>
    <w:rsid w:val="0007733E"/>
    <w:rsid w:val="00077349"/>
    <w:rsid w:val="00077425"/>
    <w:rsid w:val="00077482"/>
    <w:rsid w:val="00077497"/>
    <w:rsid w:val="00077571"/>
    <w:rsid w:val="00077573"/>
    <w:rsid w:val="00077574"/>
    <w:rsid w:val="0007760E"/>
    <w:rsid w:val="0007760F"/>
    <w:rsid w:val="00077681"/>
    <w:rsid w:val="000776B8"/>
    <w:rsid w:val="000776F1"/>
    <w:rsid w:val="000776F2"/>
    <w:rsid w:val="00077783"/>
    <w:rsid w:val="00077861"/>
    <w:rsid w:val="000778BC"/>
    <w:rsid w:val="00077999"/>
    <w:rsid w:val="00077A44"/>
    <w:rsid w:val="00077AD7"/>
    <w:rsid w:val="00077B50"/>
    <w:rsid w:val="00077BF7"/>
    <w:rsid w:val="00077C67"/>
    <w:rsid w:val="00077CBD"/>
    <w:rsid w:val="00077CC5"/>
    <w:rsid w:val="00077CFC"/>
    <w:rsid w:val="00077D24"/>
    <w:rsid w:val="00077D42"/>
    <w:rsid w:val="00077D9B"/>
    <w:rsid w:val="00080000"/>
    <w:rsid w:val="00080032"/>
    <w:rsid w:val="0008015F"/>
    <w:rsid w:val="00080199"/>
    <w:rsid w:val="000801AD"/>
    <w:rsid w:val="00080242"/>
    <w:rsid w:val="000802DA"/>
    <w:rsid w:val="00080340"/>
    <w:rsid w:val="00080466"/>
    <w:rsid w:val="000804F0"/>
    <w:rsid w:val="00080551"/>
    <w:rsid w:val="000805D3"/>
    <w:rsid w:val="000805E4"/>
    <w:rsid w:val="000805EA"/>
    <w:rsid w:val="0008068B"/>
    <w:rsid w:val="000806DD"/>
    <w:rsid w:val="00080757"/>
    <w:rsid w:val="00080792"/>
    <w:rsid w:val="000807BA"/>
    <w:rsid w:val="000807BE"/>
    <w:rsid w:val="000807F9"/>
    <w:rsid w:val="0008081B"/>
    <w:rsid w:val="000808EF"/>
    <w:rsid w:val="00080A76"/>
    <w:rsid w:val="00080BAF"/>
    <w:rsid w:val="00080BEA"/>
    <w:rsid w:val="00080D61"/>
    <w:rsid w:val="00080DC0"/>
    <w:rsid w:val="00080E41"/>
    <w:rsid w:val="00080EFF"/>
    <w:rsid w:val="00080F13"/>
    <w:rsid w:val="0008103F"/>
    <w:rsid w:val="00081086"/>
    <w:rsid w:val="00081164"/>
    <w:rsid w:val="0008116E"/>
    <w:rsid w:val="00081180"/>
    <w:rsid w:val="000811B8"/>
    <w:rsid w:val="000811E5"/>
    <w:rsid w:val="00081208"/>
    <w:rsid w:val="000812D8"/>
    <w:rsid w:val="00081398"/>
    <w:rsid w:val="00081436"/>
    <w:rsid w:val="00081483"/>
    <w:rsid w:val="000814E6"/>
    <w:rsid w:val="00081591"/>
    <w:rsid w:val="000815CE"/>
    <w:rsid w:val="000816D8"/>
    <w:rsid w:val="000816FA"/>
    <w:rsid w:val="000817F2"/>
    <w:rsid w:val="00081815"/>
    <w:rsid w:val="00081966"/>
    <w:rsid w:val="00081984"/>
    <w:rsid w:val="00081990"/>
    <w:rsid w:val="00081A6B"/>
    <w:rsid w:val="00081B08"/>
    <w:rsid w:val="00081BB8"/>
    <w:rsid w:val="00081BCE"/>
    <w:rsid w:val="00081C92"/>
    <w:rsid w:val="00081CD2"/>
    <w:rsid w:val="00081D07"/>
    <w:rsid w:val="00081D60"/>
    <w:rsid w:val="00081D98"/>
    <w:rsid w:val="00081DCB"/>
    <w:rsid w:val="00081E3F"/>
    <w:rsid w:val="00081E89"/>
    <w:rsid w:val="00081EF4"/>
    <w:rsid w:val="00081F6F"/>
    <w:rsid w:val="000823A7"/>
    <w:rsid w:val="0008241A"/>
    <w:rsid w:val="00082452"/>
    <w:rsid w:val="0008247D"/>
    <w:rsid w:val="00082489"/>
    <w:rsid w:val="000824FC"/>
    <w:rsid w:val="0008254C"/>
    <w:rsid w:val="0008261D"/>
    <w:rsid w:val="00082673"/>
    <w:rsid w:val="00082751"/>
    <w:rsid w:val="000828B7"/>
    <w:rsid w:val="000828D3"/>
    <w:rsid w:val="00082909"/>
    <w:rsid w:val="000829D9"/>
    <w:rsid w:val="00082A22"/>
    <w:rsid w:val="00082A81"/>
    <w:rsid w:val="00082AAA"/>
    <w:rsid w:val="00082B16"/>
    <w:rsid w:val="00082B41"/>
    <w:rsid w:val="00082BA7"/>
    <w:rsid w:val="00082C18"/>
    <w:rsid w:val="00082ED8"/>
    <w:rsid w:val="00082EE9"/>
    <w:rsid w:val="00082F0D"/>
    <w:rsid w:val="00082F16"/>
    <w:rsid w:val="00083005"/>
    <w:rsid w:val="00083023"/>
    <w:rsid w:val="000830B2"/>
    <w:rsid w:val="000830CB"/>
    <w:rsid w:val="0008316A"/>
    <w:rsid w:val="00083399"/>
    <w:rsid w:val="000833A5"/>
    <w:rsid w:val="00083428"/>
    <w:rsid w:val="000834EA"/>
    <w:rsid w:val="00083565"/>
    <w:rsid w:val="00083573"/>
    <w:rsid w:val="00083616"/>
    <w:rsid w:val="00083690"/>
    <w:rsid w:val="0008369B"/>
    <w:rsid w:val="000836AF"/>
    <w:rsid w:val="00083734"/>
    <w:rsid w:val="00083774"/>
    <w:rsid w:val="00083804"/>
    <w:rsid w:val="000838F2"/>
    <w:rsid w:val="000839AF"/>
    <w:rsid w:val="000839E2"/>
    <w:rsid w:val="000839F9"/>
    <w:rsid w:val="00083AF1"/>
    <w:rsid w:val="00083B75"/>
    <w:rsid w:val="00083C4F"/>
    <w:rsid w:val="00083C8D"/>
    <w:rsid w:val="00083CA8"/>
    <w:rsid w:val="00083E0F"/>
    <w:rsid w:val="00083F47"/>
    <w:rsid w:val="00083F74"/>
    <w:rsid w:val="00084177"/>
    <w:rsid w:val="00084220"/>
    <w:rsid w:val="0008425A"/>
    <w:rsid w:val="0008427F"/>
    <w:rsid w:val="000842F8"/>
    <w:rsid w:val="0008434A"/>
    <w:rsid w:val="0008437C"/>
    <w:rsid w:val="00084446"/>
    <w:rsid w:val="000844F9"/>
    <w:rsid w:val="000845AB"/>
    <w:rsid w:val="000845F8"/>
    <w:rsid w:val="0008462A"/>
    <w:rsid w:val="0008471C"/>
    <w:rsid w:val="000847DA"/>
    <w:rsid w:val="00084842"/>
    <w:rsid w:val="00084997"/>
    <w:rsid w:val="000849AD"/>
    <w:rsid w:val="000849C6"/>
    <w:rsid w:val="000849F1"/>
    <w:rsid w:val="00084A0D"/>
    <w:rsid w:val="00084A4C"/>
    <w:rsid w:val="00084ABF"/>
    <w:rsid w:val="00084AF6"/>
    <w:rsid w:val="00084C13"/>
    <w:rsid w:val="00084C5C"/>
    <w:rsid w:val="00084C95"/>
    <w:rsid w:val="00084CFE"/>
    <w:rsid w:val="00084D6C"/>
    <w:rsid w:val="00084D7A"/>
    <w:rsid w:val="00084E36"/>
    <w:rsid w:val="00084E5B"/>
    <w:rsid w:val="00084E77"/>
    <w:rsid w:val="00084EAB"/>
    <w:rsid w:val="00084F10"/>
    <w:rsid w:val="00084F2A"/>
    <w:rsid w:val="00084F88"/>
    <w:rsid w:val="00084F93"/>
    <w:rsid w:val="000850D3"/>
    <w:rsid w:val="00085128"/>
    <w:rsid w:val="00085224"/>
    <w:rsid w:val="00085344"/>
    <w:rsid w:val="000854C5"/>
    <w:rsid w:val="0008564C"/>
    <w:rsid w:val="000856DC"/>
    <w:rsid w:val="0008570C"/>
    <w:rsid w:val="00085785"/>
    <w:rsid w:val="000857F6"/>
    <w:rsid w:val="00085884"/>
    <w:rsid w:val="000858D7"/>
    <w:rsid w:val="000858EE"/>
    <w:rsid w:val="00085911"/>
    <w:rsid w:val="00085A62"/>
    <w:rsid w:val="00085A77"/>
    <w:rsid w:val="00085A94"/>
    <w:rsid w:val="00085B7E"/>
    <w:rsid w:val="00085C44"/>
    <w:rsid w:val="00085C65"/>
    <w:rsid w:val="00085DDE"/>
    <w:rsid w:val="00085EA5"/>
    <w:rsid w:val="00085F72"/>
    <w:rsid w:val="00085F80"/>
    <w:rsid w:val="00085FA2"/>
    <w:rsid w:val="00085FA9"/>
    <w:rsid w:val="00085FBD"/>
    <w:rsid w:val="00085FF1"/>
    <w:rsid w:val="00086052"/>
    <w:rsid w:val="0008606F"/>
    <w:rsid w:val="000860AA"/>
    <w:rsid w:val="000861EE"/>
    <w:rsid w:val="0008629A"/>
    <w:rsid w:val="000862CB"/>
    <w:rsid w:val="00086358"/>
    <w:rsid w:val="0008636C"/>
    <w:rsid w:val="00086372"/>
    <w:rsid w:val="0008637F"/>
    <w:rsid w:val="000864D2"/>
    <w:rsid w:val="000864F3"/>
    <w:rsid w:val="00086631"/>
    <w:rsid w:val="000866A1"/>
    <w:rsid w:val="0008688F"/>
    <w:rsid w:val="000868C2"/>
    <w:rsid w:val="00086934"/>
    <w:rsid w:val="0008699D"/>
    <w:rsid w:val="000869CF"/>
    <w:rsid w:val="000869D1"/>
    <w:rsid w:val="000869EC"/>
    <w:rsid w:val="00086AE1"/>
    <w:rsid w:val="00086BAC"/>
    <w:rsid w:val="00086CD1"/>
    <w:rsid w:val="00086DB5"/>
    <w:rsid w:val="00086E3A"/>
    <w:rsid w:val="00086EB5"/>
    <w:rsid w:val="00086EE3"/>
    <w:rsid w:val="00086EEB"/>
    <w:rsid w:val="00086F21"/>
    <w:rsid w:val="00086F92"/>
    <w:rsid w:val="0008701D"/>
    <w:rsid w:val="00087041"/>
    <w:rsid w:val="0008707A"/>
    <w:rsid w:val="000870C0"/>
    <w:rsid w:val="000871FC"/>
    <w:rsid w:val="00087268"/>
    <w:rsid w:val="000872A6"/>
    <w:rsid w:val="000872A8"/>
    <w:rsid w:val="000872A9"/>
    <w:rsid w:val="000872E3"/>
    <w:rsid w:val="000872E8"/>
    <w:rsid w:val="00087314"/>
    <w:rsid w:val="000873A5"/>
    <w:rsid w:val="000874AD"/>
    <w:rsid w:val="000875CB"/>
    <w:rsid w:val="00087625"/>
    <w:rsid w:val="0008767F"/>
    <w:rsid w:val="0008773A"/>
    <w:rsid w:val="000877FE"/>
    <w:rsid w:val="00087803"/>
    <w:rsid w:val="0008781C"/>
    <w:rsid w:val="0008788B"/>
    <w:rsid w:val="00087919"/>
    <w:rsid w:val="00087929"/>
    <w:rsid w:val="00087A21"/>
    <w:rsid w:val="00087AE4"/>
    <w:rsid w:val="00087B60"/>
    <w:rsid w:val="00087BB7"/>
    <w:rsid w:val="00087C2C"/>
    <w:rsid w:val="00087CB4"/>
    <w:rsid w:val="00087CD4"/>
    <w:rsid w:val="00087CE7"/>
    <w:rsid w:val="00087D01"/>
    <w:rsid w:val="00087D1D"/>
    <w:rsid w:val="00087D22"/>
    <w:rsid w:val="00087D4F"/>
    <w:rsid w:val="00087DA2"/>
    <w:rsid w:val="00087DC8"/>
    <w:rsid w:val="00087E12"/>
    <w:rsid w:val="00087E52"/>
    <w:rsid w:val="00087F78"/>
    <w:rsid w:val="00087F7B"/>
    <w:rsid w:val="0009003C"/>
    <w:rsid w:val="000900DC"/>
    <w:rsid w:val="00090176"/>
    <w:rsid w:val="000901FC"/>
    <w:rsid w:val="00090208"/>
    <w:rsid w:val="000902D9"/>
    <w:rsid w:val="00090456"/>
    <w:rsid w:val="000905EC"/>
    <w:rsid w:val="000906B1"/>
    <w:rsid w:val="000906E5"/>
    <w:rsid w:val="000907BE"/>
    <w:rsid w:val="000907C1"/>
    <w:rsid w:val="000907CE"/>
    <w:rsid w:val="000907CF"/>
    <w:rsid w:val="000908DB"/>
    <w:rsid w:val="000909C6"/>
    <w:rsid w:val="00090A05"/>
    <w:rsid w:val="00090A69"/>
    <w:rsid w:val="00090BCC"/>
    <w:rsid w:val="00090C08"/>
    <w:rsid w:val="00090CC6"/>
    <w:rsid w:val="00090D0A"/>
    <w:rsid w:val="00090DBC"/>
    <w:rsid w:val="00090DF3"/>
    <w:rsid w:val="00090E9C"/>
    <w:rsid w:val="00090F6F"/>
    <w:rsid w:val="000910EB"/>
    <w:rsid w:val="000911D2"/>
    <w:rsid w:val="000912AE"/>
    <w:rsid w:val="0009133A"/>
    <w:rsid w:val="00091476"/>
    <w:rsid w:val="0009156B"/>
    <w:rsid w:val="00091578"/>
    <w:rsid w:val="00091630"/>
    <w:rsid w:val="00091642"/>
    <w:rsid w:val="000916C0"/>
    <w:rsid w:val="000916F1"/>
    <w:rsid w:val="00091725"/>
    <w:rsid w:val="00091805"/>
    <w:rsid w:val="00091857"/>
    <w:rsid w:val="000918C0"/>
    <w:rsid w:val="00091941"/>
    <w:rsid w:val="00091A16"/>
    <w:rsid w:val="00091A3C"/>
    <w:rsid w:val="00091A45"/>
    <w:rsid w:val="00091AED"/>
    <w:rsid w:val="00091B00"/>
    <w:rsid w:val="00091B47"/>
    <w:rsid w:val="00091BA2"/>
    <w:rsid w:val="00091BF3"/>
    <w:rsid w:val="00091BF8"/>
    <w:rsid w:val="00091C59"/>
    <w:rsid w:val="00091CA7"/>
    <w:rsid w:val="00091CBF"/>
    <w:rsid w:val="00091D00"/>
    <w:rsid w:val="00091D0C"/>
    <w:rsid w:val="00091E80"/>
    <w:rsid w:val="00091E9B"/>
    <w:rsid w:val="00091EA5"/>
    <w:rsid w:val="00091FD6"/>
    <w:rsid w:val="00091FDD"/>
    <w:rsid w:val="000920C9"/>
    <w:rsid w:val="000920F0"/>
    <w:rsid w:val="000921F6"/>
    <w:rsid w:val="0009234B"/>
    <w:rsid w:val="00092454"/>
    <w:rsid w:val="0009254C"/>
    <w:rsid w:val="000925C1"/>
    <w:rsid w:val="000925E0"/>
    <w:rsid w:val="000925F3"/>
    <w:rsid w:val="0009260F"/>
    <w:rsid w:val="000926D8"/>
    <w:rsid w:val="00092739"/>
    <w:rsid w:val="000927A0"/>
    <w:rsid w:val="00092801"/>
    <w:rsid w:val="0009285A"/>
    <w:rsid w:val="000928E5"/>
    <w:rsid w:val="000929ED"/>
    <w:rsid w:val="00092A3A"/>
    <w:rsid w:val="00092A84"/>
    <w:rsid w:val="00092A87"/>
    <w:rsid w:val="00092AAD"/>
    <w:rsid w:val="00092AF9"/>
    <w:rsid w:val="00092B3F"/>
    <w:rsid w:val="00092C70"/>
    <w:rsid w:val="00092CFD"/>
    <w:rsid w:val="00092D0B"/>
    <w:rsid w:val="00092DF5"/>
    <w:rsid w:val="00092F5F"/>
    <w:rsid w:val="00093110"/>
    <w:rsid w:val="00093166"/>
    <w:rsid w:val="00093238"/>
    <w:rsid w:val="00093315"/>
    <w:rsid w:val="0009331D"/>
    <w:rsid w:val="000934DC"/>
    <w:rsid w:val="000935B8"/>
    <w:rsid w:val="000935DE"/>
    <w:rsid w:val="00093617"/>
    <w:rsid w:val="00093641"/>
    <w:rsid w:val="00093675"/>
    <w:rsid w:val="000936C2"/>
    <w:rsid w:val="000936C6"/>
    <w:rsid w:val="0009376D"/>
    <w:rsid w:val="00093792"/>
    <w:rsid w:val="00093799"/>
    <w:rsid w:val="00093803"/>
    <w:rsid w:val="00093A15"/>
    <w:rsid w:val="00093A16"/>
    <w:rsid w:val="00093A19"/>
    <w:rsid w:val="00093A27"/>
    <w:rsid w:val="00093A75"/>
    <w:rsid w:val="00093BB5"/>
    <w:rsid w:val="00093C5D"/>
    <w:rsid w:val="00093C81"/>
    <w:rsid w:val="00093CD2"/>
    <w:rsid w:val="00093DBA"/>
    <w:rsid w:val="00093DD6"/>
    <w:rsid w:val="00093ED5"/>
    <w:rsid w:val="00093FF0"/>
    <w:rsid w:val="00094056"/>
    <w:rsid w:val="00094073"/>
    <w:rsid w:val="000940F3"/>
    <w:rsid w:val="00094144"/>
    <w:rsid w:val="0009415F"/>
    <w:rsid w:val="0009427C"/>
    <w:rsid w:val="000942C2"/>
    <w:rsid w:val="000943D9"/>
    <w:rsid w:val="0009443D"/>
    <w:rsid w:val="000944DB"/>
    <w:rsid w:val="00094509"/>
    <w:rsid w:val="00094530"/>
    <w:rsid w:val="00094596"/>
    <w:rsid w:val="00094678"/>
    <w:rsid w:val="00094690"/>
    <w:rsid w:val="000946FF"/>
    <w:rsid w:val="00094800"/>
    <w:rsid w:val="00094859"/>
    <w:rsid w:val="000948FC"/>
    <w:rsid w:val="00094A82"/>
    <w:rsid w:val="00094B05"/>
    <w:rsid w:val="00094B19"/>
    <w:rsid w:val="00094BF1"/>
    <w:rsid w:val="00094C1C"/>
    <w:rsid w:val="00094C23"/>
    <w:rsid w:val="00094C79"/>
    <w:rsid w:val="00094CCD"/>
    <w:rsid w:val="00094CD6"/>
    <w:rsid w:val="00094D02"/>
    <w:rsid w:val="00094DB1"/>
    <w:rsid w:val="00094E63"/>
    <w:rsid w:val="00094E82"/>
    <w:rsid w:val="00094E90"/>
    <w:rsid w:val="00094E92"/>
    <w:rsid w:val="00094EF4"/>
    <w:rsid w:val="00094FFC"/>
    <w:rsid w:val="00095011"/>
    <w:rsid w:val="0009507F"/>
    <w:rsid w:val="00095091"/>
    <w:rsid w:val="000950DA"/>
    <w:rsid w:val="00095186"/>
    <w:rsid w:val="00095190"/>
    <w:rsid w:val="00095252"/>
    <w:rsid w:val="0009525E"/>
    <w:rsid w:val="000952A0"/>
    <w:rsid w:val="0009541D"/>
    <w:rsid w:val="000954C6"/>
    <w:rsid w:val="000955D0"/>
    <w:rsid w:val="00095627"/>
    <w:rsid w:val="00095753"/>
    <w:rsid w:val="00095819"/>
    <w:rsid w:val="00095979"/>
    <w:rsid w:val="00095997"/>
    <w:rsid w:val="00095A40"/>
    <w:rsid w:val="00095A96"/>
    <w:rsid w:val="00095AAB"/>
    <w:rsid w:val="00095B18"/>
    <w:rsid w:val="00095BB1"/>
    <w:rsid w:val="00095C1A"/>
    <w:rsid w:val="00095C75"/>
    <w:rsid w:val="00095C96"/>
    <w:rsid w:val="00095D53"/>
    <w:rsid w:val="00095D69"/>
    <w:rsid w:val="00095EFB"/>
    <w:rsid w:val="00095F01"/>
    <w:rsid w:val="00095FD2"/>
    <w:rsid w:val="00096050"/>
    <w:rsid w:val="00096067"/>
    <w:rsid w:val="00096078"/>
    <w:rsid w:val="000960DB"/>
    <w:rsid w:val="00096108"/>
    <w:rsid w:val="0009621D"/>
    <w:rsid w:val="0009626A"/>
    <w:rsid w:val="000962EE"/>
    <w:rsid w:val="000963DC"/>
    <w:rsid w:val="000963F0"/>
    <w:rsid w:val="000965DA"/>
    <w:rsid w:val="000966F3"/>
    <w:rsid w:val="0009673F"/>
    <w:rsid w:val="0009674E"/>
    <w:rsid w:val="0009679B"/>
    <w:rsid w:val="0009684F"/>
    <w:rsid w:val="00096895"/>
    <w:rsid w:val="000968A3"/>
    <w:rsid w:val="00096904"/>
    <w:rsid w:val="00096976"/>
    <w:rsid w:val="00096A08"/>
    <w:rsid w:val="00096ACF"/>
    <w:rsid w:val="00096ADC"/>
    <w:rsid w:val="00096C92"/>
    <w:rsid w:val="00096CB8"/>
    <w:rsid w:val="00096CE0"/>
    <w:rsid w:val="00096D02"/>
    <w:rsid w:val="00096D5D"/>
    <w:rsid w:val="00096E06"/>
    <w:rsid w:val="00096E27"/>
    <w:rsid w:val="00096F99"/>
    <w:rsid w:val="0009707E"/>
    <w:rsid w:val="0009726E"/>
    <w:rsid w:val="00097365"/>
    <w:rsid w:val="000973FE"/>
    <w:rsid w:val="00097458"/>
    <w:rsid w:val="000974A8"/>
    <w:rsid w:val="00097654"/>
    <w:rsid w:val="000976B8"/>
    <w:rsid w:val="000977BA"/>
    <w:rsid w:val="00097800"/>
    <w:rsid w:val="00097A09"/>
    <w:rsid w:val="00097A25"/>
    <w:rsid w:val="00097B14"/>
    <w:rsid w:val="00097B69"/>
    <w:rsid w:val="00097BE0"/>
    <w:rsid w:val="00097E85"/>
    <w:rsid w:val="00097EB0"/>
    <w:rsid w:val="000A0079"/>
    <w:rsid w:val="000A00DF"/>
    <w:rsid w:val="000A00F8"/>
    <w:rsid w:val="000A0179"/>
    <w:rsid w:val="000A0263"/>
    <w:rsid w:val="000A02CB"/>
    <w:rsid w:val="000A02CF"/>
    <w:rsid w:val="000A034B"/>
    <w:rsid w:val="000A03C6"/>
    <w:rsid w:val="000A0459"/>
    <w:rsid w:val="000A0612"/>
    <w:rsid w:val="000A064A"/>
    <w:rsid w:val="000A07A1"/>
    <w:rsid w:val="000A07F5"/>
    <w:rsid w:val="000A0845"/>
    <w:rsid w:val="000A085B"/>
    <w:rsid w:val="000A089D"/>
    <w:rsid w:val="000A0968"/>
    <w:rsid w:val="000A0A32"/>
    <w:rsid w:val="000A0A6D"/>
    <w:rsid w:val="000A0AA0"/>
    <w:rsid w:val="000A0B30"/>
    <w:rsid w:val="000A0B47"/>
    <w:rsid w:val="000A0B4B"/>
    <w:rsid w:val="000A0BE6"/>
    <w:rsid w:val="000A0CEB"/>
    <w:rsid w:val="000A0DB0"/>
    <w:rsid w:val="000A0DF5"/>
    <w:rsid w:val="000A0E7C"/>
    <w:rsid w:val="000A0ECB"/>
    <w:rsid w:val="000A0F01"/>
    <w:rsid w:val="000A111F"/>
    <w:rsid w:val="000A11C2"/>
    <w:rsid w:val="000A1205"/>
    <w:rsid w:val="000A123B"/>
    <w:rsid w:val="000A1274"/>
    <w:rsid w:val="000A154D"/>
    <w:rsid w:val="000A15E7"/>
    <w:rsid w:val="000A16A1"/>
    <w:rsid w:val="000A1734"/>
    <w:rsid w:val="000A184D"/>
    <w:rsid w:val="000A18E1"/>
    <w:rsid w:val="000A1B13"/>
    <w:rsid w:val="000A1B32"/>
    <w:rsid w:val="000A1B8A"/>
    <w:rsid w:val="000A1BBD"/>
    <w:rsid w:val="000A1BF4"/>
    <w:rsid w:val="000A1C10"/>
    <w:rsid w:val="000A1D5C"/>
    <w:rsid w:val="000A1E56"/>
    <w:rsid w:val="000A1ECF"/>
    <w:rsid w:val="000A1F9E"/>
    <w:rsid w:val="000A20B2"/>
    <w:rsid w:val="000A20CE"/>
    <w:rsid w:val="000A21DC"/>
    <w:rsid w:val="000A24B2"/>
    <w:rsid w:val="000A2528"/>
    <w:rsid w:val="000A258B"/>
    <w:rsid w:val="000A26AC"/>
    <w:rsid w:val="000A270B"/>
    <w:rsid w:val="000A27FA"/>
    <w:rsid w:val="000A2800"/>
    <w:rsid w:val="000A288B"/>
    <w:rsid w:val="000A28FC"/>
    <w:rsid w:val="000A2975"/>
    <w:rsid w:val="000A297E"/>
    <w:rsid w:val="000A29D8"/>
    <w:rsid w:val="000A2A2F"/>
    <w:rsid w:val="000A2A39"/>
    <w:rsid w:val="000A2ADD"/>
    <w:rsid w:val="000A2C35"/>
    <w:rsid w:val="000A2D8E"/>
    <w:rsid w:val="000A2D90"/>
    <w:rsid w:val="000A2DD0"/>
    <w:rsid w:val="000A2E15"/>
    <w:rsid w:val="000A2E68"/>
    <w:rsid w:val="000A2E76"/>
    <w:rsid w:val="000A2E84"/>
    <w:rsid w:val="000A2F89"/>
    <w:rsid w:val="000A2FA5"/>
    <w:rsid w:val="000A3094"/>
    <w:rsid w:val="000A3107"/>
    <w:rsid w:val="000A315E"/>
    <w:rsid w:val="000A31A8"/>
    <w:rsid w:val="000A31E2"/>
    <w:rsid w:val="000A3217"/>
    <w:rsid w:val="000A32B4"/>
    <w:rsid w:val="000A32BF"/>
    <w:rsid w:val="000A33A9"/>
    <w:rsid w:val="000A3431"/>
    <w:rsid w:val="000A34D6"/>
    <w:rsid w:val="000A34F4"/>
    <w:rsid w:val="000A3513"/>
    <w:rsid w:val="000A357B"/>
    <w:rsid w:val="000A3813"/>
    <w:rsid w:val="000A384D"/>
    <w:rsid w:val="000A3852"/>
    <w:rsid w:val="000A3BBB"/>
    <w:rsid w:val="000A3C8F"/>
    <w:rsid w:val="000A404A"/>
    <w:rsid w:val="000A41A7"/>
    <w:rsid w:val="000A427F"/>
    <w:rsid w:val="000A42ED"/>
    <w:rsid w:val="000A4331"/>
    <w:rsid w:val="000A4424"/>
    <w:rsid w:val="000A45F7"/>
    <w:rsid w:val="000A480A"/>
    <w:rsid w:val="000A4987"/>
    <w:rsid w:val="000A4AE9"/>
    <w:rsid w:val="000A4B4F"/>
    <w:rsid w:val="000A4B6E"/>
    <w:rsid w:val="000A4B8B"/>
    <w:rsid w:val="000A4BDE"/>
    <w:rsid w:val="000A4BF1"/>
    <w:rsid w:val="000A4C73"/>
    <w:rsid w:val="000A4CBC"/>
    <w:rsid w:val="000A4D10"/>
    <w:rsid w:val="000A4D97"/>
    <w:rsid w:val="000A4DF9"/>
    <w:rsid w:val="000A4E9D"/>
    <w:rsid w:val="000A4F3B"/>
    <w:rsid w:val="000A4FA9"/>
    <w:rsid w:val="000A52A8"/>
    <w:rsid w:val="000A52AF"/>
    <w:rsid w:val="000A5357"/>
    <w:rsid w:val="000A53C2"/>
    <w:rsid w:val="000A5457"/>
    <w:rsid w:val="000A5496"/>
    <w:rsid w:val="000A54B1"/>
    <w:rsid w:val="000A5526"/>
    <w:rsid w:val="000A557B"/>
    <w:rsid w:val="000A55C3"/>
    <w:rsid w:val="000A55FC"/>
    <w:rsid w:val="000A5656"/>
    <w:rsid w:val="000A56A6"/>
    <w:rsid w:val="000A5831"/>
    <w:rsid w:val="000A58B2"/>
    <w:rsid w:val="000A590E"/>
    <w:rsid w:val="000A5989"/>
    <w:rsid w:val="000A5A74"/>
    <w:rsid w:val="000A5AD0"/>
    <w:rsid w:val="000A5B21"/>
    <w:rsid w:val="000A5B8A"/>
    <w:rsid w:val="000A5BB9"/>
    <w:rsid w:val="000A5CAF"/>
    <w:rsid w:val="000A5D02"/>
    <w:rsid w:val="000A5D11"/>
    <w:rsid w:val="000A5D40"/>
    <w:rsid w:val="000A5D89"/>
    <w:rsid w:val="000A5E90"/>
    <w:rsid w:val="000A5FC4"/>
    <w:rsid w:val="000A5FCD"/>
    <w:rsid w:val="000A5FF8"/>
    <w:rsid w:val="000A6077"/>
    <w:rsid w:val="000A60F5"/>
    <w:rsid w:val="000A61A8"/>
    <w:rsid w:val="000A621D"/>
    <w:rsid w:val="000A6277"/>
    <w:rsid w:val="000A6451"/>
    <w:rsid w:val="000A656C"/>
    <w:rsid w:val="000A673C"/>
    <w:rsid w:val="000A6761"/>
    <w:rsid w:val="000A679C"/>
    <w:rsid w:val="000A67A4"/>
    <w:rsid w:val="000A67C3"/>
    <w:rsid w:val="000A67EC"/>
    <w:rsid w:val="000A6813"/>
    <w:rsid w:val="000A6882"/>
    <w:rsid w:val="000A68A5"/>
    <w:rsid w:val="000A68F2"/>
    <w:rsid w:val="000A6959"/>
    <w:rsid w:val="000A6BD3"/>
    <w:rsid w:val="000A6C2B"/>
    <w:rsid w:val="000A6C91"/>
    <w:rsid w:val="000A6C98"/>
    <w:rsid w:val="000A6D44"/>
    <w:rsid w:val="000A6DAC"/>
    <w:rsid w:val="000A6EBE"/>
    <w:rsid w:val="000A6F00"/>
    <w:rsid w:val="000A6FAA"/>
    <w:rsid w:val="000A7005"/>
    <w:rsid w:val="000A70B5"/>
    <w:rsid w:val="000A70FF"/>
    <w:rsid w:val="000A7118"/>
    <w:rsid w:val="000A7191"/>
    <w:rsid w:val="000A71BC"/>
    <w:rsid w:val="000A7206"/>
    <w:rsid w:val="000A722A"/>
    <w:rsid w:val="000A7249"/>
    <w:rsid w:val="000A72BC"/>
    <w:rsid w:val="000A74CF"/>
    <w:rsid w:val="000A7507"/>
    <w:rsid w:val="000A7560"/>
    <w:rsid w:val="000A759D"/>
    <w:rsid w:val="000A75BD"/>
    <w:rsid w:val="000A763C"/>
    <w:rsid w:val="000A76FE"/>
    <w:rsid w:val="000A779E"/>
    <w:rsid w:val="000A77C4"/>
    <w:rsid w:val="000A77E8"/>
    <w:rsid w:val="000A77FB"/>
    <w:rsid w:val="000A7816"/>
    <w:rsid w:val="000A78CF"/>
    <w:rsid w:val="000A78D1"/>
    <w:rsid w:val="000A78D7"/>
    <w:rsid w:val="000A7959"/>
    <w:rsid w:val="000A79A6"/>
    <w:rsid w:val="000A79D7"/>
    <w:rsid w:val="000A7B04"/>
    <w:rsid w:val="000A7C3A"/>
    <w:rsid w:val="000A7CCF"/>
    <w:rsid w:val="000A7D6C"/>
    <w:rsid w:val="000A7D78"/>
    <w:rsid w:val="000A7DC5"/>
    <w:rsid w:val="000A7E0C"/>
    <w:rsid w:val="000A7EA5"/>
    <w:rsid w:val="000A7EE2"/>
    <w:rsid w:val="000B0022"/>
    <w:rsid w:val="000B0114"/>
    <w:rsid w:val="000B0136"/>
    <w:rsid w:val="000B0216"/>
    <w:rsid w:val="000B0269"/>
    <w:rsid w:val="000B03A7"/>
    <w:rsid w:val="000B052D"/>
    <w:rsid w:val="000B05A9"/>
    <w:rsid w:val="000B05C2"/>
    <w:rsid w:val="000B06C3"/>
    <w:rsid w:val="000B073A"/>
    <w:rsid w:val="000B073B"/>
    <w:rsid w:val="000B081F"/>
    <w:rsid w:val="000B08B7"/>
    <w:rsid w:val="000B09B1"/>
    <w:rsid w:val="000B09BB"/>
    <w:rsid w:val="000B09DA"/>
    <w:rsid w:val="000B0ADD"/>
    <w:rsid w:val="000B0B29"/>
    <w:rsid w:val="000B0C4C"/>
    <w:rsid w:val="000B0C67"/>
    <w:rsid w:val="000B0E11"/>
    <w:rsid w:val="000B0E41"/>
    <w:rsid w:val="000B0F85"/>
    <w:rsid w:val="000B10EC"/>
    <w:rsid w:val="000B129D"/>
    <w:rsid w:val="000B13DB"/>
    <w:rsid w:val="000B1445"/>
    <w:rsid w:val="000B1547"/>
    <w:rsid w:val="000B1555"/>
    <w:rsid w:val="000B155D"/>
    <w:rsid w:val="000B157F"/>
    <w:rsid w:val="000B163D"/>
    <w:rsid w:val="000B16A7"/>
    <w:rsid w:val="000B1716"/>
    <w:rsid w:val="000B1785"/>
    <w:rsid w:val="000B179C"/>
    <w:rsid w:val="000B19C8"/>
    <w:rsid w:val="000B19FA"/>
    <w:rsid w:val="000B1AB9"/>
    <w:rsid w:val="000B1AD4"/>
    <w:rsid w:val="000B1AF2"/>
    <w:rsid w:val="000B1BFE"/>
    <w:rsid w:val="000B1C6B"/>
    <w:rsid w:val="000B1CB2"/>
    <w:rsid w:val="000B1D39"/>
    <w:rsid w:val="000B1E1E"/>
    <w:rsid w:val="000B1E48"/>
    <w:rsid w:val="000B1EC8"/>
    <w:rsid w:val="000B1F38"/>
    <w:rsid w:val="000B1FF4"/>
    <w:rsid w:val="000B22EC"/>
    <w:rsid w:val="000B230B"/>
    <w:rsid w:val="000B2376"/>
    <w:rsid w:val="000B2383"/>
    <w:rsid w:val="000B2439"/>
    <w:rsid w:val="000B24DA"/>
    <w:rsid w:val="000B26EF"/>
    <w:rsid w:val="000B2721"/>
    <w:rsid w:val="000B28D4"/>
    <w:rsid w:val="000B292A"/>
    <w:rsid w:val="000B298D"/>
    <w:rsid w:val="000B2A02"/>
    <w:rsid w:val="000B2A84"/>
    <w:rsid w:val="000B2B40"/>
    <w:rsid w:val="000B2BD8"/>
    <w:rsid w:val="000B2BE0"/>
    <w:rsid w:val="000B2C9C"/>
    <w:rsid w:val="000B2D17"/>
    <w:rsid w:val="000B2F0E"/>
    <w:rsid w:val="000B303E"/>
    <w:rsid w:val="000B306F"/>
    <w:rsid w:val="000B307E"/>
    <w:rsid w:val="000B30D9"/>
    <w:rsid w:val="000B30FD"/>
    <w:rsid w:val="000B3176"/>
    <w:rsid w:val="000B31F0"/>
    <w:rsid w:val="000B320D"/>
    <w:rsid w:val="000B3225"/>
    <w:rsid w:val="000B32D7"/>
    <w:rsid w:val="000B3355"/>
    <w:rsid w:val="000B3397"/>
    <w:rsid w:val="000B33C1"/>
    <w:rsid w:val="000B33F9"/>
    <w:rsid w:val="000B3445"/>
    <w:rsid w:val="000B349D"/>
    <w:rsid w:val="000B34C0"/>
    <w:rsid w:val="000B35DF"/>
    <w:rsid w:val="000B3744"/>
    <w:rsid w:val="000B37A8"/>
    <w:rsid w:val="000B3815"/>
    <w:rsid w:val="000B395E"/>
    <w:rsid w:val="000B397E"/>
    <w:rsid w:val="000B3A46"/>
    <w:rsid w:val="000B3A4F"/>
    <w:rsid w:val="000B3B76"/>
    <w:rsid w:val="000B3BBC"/>
    <w:rsid w:val="000B3C2B"/>
    <w:rsid w:val="000B3C6D"/>
    <w:rsid w:val="000B3CE1"/>
    <w:rsid w:val="000B3DA1"/>
    <w:rsid w:val="000B3DB7"/>
    <w:rsid w:val="000B3F9A"/>
    <w:rsid w:val="000B411B"/>
    <w:rsid w:val="000B4166"/>
    <w:rsid w:val="000B4271"/>
    <w:rsid w:val="000B42C5"/>
    <w:rsid w:val="000B43AC"/>
    <w:rsid w:val="000B441F"/>
    <w:rsid w:val="000B443D"/>
    <w:rsid w:val="000B4467"/>
    <w:rsid w:val="000B448C"/>
    <w:rsid w:val="000B4536"/>
    <w:rsid w:val="000B4578"/>
    <w:rsid w:val="000B45CA"/>
    <w:rsid w:val="000B45E0"/>
    <w:rsid w:val="000B4649"/>
    <w:rsid w:val="000B469D"/>
    <w:rsid w:val="000B46DC"/>
    <w:rsid w:val="000B4766"/>
    <w:rsid w:val="000B47C0"/>
    <w:rsid w:val="000B488B"/>
    <w:rsid w:val="000B48ED"/>
    <w:rsid w:val="000B496A"/>
    <w:rsid w:val="000B49A2"/>
    <w:rsid w:val="000B49DC"/>
    <w:rsid w:val="000B49EF"/>
    <w:rsid w:val="000B4AD9"/>
    <w:rsid w:val="000B4BD3"/>
    <w:rsid w:val="000B4C2C"/>
    <w:rsid w:val="000B4D02"/>
    <w:rsid w:val="000B4D3E"/>
    <w:rsid w:val="000B4D73"/>
    <w:rsid w:val="000B4D83"/>
    <w:rsid w:val="000B4DFC"/>
    <w:rsid w:val="000B4EB2"/>
    <w:rsid w:val="000B5047"/>
    <w:rsid w:val="000B504F"/>
    <w:rsid w:val="000B50BF"/>
    <w:rsid w:val="000B5138"/>
    <w:rsid w:val="000B5171"/>
    <w:rsid w:val="000B5217"/>
    <w:rsid w:val="000B521E"/>
    <w:rsid w:val="000B52CA"/>
    <w:rsid w:val="000B530A"/>
    <w:rsid w:val="000B53F9"/>
    <w:rsid w:val="000B571C"/>
    <w:rsid w:val="000B5741"/>
    <w:rsid w:val="000B57A9"/>
    <w:rsid w:val="000B57EE"/>
    <w:rsid w:val="000B57EF"/>
    <w:rsid w:val="000B5800"/>
    <w:rsid w:val="000B5846"/>
    <w:rsid w:val="000B5858"/>
    <w:rsid w:val="000B5971"/>
    <w:rsid w:val="000B5999"/>
    <w:rsid w:val="000B59A9"/>
    <w:rsid w:val="000B59AF"/>
    <w:rsid w:val="000B5CF9"/>
    <w:rsid w:val="000B5D02"/>
    <w:rsid w:val="000B5D1F"/>
    <w:rsid w:val="000B5D6B"/>
    <w:rsid w:val="000B5DF8"/>
    <w:rsid w:val="000B5E07"/>
    <w:rsid w:val="000B5E75"/>
    <w:rsid w:val="000B5F20"/>
    <w:rsid w:val="000B6029"/>
    <w:rsid w:val="000B603B"/>
    <w:rsid w:val="000B60BB"/>
    <w:rsid w:val="000B612B"/>
    <w:rsid w:val="000B617F"/>
    <w:rsid w:val="000B61D8"/>
    <w:rsid w:val="000B6230"/>
    <w:rsid w:val="000B634C"/>
    <w:rsid w:val="000B634F"/>
    <w:rsid w:val="000B635C"/>
    <w:rsid w:val="000B6381"/>
    <w:rsid w:val="000B63B3"/>
    <w:rsid w:val="000B63EF"/>
    <w:rsid w:val="000B63FB"/>
    <w:rsid w:val="000B641E"/>
    <w:rsid w:val="000B6421"/>
    <w:rsid w:val="000B6756"/>
    <w:rsid w:val="000B675A"/>
    <w:rsid w:val="000B6794"/>
    <w:rsid w:val="000B67A9"/>
    <w:rsid w:val="000B67AE"/>
    <w:rsid w:val="000B6939"/>
    <w:rsid w:val="000B6C4E"/>
    <w:rsid w:val="000B6D2D"/>
    <w:rsid w:val="000B6D65"/>
    <w:rsid w:val="000B6DDE"/>
    <w:rsid w:val="000B6E34"/>
    <w:rsid w:val="000B6E8F"/>
    <w:rsid w:val="000B6ED7"/>
    <w:rsid w:val="000B6F38"/>
    <w:rsid w:val="000B6FCF"/>
    <w:rsid w:val="000B71C1"/>
    <w:rsid w:val="000B723C"/>
    <w:rsid w:val="000B7293"/>
    <w:rsid w:val="000B72D9"/>
    <w:rsid w:val="000B7301"/>
    <w:rsid w:val="000B73C7"/>
    <w:rsid w:val="000B74C3"/>
    <w:rsid w:val="000B74D6"/>
    <w:rsid w:val="000B7731"/>
    <w:rsid w:val="000B77EE"/>
    <w:rsid w:val="000B78BC"/>
    <w:rsid w:val="000B7997"/>
    <w:rsid w:val="000B79C1"/>
    <w:rsid w:val="000B7A02"/>
    <w:rsid w:val="000B7A3E"/>
    <w:rsid w:val="000B7B9A"/>
    <w:rsid w:val="000B7CF2"/>
    <w:rsid w:val="000B7DAA"/>
    <w:rsid w:val="000B7DAC"/>
    <w:rsid w:val="000B7E3F"/>
    <w:rsid w:val="000C00BA"/>
    <w:rsid w:val="000C0178"/>
    <w:rsid w:val="000C01B8"/>
    <w:rsid w:val="000C0243"/>
    <w:rsid w:val="000C027A"/>
    <w:rsid w:val="000C03C8"/>
    <w:rsid w:val="000C03CC"/>
    <w:rsid w:val="000C0456"/>
    <w:rsid w:val="000C0525"/>
    <w:rsid w:val="000C05C0"/>
    <w:rsid w:val="000C0601"/>
    <w:rsid w:val="000C0609"/>
    <w:rsid w:val="000C0684"/>
    <w:rsid w:val="000C07E5"/>
    <w:rsid w:val="000C090C"/>
    <w:rsid w:val="000C094B"/>
    <w:rsid w:val="000C0B54"/>
    <w:rsid w:val="000C0BCD"/>
    <w:rsid w:val="000C0C9A"/>
    <w:rsid w:val="000C0CE2"/>
    <w:rsid w:val="000C0DA4"/>
    <w:rsid w:val="000C0EC8"/>
    <w:rsid w:val="000C0F1D"/>
    <w:rsid w:val="000C0FC0"/>
    <w:rsid w:val="000C1065"/>
    <w:rsid w:val="000C1099"/>
    <w:rsid w:val="000C10E5"/>
    <w:rsid w:val="000C111F"/>
    <w:rsid w:val="000C1122"/>
    <w:rsid w:val="000C1198"/>
    <w:rsid w:val="000C11DB"/>
    <w:rsid w:val="000C11F8"/>
    <w:rsid w:val="000C1226"/>
    <w:rsid w:val="000C13EE"/>
    <w:rsid w:val="000C1456"/>
    <w:rsid w:val="000C154D"/>
    <w:rsid w:val="000C1553"/>
    <w:rsid w:val="000C1687"/>
    <w:rsid w:val="000C1699"/>
    <w:rsid w:val="000C173A"/>
    <w:rsid w:val="000C1782"/>
    <w:rsid w:val="000C17A1"/>
    <w:rsid w:val="000C17CE"/>
    <w:rsid w:val="000C189B"/>
    <w:rsid w:val="000C19DF"/>
    <w:rsid w:val="000C1B7D"/>
    <w:rsid w:val="000C1BC7"/>
    <w:rsid w:val="000C1C36"/>
    <w:rsid w:val="000C1CAB"/>
    <w:rsid w:val="000C1CAF"/>
    <w:rsid w:val="000C1D10"/>
    <w:rsid w:val="000C1D24"/>
    <w:rsid w:val="000C1D30"/>
    <w:rsid w:val="000C1E4B"/>
    <w:rsid w:val="000C1EB2"/>
    <w:rsid w:val="000C1F8B"/>
    <w:rsid w:val="000C2177"/>
    <w:rsid w:val="000C21BF"/>
    <w:rsid w:val="000C21C3"/>
    <w:rsid w:val="000C21C9"/>
    <w:rsid w:val="000C21F4"/>
    <w:rsid w:val="000C2412"/>
    <w:rsid w:val="000C242E"/>
    <w:rsid w:val="000C24B0"/>
    <w:rsid w:val="000C24D7"/>
    <w:rsid w:val="000C253A"/>
    <w:rsid w:val="000C2550"/>
    <w:rsid w:val="000C2592"/>
    <w:rsid w:val="000C2611"/>
    <w:rsid w:val="000C2655"/>
    <w:rsid w:val="000C2753"/>
    <w:rsid w:val="000C27D0"/>
    <w:rsid w:val="000C2807"/>
    <w:rsid w:val="000C2974"/>
    <w:rsid w:val="000C297B"/>
    <w:rsid w:val="000C2BAA"/>
    <w:rsid w:val="000C2C0C"/>
    <w:rsid w:val="000C2CF8"/>
    <w:rsid w:val="000C2D49"/>
    <w:rsid w:val="000C2DB5"/>
    <w:rsid w:val="000C2E86"/>
    <w:rsid w:val="000C2F6E"/>
    <w:rsid w:val="000C2F75"/>
    <w:rsid w:val="000C2FA9"/>
    <w:rsid w:val="000C301B"/>
    <w:rsid w:val="000C3110"/>
    <w:rsid w:val="000C3167"/>
    <w:rsid w:val="000C31F1"/>
    <w:rsid w:val="000C3285"/>
    <w:rsid w:val="000C3398"/>
    <w:rsid w:val="000C3409"/>
    <w:rsid w:val="000C34DC"/>
    <w:rsid w:val="000C35BC"/>
    <w:rsid w:val="000C3616"/>
    <w:rsid w:val="000C364C"/>
    <w:rsid w:val="000C368C"/>
    <w:rsid w:val="000C3773"/>
    <w:rsid w:val="000C37BB"/>
    <w:rsid w:val="000C3818"/>
    <w:rsid w:val="000C3920"/>
    <w:rsid w:val="000C3B48"/>
    <w:rsid w:val="000C3B96"/>
    <w:rsid w:val="000C3BA8"/>
    <w:rsid w:val="000C3BC6"/>
    <w:rsid w:val="000C3CAF"/>
    <w:rsid w:val="000C3D9E"/>
    <w:rsid w:val="000C3DA8"/>
    <w:rsid w:val="000C3E2A"/>
    <w:rsid w:val="000C3E7B"/>
    <w:rsid w:val="000C408A"/>
    <w:rsid w:val="000C41C8"/>
    <w:rsid w:val="000C41D9"/>
    <w:rsid w:val="000C42C0"/>
    <w:rsid w:val="000C439F"/>
    <w:rsid w:val="000C447A"/>
    <w:rsid w:val="000C448C"/>
    <w:rsid w:val="000C4495"/>
    <w:rsid w:val="000C44F7"/>
    <w:rsid w:val="000C4554"/>
    <w:rsid w:val="000C4567"/>
    <w:rsid w:val="000C457F"/>
    <w:rsid w:val="000C46CF"/>
    <w:rsid w:val="000C47C0"/>
    <w:rsid w:val="000C47F6"/>
    <w:rsid w:val="000C48EC"/>
    <w:rsid w:val="000C498A"/>
    <w:rsid w:val="000C4997"/>
    <w:rsid w:val="000C499C"/>
    <w:rsid w:val="000C49DD"/>
    <w:rsid w:val="000C4A1D"/>
    <w:rsid w:val="000C4A27"/>
    <w:rsid w:val="000C4A4A"/>
    <w:rsid w:val="000C4AEF"/>
    <w:rsid w:val="000C4B28"/>
    <w:rsid w:val="000C4B2B"/>
    <w:rsid w:val="000C4B4B"/>
    <w:rsid w:val="000C4C3E"/>
    <w:rsid w:val="000C4D30"/>
    <w:rsid w:val="000C4E43"/>
    <w:rsid w:val="000C4EB0"/>
    <w:rsid w:val="000C4EED"/>
    <w:rsid w:val="000C4F82"/>
    <w:rsid w:val="000C4F8B"/>
    <w:rsid w:val="000C5058"/>
    <w:rsid w:val="000C50AF"/>
    <w:rsid w:val="000C50D1"/>
    <w:rsid w:val="000C5294"/>
    <w:rsid w:val="000C5306"/>
    <w:rsid w:val="000C53DF"/>
    <w:rsid w:val="000C5594"/>
    <w:rsid w:val="000C5662"/>
    <w:rsid w:val="000C5680"/>
    <w:rsid w:val="000C571A"/>
    <w:rsid w:val="000C5728"/>
    <w:rsid w:val="000C587E"/>
    <w:rsid w:val="000C58FC"/>
    <w:rsid w:val="000C5992"/>
    <w:rsid w:val="000C59A2"/>
    <w:rsid w:val="000C59D5"/>
    <w:rsid w:val="000C5CD8"/>
    <w:rsid w:val="000C5CFF"/>
    <w:rsid w:val="000C5D11"/>
    <w:rsid w:val="000C5D4D"/>
    <w:rsid w:val="000C5DEA"/>
    <w:rsid w:val="000C5E2D"/>
    <w:rsid w:val="000C5F3B"/>
    <w:rsid w:val="000C6052"/>
    <w:rsid w:val="000C6140"/>
    <w:rsid w:val="000C6190"/>
    <w:rsid w:val="000C62F6"/>
    <w:rsid w:val="000C6331"/>
    <w:rsid w:val="000C635D"/>
    <w:rsid w:val="000C64EA"/>
    <w:rsid w:val="000C677C"/>
    <w:rsid w:val="000C6781"/>
    <w:rsid w:val="000C6782"/>
    <w:rsid w:val="000C67AD"/>
    <w:rsid w:val="000C6837"/>
    <w:rsid w:val="000C687C"/>
    <w:rsid w:val="000C6919"/>
    <w:rsid w:val="000C694B"/>
    <w:rsid w:val="000C696C"/>
    <w:rsid w:val="000C6996"/>
    <w:rsid w:val="000C6A6D"/>
    <w:rsid w:val="000C6ABB"/>
    <w:rsid w:val="000C6B6F"/>
    <w:rsid w:val="000C6BA1"/>
    <w:rsid w:val="000C6CC4"/>
    <w:rsid w:val="000C6D84"/>
    <w:rsid w:val="000C6DB0"/>
    <w:rsid w:val="000C6DBC"/>
    <w:rsid w:val="000C6DBE"/>
    <w:rsid w:val="000C6E1F"/>
    <w:rsid w:val="000C6EF5"/>
    <w:rsid w:val="000C6F1D"/>
    <w:rsid w:val="000C6F22"/>
    <w:rsid w:val="000C6F59"/>
    <w:rsid w:val="000C6F89"/>
    <w:rsid w:val="000C7031"/>
    <w:rsid w:val="000C71B7"/>
    <w:rsid w:val="000C721B"/>
    <w:rsid w:val="000C723C"/>
    <w:rsid w:val="000C72EF"/>
    <w:rsid w:val="000C7383"/>
    <w:rsid w:val="000C7432"/>
    <w:rsid w:val="000C74D0"/>
    <w:rsid w:val="000C74E9"/>
    <w:rsid w:val="000C7587"/>
    <w:rsid w:val="000C75D9"/>
    <w:rsid w:val="000C76C4"/>
    <w:rsid w:val="000C7782"/>
    <w:rsid w:val="000C78EF"/>
    <w:rsid w:val="000C798B"/>
    <w:rsid w:val="000C799D"/>
    <w:rsid w:val="000C7B1E"/>
    <w:rsid w:val="000C7B3C"/>
    <w:rsid w:val="000C7BC2"/>
    <w:rsid w:val="000C7CCC"/>
    <w:rsid w:val="000C7DA7"/>
    <w:rsid w:val="000C7DBC"/>
    <w:rsid w:val="000C7F3D"/>
    <w:rsid w:val="000D00D7"/>
    <w:rsid w:val="000D00DA"/>
    <w:rsid w:val="000D0171"/>
    <w:rsid w:val="000D01C3"/>
    <w:rsid w:val="000D01E8"/>
    <w:rsid w:val="000D0355"/>
    <w:rsid w:val="000D03EF"/>
    <w:rsid w:val="000D0401"/>
    <w:rsid w:val="000D0418"/>
    <w:rsid w:val="000D0433"/>
    <w:rsid w:val="000D04A6"/>
    <w:rsid w:val="000D051E"/>
    <w:rsid w:val="000D0536"/>
    <w:rsid w:val="000D065B"/>
    <w:rsid w:val="000D0697"/>
    <w:rsid w:val="000D0799"/>
    <w:rsid w:val="000D0806"/>
    <w:rsid w:val="000D0873"/>
    <w:rsid w:val="000D0911"/>
    <w:rsid w:val="000D0913"/>
    <w:rsid w:val="000D0930"/>
    <w:rsid w:val="000D0976"/>
    <w:rsid w:val="000D09DA"/>
    <w:rsid w:val="000D0ABB"/>
    <w:rsid w:val="000D0BEB"/>
    <w:rsid w:val="000D0C01"/>
    <w:rsid w:val="000D0C42"/>
    <w:rsid w:val="000D0CE7"/>
    <w:rsid w:val="000D0D7E"/>
    <w:rsid w:val="000D0DAA"/>
    <w:rsid w:val="000D0EC8"/>
    <w:rsid w:val="000D0EFE"/>
    <w:rsid w:val="000D0F27"/>
    <w:rsid w:val="000D0F37"/>
    <w:rsid w:val="000D0F4D"/>
    <w:rsid w:val="000D1047"/>
    <w:rsid w:val="000D1057"/>
    <w:rsid w:val="000D1170"/>
    <w:rsid w:val="000D1181"/>
    <w:rsid w:val="000D11E7"/>
    <w:rsid w:val="000D1362"/>
    <w:rsid w:val="000D1463"/>
    <w:rsid w:val="000D1476"/>
    <w:rsid w:val="000D148E"/>
    <w:rsid w:val="000D1504"/>
    <w:rsid w:val="000D1642"/>
    <w:rsid w:val="000D165D"/>
    <w:rsid w:val="000D1680"/>
    <w:rsid w:val="000D16AD"/>
    <w:rsid w:val="000D16C3"/>
    <w:rsid w:val="000D1785"/>
    <w:rsid w:val="000D1978"/>
    <w:rsid w:val="000D197E"/>
    <w:rsid w:val="000D1A41"/>
    <w:rsid w:val="000D1A5A"/>
    <w:rsid w:val="000D1AB8"/>
    <w:rsid w:val="000D1AF3"/>
    <w:rsid w:val="000D1B2B"/>
    <w:rsid w:val="000D1B7C"/>
    <w:rsid w:val="000D1C07"/>
    <w:rsid w:val="000D1CB0"/>
    <w:rsid w:val="000D1D39"/>
    <w:rsid w:val="000D1D43"/>
    <w:rsid w:val="000D1D4B"/>
    <w:rsid w:val="000D1D8A"/>
    <w:rsid w:val="000D1D97"/>
    <w:rsid w:val="000D1E8A"/>
    <w:rsid w:val="000D1FC6"/>
    <w:rsid w:val="000D200E"/>
    <w:rsid w:val="000D20A9"/>
    <w:rsid w:val="000D21CD"/>
    <w:rsid w:val="000D21F4"/>
    <w:rsid w:val="000D21FC"/>
    <w:rsid w:val="000D2384"/>
    <w:rsid w:val="000D2387"/>
    <w:rsid w:val="000D2426"/>
    <w:rsid w:val="000D2460"/>
    <w:rsid w:val="000D2507"/>
    <w:rsid w:val="000D2528"/>
    <w:rsid w:val="000D2571"/>
    <w:rsid w:val="000D25FB"/>
    <w:rsid w:val="000D263A"/>
    <w:rsid w:val="000D267C"/>
    <w:rsid w:val="000D276F"/>
    <w:rsid w:val="000D27F2"/>
    <w:rsid w:val="000D28A6"/>
    <w:rsid w:val="000D28B5"/>
    <w:rsid w:val="000D28BB"/>
    <w:rsid w:val="000D28E0"/>
    <w:rsid w:val="000D2935"/>
    <w:rsid w:val="000D2966"/>
    <w:rsid w:val="000D2A76"/>
    <w:rsid w:val="000D2AD1"/>
    <w:rsid w:val="000D2AEC"/>
    <w:rsid w:val="000D2B05"/>
    <w:rsid w:val="000D2B64"/>
    <w:rsid w:val="000D2B9B"/>
    <w:rsid w:val="000D2B9F"/>
    <w:rsid w:val="000D2BDC"/>
    <w:rsid w:val="000D2C09"/>
    <w:rsid w:val="000D2C3D"/>
    <w:rsid w:val="000D2E18"/>
    <w:rsid w:val="000D2E1B"/>
    <w:rsid w:val="000D2E9F"/>
    <w:rsid w:val="000D2EBF"/>
    <w:rsid w:val="000D3067"/>
    <w:rsid w:val="000D31A3"/>
    <w:rsid w:val="000D31DD"/>
    <w:rsid w:val="000D31EB"/>
    <w:rsid w:val="000D33EF"/>
    <w:rsid w:val="000D34B0"/>
    <w:rsid w:val="000D34C6"/>
    <w:rsid w:val="000D35D1"/>
    <w:rsid w:val="000D35FE"/>
    <w:rsid w:val="000D3652"/>
    <w:rsid w:val="000D3758"/>
    <w:rsid w:val="000D37EA"/>
    <w:rsid w:val="000D3A4A"/>
    <w:rsid w:val="000D3A57"/>
    <w:rsid w:val="000D3A65"/>
    <w:rsid w:val="000D3B65"/>
    <w:rsid w:val="000D3D04"/>
    <w:rsid w:val="000D3D1A"/>
    <w:rsid w:val="000D3D41"/>
    <w:rsid w:val="000D3E4E"/>
    <w:rsid w:val="000D4038"/>
    <w:rsid w:val="000D40F0"/>
    <w:rsid w:val="000D4114"/>
    <w:rsid w:val="000D411C"/>
    <w:rsid w:val="000D413B"/>
    <w:rsid w:val="000D4205"/>
    <w:rsid w:val="000D4220"/>
    <w:rsid w:val="000D4221"/>
    <w:rsid w:val="000D425D"/>
    <w:rsid w:val="000D42B4"/>
    <w:rsid w:val="000D42B6"/>
    <w:rsid w:val="000D4309"/>
    <w:rsid w:val="000D436E"/>
    <w:rsid w:val="000D4383"/>
    <w:rsid w:val="000D4399"/>
    <w:rsid w:val="000D4447"/>
    <w:rsid w:val="000D44D8"/>
    <w:rsid w:val="000D46C1"/>
    <w:rsid w:val="000D4740"/>
    <w:rsid w:val="000D49B2"/>
    <w:rsid w:val="000D4C17"/>
    <w:rsid w:val="000D4C87"/>
    <w:rsid w:val="000D4CED"/>
    <w:rsid w:val="000D4D0A"/>
    <w:rsid w:val="000D4D99"/>
    <w:rsid w:val="000D4DD9"/>
    <w:rsid w:val="000D5010"/>
    <w:rsid w:val="000D5023"/>
    <w:rsid w:val="000D5105"/>
    <w:rsid w:val="000D51B5"/>
    <w:rsid w:val="000D51DE"/>
    <w:rsid w:val="000D520D"/>
    <w:rsid w:val="000D522E"/>
    <w:rsid w:val="000D5341"/>
    <w:rsid w:val="000D5385"/>
    <w:rsid w:val="000D54D7"/>
    <w:rsid w:val="000D552C"/>
    <w:rsid w:val="000D55C7"/>
    <w:rsid w:val="000D55F2"/>
    <w:rsid w:val="000D568E"/>
    <w:rsid w:val="000D5874"/>
    <w:rsid w:val="000D5984"/>
    <w:rsid w:val="000D59EB"/>
    <w:rsid w:val="000D5AB6"/>
    <w:rsid w:val="000D5C02"/>
    <w:rsid w:val="000D5CE3"/>
    <w:rsid w:val="000D5CF2"/>
    <w:rsid w:val="000D5DA2"/>
    <w:rsid w:val="000D5E0A"/>
    <w:rsid w:val="000D5E8C"/>
    <w:rsid w:val="000D5EF7"/>
    <w:rsid w:val="000D6085"/>
    <w:rsid w:val="000D60B8"/>
    <w:rsid w:val="000D63BA"/>
    <w:rsid w:val="000D63CE"/>
    <w:rsid w:val="000D6413"/>
    <w:rsid w:val="000D645D"/>
    <w:rsid w:val="000D6486"/>
    <w:rsid w:val="000D6495"/>
    <w:rsid w:val="000D6509"/>
    <w:rsid w:val="000D6536"/>
    <w:rsid w:val="000D6597"/>
    <w:rsid w:val="000D659C"/>
    <w:rsid w:val="000D6769"/>
    <w:rsid w:val="000D67B5"/>
    <w:rsid w:val="000D67E8"/>
    <w:rsid w:val="000D680C"/>
    <w:rsid w:val="000D6817"/>
    <w:rsid w:val="000D68D7"/>
    <w:rsid w:val="000D6A0D"/>
    <w:rsid w:val="000D6A88"/>
    <w:rsid w:val="000D6AAD"/>
    <w:rsid w:val="000D6B90"/>
    <w:rsid w:val="000D6C29"/>
    <w:rsid w:val="000D6C7C"/>
    <w:rsid w:val="000D6CD4"/>
    <w:rsid w:val="000D6DF1"/>
    <w:rsid w:val="000D6E3A"/>
    <w:rsid w:val="000D6E81"/>
    <w:rsid w:val="000D6EB9"/>
    <w:rsid w:val="000D6F71"/>
    <w:rsid w:val="000D6FE0"/>
    <w:rsid w:val="000D70B8"/>
    <w:rsid w:val="000D71F9"/>
    <w:rsid w:val="000D731F"/>
    <w:rsid w:val="000D733F"/>
    <w:rsid w:val="000D7342"/>
    <w:rsid w:val="000D73D7"/>
    <w:rsid w:val="000D7409"/>
    <w:rsid w:val="000D7454"/>
    <w:rsid w:val="000D74A0"/>
    <w:rsid w:val="000D74C9"/>
    <w:rsid w:val="000D7552"/>
    <w:rsid w:val="000D7681"/>
    <w:rsid w:val="000D7702"/>
    <w:rsid w:val="000D771E"/>
    <w:rsid w:val="000D774A"/>
    <w:rsid w:val="000D787E"/>
    <w:rsid w:val="000D78D4"/>
    <w:rsid w:val="000D7934"/>
    <w:rsid w:val="000D7964"/>
    <w:rsid w:val="000D7977"/>
    <w:rsid w:val="000D79F0"/>
    <w:rsid w:val="000D7A60"/>
    <w:rsid w:val="000D7ADC"/>
    <w:rsid w:val="000D7B73"/>
    <w:rsid w:val="000D7BC9"/>
    <w:rsid w:val="000D7CC2"/>
    <w:rsid w:val="000D7D10"/>
    <w:rsid w:val="000D7D19"/>
    <w:rsid w:val="000D7DFA"/>
    <w:rsid w:val="000D7EAA"/>
    <w:rsid w:val="000D7F61"/>
    <w:rsid w:val="000D7F7B"/>
    <w:rsid w:val="000D7FEA"/>
    <w:rsid w:val="000E006E"/>
    <w:rsid w:val="000E00AD"/>
    <w:rsid w:val="000E00DF"/>
    <w:rsid w:val="000E0115"/>
    <w:rsid w:val="000E01B9"/>
    <w:rsid w:val="000E01D3"/>
    <w:rsid w:val="000E01E8"/>
    <w:rsid w:val="000E0462"/>
    <w:rsid w:val="000E049A"/>
    <w:rsid w:val="000E04CD"/>
    <w:rsid w:val="000E04D7"/>
    <w:rsid w:val="000E04DA"/>
    <w:rsid w:val="000E04F4"/>
    <w:rsid w:val="000E053F"/>
    <w:rsid w:val="000E0587"/>
    <w:rsid w:val="000E05E4"/>
    <w:rsid w:val="000E0800"/>
    <w:rsid w:val="000E09AB"/>
    <w:rsid w:val="000E0A22"/>
    <w:rsid w:val="000E0A67"/>
    <w:rsid w:val="000E0B53"/>
    <w:rsid w:val="000E0B71"/>
    <w:rsid w:val="000E0C97"/>
    <w:rsid w:val="000E0DA6"/>
    <w:rsid w:val="000E0E04"/>
    <w:rsid w:val="000E0E94"/>
    <w:rsid w:val="000E0F06"/>
    <w:rsid w:val="000E0F93"/>
    <w:rsid w:val="000E1064"/>
    <w:rsid w:val="000E10CE"/>
    <w:rsid w:val="000E10FE"/>
    <w:rsid w:val="000E11B3"/>
    <w:rsid w:val="000E11C1"/>
    <w:rsid w:val="000E11C4"/>
    <w:rsid w:val="000E126E"/>
    <w:rsid w:val="000E12EB"/>
    <w:rsid w:val="000E1391"/>
    <w:rsid w:val="000E1406"/>
    <w:rsid w:val="000E1636"/>
    <w:rsid w:val="000E1641"/>
    <w:rsid w:val="000E168D"/>
    <w:rsid w:val="000E17BF"/>
    <w:rsid w:val="000E17F4"/>
    <w:rsid w:val="000E1822"/>
    <w:rsid w:val="000E1931"/>
    <w:rsid w:val="000E193E"/>
    <w:rsid w:val="000E1947"/>
    <w:rsid w:val="000E19DD"/>
    <w:rsid w:val="000E1A22"/>
    <w:rsid w:val="000E1B08"/>
    <w:rsid w:val="000E1BD2"/>
    <w:rsid w:val="000E1C99"/>
    <w:rsid w:val="000E1CA2"/>
    <w:rsid w:val="000E1E23"/>
    <w:rsid w:val="000E1E65"/>
    <w:rsid w:val="000E1FE9"/>
    <w:rsid w:val="000E2065"/>
    <w:rsid w:val="000E2076"/>
    <w:rsid w:val="000E20B4"/>
    <w:rsid w:val="000E20BB"/>
    <w:rsid w:val="000E2133"/>
    <w:rsid w:val="000E21A9"/>
    <w:rsid w:val="000E223F"/>
    <w:rsid w:val="000E23AB"/>
    <w:rsid w:val="000E23F3"/>
    <w:rsid w:val="000E2522"/>
    <w:rsid w:val="000E2523"/>
    <w:rsid w:val="000E2566"/>
    <w:rsid w:val="000E2A0D"/>
    <w:rsid w:val="000E2AAA"/>
    <w:rsid w:val="000E2AB4"/>
    <w:rsid w:val="000E2AB9"/>
    <w:rsid w:val="000E2B61"/>
    <w:rsid w:val="000E2B68"/>
    <w:rsid w:val="000E2B6E"/>
    <w:rsid w:val="000E2BC6"/>
    <w:rsid w:val="000E2BF7"/>
    <w:rsid w:val="000E2C2F"/>
    <w:rsid w:val="000E2EBC"/>
    <w:rsid w:val="000E2FC0"/>
    <w:rsid w:val="000E3053"/>
    <w:rsid w:val="000E30C5"/>
    <w:rsid w:val="000E3124"/>
    <w:rsid w:val="000E3185"/>
    <w:rsid w:val="000E3285"/>
    <w:rsid w:val="000E3335"/>
    <w:rsid w:val="000E3337"/>
    <w:rsid w:val="000E3348"/>
    <w:rsid w:val="000E3379"/>
    <w:rsid w:val="000E33E7"/>
    <w:rsid w:val="000E344E"/>
    <w:rsid w:val="000E3563"/>
    <w:rsid w:val="000E35C2"/>
    <w:rsid w:val="000E362C"/>
    <w:rsid w:val="000E3638"/>
    <w:rsid w:val="000E3792"/>
    <w:rsid w:val="000E3A5F"/>
    <w:rsid w:val="000E3B62"/>
    <w:rsid w:val="000E3C52"/>
    <w:rsid w:val="000E3C6A"/>
    <w:rsid w:val="000E3C9D"/>
    <w:rsid w:val="000E3CBF"/>
    <w:rsid w:val="000E3D0B"/>
    <w:rsid w:val="000E3DE3"/>
    <w:rsid w:val="000E3DEC"/>
    <w:rsid w:val="000E3E75"/>
    <w:rsid w:val="000E3EA9"/>
    <w:rsid w:val="000E3F38"/>
    <w:rsid w:val="000E3FB0"/>
    <w:rsid w:val="000E4034"/>
    <w:rsid w:val="000E40CF"/>
    <w:rsid w:val="000E4111"/>
    <w:rsid w:val="000E41E3"/>
    <w:rsid w:val="000E4229"/>
    <w:rsid w:val="000E4265"/>
    <w:rsid w:val="000E42AE"/>
    <w:rsid w:val="000E42CB"/>
    <w:rsid w:val="000E431C"/>
    <w:rsid w:val="000E443D"/>
    <w:rsid w:val="000E4474"/>
    <w:rsid w:val="000E4507"/>
    <w:rsid w:val="000E4563"/>
    <w:rsid w:val="000E45BE"/>
    <w:rsid w:val="000E46E8"/>
    <w:rsid w:val="000E4716"/>
    <w:rsid w:val="000E47A4"/>
    <w:rsid w:val="000E47C2"/>
    <w:rsid w:val="000E4858"/>
    <w:rsid w:val="000E4993"/>
    <w:rsid w:val="000E4A38"/>
    <w:rsid w:val="000E4A9B"/>
    <w:rsid w:val="000E4AA3"/>
    <w:rsid w:val="000E4ACB"/>
    <w:rsid w:val="000E4B31"/>
    <w:rsid w:val="000E4BE2"/>
    <w:rsid w:val="000E4D7D"/>
    <w:rsid w:val="000E4D90"/>
    <w:rsid w:val="000E4DF9"/>
    <w:rsid w:val="000E4E2F"/>
    <w:rsid w:val="000E4E45"/>
    <w:rsid w:val="000E4E62"/>
    <w:rsid w:val="000E4E76"/>
    <w:rsid w:val="000E4E9E"/>
    <w:rsid w:val="000E4ED2"/>
    <w:rsid w:val="000E4EDF"/>
    <w:rsid w:val="000E4F97"/>
    <w:rsid w:val="000E5037"/>
    <w:rsid w:val="000E507E"/>
    <w:rsid w:val="000E5175"/>
    <w:rsid w:val="000E51BF"/>
    <w:rsid w:val="000E524B"/>
    <w:rsid w:val="000E5262"/>
    <w:rsid w:val="000E535A"/>
    <w:rsid w:val="000E539E"/>
    <w:rsid w:val="000E53A9"/>
    <w:rsid w:val="000E5403"/>
    <w:rsid w:val="000E541E"/>
    <w:rsid w:val="000E544F"/>
    <w:rsid w:val="000E5495"/>
    <w:rsid w:val="000E5507"/>
    <w:rsid w:val="000E555D"/>
    <w:rsid w:val="000E5634"/>
    <w:rsid w:val="000E570B"/>
    <w:rsid w:val="000E5761"/>
    <w:rsid w:val="000E5904"/>
    <w:rsid w:val="000E5956"/>
    <w:rsid w:val="000E5982"/>
    <w:rsid w:val="000E59AE"/>
    <w:rsid w:val="000E59B5"/>
    <w:rsid w:val="000E59BD"/>
    <w:rsid w:val="000E59F7"/>
    <w:rsid w:val="000E5A18"/>
    <w:rsid w:val="000E5A42"/>
    <w:rsid w:val="000E5B06"/>
    <w:rsid w:val="000E5BFD"/>
    <w:rsid w:val="000E5C3E"/>
    <w:rsid w:val="000E5C83"/>
    <w:rsid w:val="000E5CD6"/>
    <w:rsid w:val="000E5D1D"/>
    <w:rsid w:val="000E5DC2"/>
    <w:rsid w:val="000E5E53"/>
    <w:rsid w:val="000E5EF1"/>
    <w:rsid w:val="000E5F0A"/>
    <w:rsid w:val="000E6045"/>
    <w:rsid w:val="000E60E3"/>
    <w:rsid w:val="000E612F"/>
    <w:rsid w:val="000E6188"/>
    <w:rsid w:val="000E6345"/>
    <w:rsid w:val="000E64CF"/>
    <w:rsid w:val="000E6540"/>
    <w:rsid w:val="000E6543"/>
    <w:rsid w:val="000E6554"/>
    <w:rsid w:val="000E65C9"/>
    <w:rsid w:val="000E65EA"/>
    <w:rsid w:val="000E664A"/>
    <w:rsid w:val="000E67E2"/>
    <w:rsid w:val="000E688E"/>
    <w:rsid w:val="000E6985"/>
    <w:rsid w:val="000E6AF1"/>
    <w:rsid w:val="000E6C03"/>
    <w:rsid w:val="000E6C2D"/>
    <w:rsid w:val="000E6C83"/>
    <w:rsid w:val="000E6E45"/>
    <w:rsid w:val="000E6E51"/>
    <w:rsid w:val="000E6ED3"/>
    <w:rsid w:val="000E6EF0"/>
    <w:rsid w:val="000E6F48"/>
    <w:rsid w:val="000E6FC8"/>
    <w:rsid w:val="000E703C"/>
    <w:rsid w:val="000E70C9"/>
    <w:rsid w:val="000E70F1"/>
    <w:rsid w:val="000E714C"/>
    <w:rsid w:val="000E714D"/>
    <w:rsid w:val="000E7153"/>
    <w:rsid w:val="000E717D"/>
    <w:rsid w:val="000E71DA"/>
    <w:rsid w:val="000E7207"/>
    <w:rsid w:val="000E732F"/>
    <w:rsid w:val="000E73D1"/>
    <w:rsid w:val="000E7405"/>
    <w:rsid w:val="000E7480"/>
    <w:rsid w:val="000E7496"/>
    <w:rsid w:val="000E75A8"/>
    <w:rsid w:val="000E760B"/>
    <w:rsid w:val="000E7670"/>
    <w:rsid w:val="000E76AE"/>
    <w:rsid w:val="000E76B0"/>
    <w:rsid w:val="000E7720"/>
    <w:rsid w:val="000E779D"/>
    <w:rsid w:val="000E783C"/>
    <w:rsid w:val="000E7848"/>
    <w:rsid w:val="000E799A"/>
    <w:rsid w:val="000E7B82"/>
    <w:rsid w:val="000E7C51"/>
    <w:rsid w:val="000E7C66"/>
    <w:rsid w:val="000E7D0B"/>
    <w:rsid w:val="000E7E22"/>
    <w:rsid w:val="000E7EA6"/>
    <w:rsid w:val="000E7EE8"/>
    <w:rsid w:val="000E7EF5"/>
    <w:rsid w:val="000E7F1B"/>
    <w:rsid w:val="000F00D5"/>
    <w:rsid w:val="000F013F"/>
    <w:rsid w:val="000F031A"/>
    <w:rsid w:val="000F04C4"/>
    <w:rsid w:val="000F04DF"/>
    <w:rsid w:val="000F0587"/>
    <w:rsid w:val="000F0751"/>
    <w:rsid w:val="000F08CA"/>
    <w:rsid w:val="000F098C"/>
    <w:rsid w:val="000F0A26"/>
    <w:rsid w:val="000F0ACB"/>
    <w:rsid w:val="000F0B09"/>
    <w:rsid w:val="000F0B68"/>
    <w:rsid w:val="000F0BC7"/>
    <w:rsid w:val="000F0C0B"/>
    <w:rsid w:val="000F0DAC"/>
    <w:rsid w:val="000F0E4D"/>
    <w:rsid w:val="000F0EB4"/>
    <w:rsid w:val="000F0EB6"/>
    <w:rsid w:val="000F0F53"/>
    <w:rsid w:val="000F0F96"/>
    <w:rsid w:val="000F1009"/>
    <w:rsid w:val="000F10A6"/>
    <w:rsid w:val="000F11C9"/>
    <w:rsid w:val="000F11E5"/>
    <w:rsid w:val="000F1214"/>
    <w:rsid w:val="000F126F"/>
    <w:rsid w:val="000F12E5"/>
    <w:rsid w:val="000F1405"/>
    <w:rsid w:val="000F141B"/>
    <w:rsid w:val="000F1462"/>
    <w:rsid w:val="000F1526"/>
    <w:rsid w:val="000F1542"/>
    <w:rsid w:val="000F15A8"/>
    <w:rsid w:val="000F15BA"/>
    <w:rsid w:val="000F1670"/>
    <w:rsid w:val="000F1685"/>
    <w:rsid w:val="000F1691"/>
    <w:rsid w:val="000F1724"/>
    <w:rsid w:val="000F1790"/>
    <w:rsid w:val="000F1816"/>
    <w:rsid w:val="000F183B"/>
    <w:rsid w:val="000F1842"/>
    <w:rsid w:val="000F1992"/>
    <w:rsid w:val="000F19CB"/>
    <w:rsid w:val="000F1A35"/>
    <w:rsid w:val="000F1B19"/>
    <w:rsid w:val="000F1B2A"/>
    <w:rsid w:val="000F1B35"/>
    <w:rsid w:val="000F1B9D"/>
    <w:rsid w:val="000F1CB4"/>
    <w:rsid w:val="000F1CFF"/>
    <w:rsid w:val="000F1D60"/>
    <w:rsid w:val="000F1DD5"/>
    <w:rsid w:val="000F1DF4"/>
    <w:rsid w:val="000F1EDF"/>
    <w:rsid w:val="000F1EE6"/>
    <w:rsid w:val="000F1F90"/>
    <w:rsid w:val="000F1FC7"/>
    <w:rsid w:val="000F2016"/>
    <w:rsid w:val="000F205B"/>
    <w:rsid w:val="000F20CA"/>
    <w:rsid w:val="000F2147"/>
    <w:rsid w:val="000F2211"/>
    <w:rsid w:val="000F22B6"/>
    <w:rsid w:val="000F22E5"/>
    <w:rsid w:val="000F23CC"/>
    <w:rsid w:val="000F246B"/>
    <w:rsid w:val="000F24A1"/>
    <w:rsid w:val="000F2517"/>
    <w:rsid w:val="000F2556"/>
    <w:rsid w:val="000F25AA"/>
    <w:rsid w:val="000F25B5"/>
    <w:rsid w:val="000F2671"/>
    <w:rsid w:val="000F26E1"/>
    <w:rsid w:val="000F27A3"/>
    <w:rsid w:val="000F286A"/>
    <w:rsid w:val="000F291F"/>
    <w:rsid w:val="000F29A5"/>
    <w:rsid w:val="000F29D1"/>
    <w:rsid w:val="000F2AF4"/>
    <w:rsid w:val="000F2B09"/>
    <w:rsid w:val="000F2B4D"/>
    <w:rsid w:val="000F2B9D"/>
    <w:rsid w:val="000F2C20"/>
    <w:rsid w:val="000F2C5C"/>
    <w:rsid w:val="000F2DAD"/>
    <w:rsid w:val="000F2DFA"/>
    <w:rsid w:val="000F2E47"/>
    <w:rsid w:val="000F2ED8"/>
    <w:rsid w:val="000F2F3A"/>
    <w:rsid w:val="000F2F68"/>
    <w:rsid w:val="000F301B"/>
    <w:rsid w:val="000F308F"/>
    <w:rsid w:val="000F31A1"/>
    <w:rsid w:val="000F3244"/>
    <w:rsid w:val="000F34DC"/>
    <w:rsid w:val="000F352E"/>
    <w:rsid w:val="000F355A"/>
    <w:rsid w:val="000F359E"/>
    <w:rsid w:val="000F367C"/>
    <w:rsid w:val="000F36A9"/>
    <w:rsid w:val="000F3725"/>
    <w:rsid w:val="000F378C"/>
    <w:rsid w:val="000F3798"/>
    <w:rsid w:val="000F37B8"/>
    <w:rsid w:val="000F37C7"/>
    <w:rsid w:val="000F37DD"/>
    <w:rsid w:val="000F385C"/>
    <w:rsid w:val="000F38B5"/>
    <w:rsid w:val="000F3B0A"/>
    <w:rsid w:val="000F3BC0"/>
    <w:rsid w:val="000F3BC5"/>
    <w:rsid w:val="000F3C15"/>
    <w:rsid w:val="000F3DBD"/>
    <w:rsid w:val="000F3DC9"/>
    <w:rsid w:val="000F3DE5"/>
    <w:rsid w:val="000F3E3B"/>
    <w:rsid w:val="000F3EE6"/>
    <w:rsid w:val="000F3F29"/>
    <w:rsid w:val="000F3F35"/>
    <w:rsid w:val="000F3F72"/>
    <w:rsid w:val="000F3FF4"/>
    <w:rsid w:val="000F3FFC"/>
    <w:rsid w:val="000F40B6"/>
    <w:rsid w:val="000F4190"/>
    <w:rsid w:val="000F41B8"/>
    <w:rsid w:val="000F4200"/>
    <w:rsid w:val="000F436B"/>
    <w:rsid w:val="000F439E"/>
    <w:rsid w:val="000F43E0"/>
    <w:rsid w:val="000F444B"/>
    <w:rsid w:val="000F452D"/>
    <w:rsid w:val="000F4573"/>
    <w:rsid w:val="000F45DE"/>
    <w:rsid w:val="000F461E"/>
    <w:rsid w:val="000F4669"/>
    <w:rsid w:val="000F46AD"/>
    <w:rsid w:val="000F4705"/>
    <w:rsid w:val="000F4750"/>
    <w:rsid w:val="000F47C1"/>
    <w:rsid w:val="000F481D"/>
    <w:rsid w:val="000F49C5"/>
    <w:rsid w:val="000F49E5"/>
    <w:rsid w:val="000F49FD"/>
    <w:rsid w:val="000F4A20"/>
    <w:rsid w:val="000F4A41"/>
    <w:rsid w:val="000F4AD7"/>
    <w:rsid w:val="000F4B47"/>
    <w:rsid w:val="000F4BF6"/>
    <w:rsid w:val="000F4C73"/>
    <w:rsid w:val="000F4E9A"/>
    <w:rsid w:val="000F4FB5"/>
    <w:rsid w:val="000F5035"/>
    <w:rsid w:val="000F509F"/>
    <w:rsid w:val="000F50C0"/>
    <w:rsid w:val="000F5143"/>
    <w:rsid w:val="000F51F1"/>
    <w:rsid w:val="000F5213"/>
    <w:rsid w:val="000F5235"/>
    <w:rsid w:val="000F5319"/>
    <w:rsid w:val="000F5328"/>
    <w:rsid w:val="000F54E1"/>
    <w:rsid w:val="000F55C9"/>
    <w:rsid w:val="000F55CE"/>
    <w:rsid w:val="000F55D7"/>
    <w:rsid w:val="000F5603"/>
    <w:rsid w:val="000F5867"/>
    <w:rsid w:val="000F5904"/>
    <w:rsid w:val="000F5908"/>
    <w:rsid w:val="000F591A"/>
    <w:rsid w:val="000F5AE3"/>
    <w:rsid w:val="000F5B3F"/>
    <w:rsid w:val="000F5BA4"/>
    <w:rsid w:val="000F5BDF"/>
    <w:rsid w:val="000F5BF0"/>
    <w:rsid w:val="000F5C1A"/>
    <w:rsid w:val="000F5CE8"/>
    <w:rsid w:val="000F5D51"/>
    <w:rsid w:val="000F5DEF"/>
    <w:rsid w:val="000F5E6A"/>
    <w:rsid w:val="000F5F49"/>
    <w:rsid w:val="000F5F57"/>
    <w:rsid w:val="000F6008"/>
    <w:rsid w:val="000F602C"/>
    <w:rsid w:val="000F6157"/>
    <w:rsid w:val="000F6190"/>
    <w:rsid w:val="000F61CA"/>
    <w:rsid w:val="000F61E5"/>
    <w:rsid w:val="000F622E"/>
    <w:rsid w:val="000F6244"/>
    <w:rsid w:val="000F6306"/>
    <w:rsid w:val="000F6407"/>
    <w:rsid w:val="000F64BA"/>
    <w:rsid w:val="000F6575"/>
    <w:rsid w:val="000F671A"/>
    <w:rsid w:val="000F6850"/>
    <w:rsid w:val="000F6A29"/>
    <w:rsid w:val="000F6C54"/>
    <w:rsid w:val="000F6E59"/>
    <w:rsid w:val="000F6E89"/>
    <w:rsid w:val="000F6EB4"/>
    <w:rsid w:val="000F6F5E"/>
    <w:rsid w:val="000F6FA5"/>
    <w:rsid w:val="000F7033"/>
    <w:rsid w:val="000F7040"/>
    <w:rsid w:val="000F7048"/>
    <w:rsid w:val="000F709B"/>
    <w:rsid w:val="000F70CC"/>
    <w:rsid w:val="000F7148"/>
    <w:rsid w:val="000F7198"/>
    <w:rsid w:val="000F72BC"/>
    <w:rsid w:val="000F73E9"/>
    <w:rsid w:val="000F73EA"/>
    <w:rsid w:val="000F73F0"/>
    <w:rsid w:val="000F7404"/>
    <w:rsid w:val="000F7601"/>
    <w:rsid w:val="000F7625"/>
    <w:rsid w:val="000F7769"/>
    <w:rsid w:val="000F77C6"/>
    <w:rsid w:val="000F7A88"/>
    <w:rsid w:val="000F7ACF"/>
    <w:rsid w:val="000F7B2B"/>
    <w:rsid w:val="000F7B2F"/>
    <w:rsid w:val="000F7C2F"/>
    <w:rsid w:val="000F7CCF"/>
    <w:rsid w:val="000F7CFF"/>
    <w:rsid w:val="000F7D1A"/>
    <w:rsid w:val="000F7E30"/>
    <w:rsid w:val="000F7E87"/>
    <w:rsid w:val="000F7EBB"/>
    <w:rsid w:val="000F7F53"/>
    <w:rsid w:val="00100010"/>
    <w:rsid w:val="001000AC"/>
    <w:rsid w:val="0010026F"/>
    <w:rsid w:val="001002E3"/>
    <w:rsid w:val="00100309"/>
    <w:rsid w:val="00100392"/>
    <w:rsid w:val="001003BA"/>
    <w:rsid w:val="001003E3"/>
    <w:rsid w:val="00100455"/>
    <w:rsid w:val="00100465"/>
    <w:rsid w:val="00100581"/>
    <w:rsid w:val="0010058D"/>
    <w:rsid w:val="0010069D"/>
    <w:rsid w:val="0010073C"/>
    <w:rsid w:val="00100755"/>
    <w:rsid w:val="00100890"/>
    <w:rsid w:val="001008EB"/>
    <w:rsid w:val="001009B1"/>
    <w:rsid w:val="00100B16"/>
    <w:rsid w:val="00100BB9"/>
    <w:rsid w:val="00100C85"/>
    <w:rsid w:val="00100D0B"/>
    <w:rsid w:val="00100E25"/>
    <w:rsid w:val="00100E9E"/>
    <w:rsid w:val="00100EAA"/>
    <w:rsid w:val="00101026"/>
    <w:rsid w:val="00101208"/>
    <w:rsid w:val="0010124E"/>
    <w:rsid w:val="00101304"/>
    <w:rsid w:val="001013C3"/>
    <w:rsid w:val="0010142A"/>
    <w:rsid w:val="001014AB"/>
    <w:rsid w:val="00101625"/>
    <w:rsid w:val="0010167C"/>
    <w:rsid w:val="00101745"/>
    <w:rsid w:val="001018FA"/>
    <w:rsid w:val="00101903"/>
    <w:rsid w:val="00101934"/>
    <w:rsid w:val="00101966"/>
    <w:rsid w:val="001019AE"/>
    <w:rsid w:val="00101D22"/>
    <w:rsid w:val="00101D3F"/>
    <w:rsid w:val="00101D4C"/>
    <w:rsid w:val="00101D8B"/>
    <w:rsid w:val="00101DB2"/>
    <w:rsid w:val="00101E1E"/>
    <w:rsid w:val="00101EF8"/>
    <w:rsid w:val="00101F11"/>
    <w:rsid w:val="00101F66"/>
    <w:rsid w:val="00101FC6"/>
    <w:rsid w:val="00102005"/>
    <w:rsid w:val="001020C3"/>
    <w:rsid w:val="001021C8"/>
    <w:rsid w:val="00102210"/>
    <w:rsid w:val="0010228B"/>
    <w:rsid w:val="001022F1"/>
    <w:rsid w:val="001023AD"/>
    <w:rsid w:val="001023B2"/>
    <w:rsid w:val="001023E8"/>
    <w:rsid w:val="00102451"/>
    <w:rsid w:val="00102464"/>
    <w:rsid w:val="00102553"/>
    <w:rsid w:val="0010257A"/>
    <w:rsid w:val="001025BB"/>
    <w:rsid w:val="001025D3"/>
    <w:rsid w:val="001025DD"/>
    <w:rsid w:val="00102643"/>
    <w:rsid w:val="001026DB"/>
    <w:rsid w:val="00102706"/>
    <w:rsid w:val="00102778"/>
    <w:rsid w:val="001027E6"/>
    <w:rsid w:val="001027F3"/>
    <w:rsid w:val="0010280D"/>
    <w:rsid w:val="0010282B"/>
    <w:rsid w:val="00102874"/>
    <w:rsid w:val="00102979"/>
    <w:rsid w:val="00102990"/>
    <w:rsid w:val="00102B70"/>
    <w:rsid w:val="00102C3B"/>
    <w:rsid w:val="00102C91"/>
    <w:rsid w:val="00102CDC"/>
    <w:rsid w:val="00102DB6"/>
    <w:rsid w:val="00102E3D"/>
    <w:rsid w:val="00102E85"/>
    <w:rsid w:val="00103173"/>
    <w:rsid w:val="0010334B"/>
    <w:rsid w:val="00103378"/>
    <w:rsid w:val="001033EB"/>
    <w:rsid w:val="001034E2"/>
    <w:rsid w:val="0010375C"/>
    <w:rsid w:val="0010385A"/>
    <w:rsid w:val="001038F2"/>
    <w:rsid w:val="00103A2F"/>
    <w:rsid w:val="00103B16"/>
    <w:rsid w:val="00103BC5"/>
    <w:rsid w:val="00103BD7"/>
    <w:rsid w:val="00103C1B"/>
    <w:rsid w:val="00103D6E"/>
    <w:rsid w:val="00103DC7"/>
    <w:rsid w:val="00103DDE"/>
    <w:rsid w:val="00103DE0"/>
    <w:rsid w:val="00103E4D"/>
    <w:rsid w:val="00103EB6"/>
    <w:rsid w:val="00104048"/>
    <w:rsid w:val="001041D6"/>
    <w:rsid w:val="00104297"/>
    <w:rsid w:val="00104301"/>
    <w:rsid w:val="00104326"/>
    <w:rsid w:val="00104439"/>
    <w:rsid w:val="001044C3"/>
    <w:rsid w:val="001045ED"/>
    <w:rsid w:val="0010494D"/>
    <w:rsid w:val="00104993"/>
    <w:rsid w:val="001049D1"/>
    <w:rsid w:val="00104AF3"/>
    <w:rsid w:val="00104B47"/>
    <w:rsid w:val="00104B68"/>
    <w:rsid w:val="00104CB9"/>
    <w:rsid w:val="00104D0C"/>
    <w:rsid w:val="00104E07"/>
    <w:rsid w:val="00104E7F"/>
    <w:rsid w:val="00104F58"/>
    <w:rsid w:val="00104F9B"/>
    <w:rsid w:val="001050E8"/>
    <w:rsid w:val="00105141"/>
    <w:rsid w:val="00105260"/>
    <w:rsid w:val="00105288"/>
    <w:rsid w:val="00105476"/>
    <w:rsid w:val="00105577"/>
    <w:rsid w:val="00105632"/>
    <w:rsid w:val="001056A4"/>
    <w:rsid w:val="001056E0"/>
    <w:rsid w:val="00105702"/>
    <w:rsid w:val="00105848"/>
    <w:rsid w:val="0010584F"/>
    <w:rsid w:val="00105877"/>
    <w:rsid w:val="001058B6"/>
    <w:rsid w:val="00105933"/>
    <w:rsid w:val="00105ABB"/>
    <w:rsid w:val="00105B5F"/>
    <w:rsid w:val="00105B6C"/>
    <w:rsid w:val="00105CC2"/>
    <w:rsid w:val="00105CE7"/>
    <w:rsid w:val="00105D06"/>
    <w:rsid w:val="00105D20"/>
    <w:rsid w:val="00105D9E"/>
    <w:rsid w:val="00105DC6"/>
    <w:rsid w:val="00105DCD"/>
    <w:rsid w:val="00105E2F"/>
    <w:rsid w:val="00105F40"/>
    <w:rsid w:val="00106025"/>
    <w:rsid w:val="00106089"/>
    <w:rsid w:val="001060A7"/>
    <w:rsid w:val="00106100"/>
    <w:rsid w:val="0010615E"/>
    <w:rsid w:val="0010617D"/>
    <w:rsid w:val="001062D4"/>
    <w:rsid w:val="001063C0"/>
    <w:rsid w:val="001063CC"/>
    <w:rsid w:val="001063EF"/>
    <w:rsid w:val="0010645A"/>
    <w:rsid w:val="001064DF"/>
    <w:rsid w:val="0010659B"/>
    <w:rsid w:val="0010669C"/>
    <w:rsid w:val="001066F0"/>
    <w:rsid w:val="001067B0"/>
    <w:rsid w:val="00106843"/>
    <w:rsid w:val="00106870"/>
    <w:rsid w:val="001068A2"/>
    <w:rsid w:val="00106980"/>
    <w:rsid w:val="00106A59"/>
    <w:rsid w:val="00106A68"/>
    <w:rsid w:val="00106B8B"/>
    <w:rsid w:val="00106BE7"/>
    <w:rsid w:val="00106C04"/>
    <w:rsid w:val="00106CA5"/>
    <w:rsid w:val="00106CA8"/>
    <w:rsid w:val="00106CBE"/>
    <w:rsid w:val="00106DCA"/>
    <w:rsid w:val="00106F12"/>
    <w:rsid w:val="00106F69"/>
    <w:rsid w:val="00106FEC"/>
    <w:rsid w:val="0010709D"/>
    <w:rsid w:val="001072E8"/>
    <w:rsid w:val="001073E6"/>
    <w:rsid w:val="00107410"/>
    <w:rsid w:val="001074CC"/>
    <w:rsid w:val="001074DB"/>
    <w:rsid w:val="001075E9"/>
    <w:rsid w:val="00107836"/>
    <w:rsid w:val="00107910"/>
    <w:rsid w:val="001079B7"/>
    <w:rsid w:val="001079C9"/>
    <w:rsid w:val="001079F3"/>
    <w:rsid w:val="00107A77"/>
    <w:rsid w:val="00107AD3"/>
    <w:rsid w:val="00107B92"/>
    <w:rsid w:val="00107BCC"/>
    <w:rsid w:val="00107C3E"/>
    <w:rsid w:val="00107C82"/>
    <w:rsid w:val="00107D20"/>
    <w:rsid w:val="00107D91"/>
    <w:rsid w:val="00107E4C"/>
    <w:rsid w:val="00107F16"/>
    <w:rsid w:val="00107FF8"/>
    <w:rsid w:val="00110001"/>
    <w:rsid w:val="0011005A"/>
    <w:rsid w:val="001101C2"/>
    <w:rsid w:val="001101FB"/>
    <w:rsid w:val="001103EF"/>
    <w:rsid w:val="001103F2"/>
    <w:rsid w:val="00110459"/>
    <w:rsid w:val="001104D2"/>
    <w:rsid w:val="00110513"/>
    <w:rsid w:val="00110580"/>
    <w:rsid w:val="001105B3"/>
    <w:rsid w:val="00110624"/>
    <w:rsid w:val="001106AB"/>
    <w:rsid w:val="001106AC"/>
    <w:rsid w:val="001107B2"/>
    <w:rsid w:val="0011083B"/>
    <w:rsid w:val="0011084D"/>
    <w:rsid w:val="00110923"/>
    <w:rsid w:val="00110B5B"/>
    <w:rsid w:val="00110BAF"/>
    <w:rsid w:val="00110C23"/>
    <w:rsid w:val="00110C32"/>
    <w:rsid w:val="00110CF8"/>
    <w:rsid w:val="00110D23"/>
    <w:rsid w:val="00110D62"/>
    <w:rsid w:val="00110D98"/>
    <w:rsid w:val="00110DBE"/>
    <w:rsid w:val="00110DC9"/>
    <w:rsid w:val="00110FCC"/>
    <w:rsid w:val="001110E2"/>
    <w:rsid w:val="00111169"/>
    <w:rsid w:val="001111BD"/>
    <w:rsid w:val="001111E7"/>
    <w:rsid w:val="0011122C"/>
    <w:rsid w:val="00111273"/>
    <w:rsid w:val="0011139D"/>
    <w:rsid w:val="001113A1"/>
    <w:rsid w:val="001113DC"/>
    <w:rsid w:val="00111473"/>
    <w:rsid w:val="00111481"/>
    <w:rsid w:val="00111578"/>
    <w:rsid w:val="001115F3"/>
    <w:rsid w:val="001118A6"/>
    <w:rsid w:val="001118FF"/>
    <w:rsid w:val="00111914"/>
    <w:rsid w:val="00111956"/>
    <w:rsid w:val="00111978"/>
    <w:rsid w:val="001119B5"/>
    <w:rsid w:val="00111ACF"/>
    <w:rsid w:val="00111C11"/>
    <w:rsid w:val="00111CC7"/>
    <w:rsid w:val="00111D10"/>
    <w:rsid w:val="00111D1F"/>
    <w:rsid w:val="00111D9A"/>
    <w:rsid w:val="00111DF6"/>
    <w:rsid w:val="00111F12"/>
    <w:rsid w:val="00112006"/>
    <w:rsid w:val="001120C1"/>
    <w:rsid w:val="001121A2"/>
    <w:rsid w:val="001121EE"/>
    <w:rsid w:val="0011221F"/>
    <w:rsid w:val="00112328"/>
    <w:rsid w:val="0011243B"/>
    <w:rsid w:val="0011252E"/>
    <w:rsid w:val="00112538"/>
    <w:rsid w:val="001125B2"/>
    <w:rsid w:val="00112614"/>
    <w:rsid w:val="001126FA"/>
    <w:rsid w:val="00112748"/>
    <w:rsid w:val="0011277D"/>
    <w:rsid w:val="00112810"/>
    <w:rsid w:val="00112A22"/>
    <w:rsid w:val="00112AAF"/>
    <w:rsid w:val="00112B29"/>
    <w:rsid w:val="00112B83"/>
    <w:rsid w:val="00112C3F"/>
    <w:rsid w:val="00112E8E"/>
    <w:rsid w:val="00112EAB"/>
    <w:rsid w:val="00112ED4"/>
    <w:rsid w:val="00112F1E"/>
    <w:rsid w:val="00113082"/>
    <w:rsid w:val="00113091"/>
    <w:rsid w:val="001130D7"/>
    <w:rsid w:val="001130F6"/>
    <w:rsid w:val="001131E8"/>
    <w:rsid w:val="0011331D"/>
    <w:rsid w:val="001133DF"/>
    <w:rsid w:val="00113406"/>
    <w:rsid w:val="0011344C"/>
    <w:rsid w:val="0011350F"/>
    <w:rsid w:val="00113595"/>
    <w:rsid w:val="00113629"/>
    <w:rsid w:val="00113637"/>
    <w:rsid w:val="001136AA"/>
    <w:rsid w:val="001136CE"/>
    <w:rsid w:val="0011370C"/>
    <w:rsid w:val="001137C9"/>
    <w:rsid w:val="0011382D"/>
    <w:rsid w:val="0011386A"/>
    <w:rsid w:val="001138AC"/>
    <w:rsid w:val="001138E7"/>
    <w:rsid w:val="00113912"/>
    <w:rsid w:val="0011394C"/>
    <w:rsid w:val="00113A00"/>
    <w:rsid w:val="00113A3F"/>
    <w:rsid w:val="00113A88"/>
    <w:rsid w:val="00113BBC"/>
    <w:rsid w:val="00113C61"/>
    <w:rsid w:val="00113D35"/>
    <w:rsid w:val="00113D99"/>
    <w:rsid w:val="00113D9E"/>
    <w:rsid w:val="00113DB4"/>
    <w:rsid w:val="00113E55"/>
    <w:rsid w:val="00113EC8"/>
    <w:rsid w:val="00113ED7"/>
    <w:rsid w:val="00113F0D"/>
    <w:rsid w:val="001140BF"/>
    <w:rsid w:val="0011410F"/>
    <w:rsid w:val="00114122"/>
    <w:rsid w:val="00114164"/>
    <w:rsid w:val="001141B3"/>
    <w:rsid w:val="001141CE"/>
    <w:rsid w:val="00114218"/>
    <w:rsid w:val="00114237"/>
    <w:rsid w:val="001142BB"/>
    <w:rsid w:val="00114330"/>
    <w:rsid w:val="00114428"/>
    <w:rsid w:val="0011450E"/>
    <w:rsid w:val="001146C1"/>
    <w:rsid w:val="001147A2"/>
    <w:rsid w:val="00114867"/>
    <w:rsid w:val="001148AC"/>
    <w:rsid w:val="001148C4"/>
    <w:rsid w:val="00114A55"/>
    <w:rsid w:val="00114AC0"/>
    <w:rsid w:val="00114AF1"/>
    <w:rsid w:val="00114B19"/>
    <w:rsid w:val="00114B35"/>
    <w:rsid w:val="00114C72"/>
    <w:rsid w:val="00114D3A"/>
    <w:rsid w:val="00114E2C"/>
    <w:rsid w:val="00114E3E"/>
    <w:rsid w:val="00114F16"/>
    <w:rsid w:val="00114F3A"/>
    <w:rsid w:val="0011506F"/>
    <w:rsid w:val="0011515D"/>
    <w:rsid w:val="00115237"/>
    <w:rsid w:val="00115281"/>
    <w:rsid w:val="001152FC"/>
    <w:rsid w:val="00115343"/>
    <w:rsid w:val="00115365"/>
    <w:rsid w:val="001153AF"/>
    <w:rsid w:val="001153FA"/>
    <w:rsid w:val="001154EC"/>
    <w:rsid w:val="0011550F"/>
    <w:rsid w:val="001155D9"/>
    <w:rsid w:val="0011567B"/>
    <w:rsid w:val="001156F1"/>
    <w:rsid w:val="00115715"/>
    <w:rsid w:val="0011577E"/>
    <w:rsid w:val="0011585E"/>
    <w:rsid w:val="001158D9"/>
    <w:rsid w:val="00115910"/>
    <w:rsid w:val="00115999"/>
    <w:rsid w:val="00115A3A"/>
    <w:rsid w:val="00115A41"/>
    <w:rsid w:val="00115B06"/>
    <w:rsid w:val="00115B1F"/>
    <w:rsid w:val="00115C70"/>
    <w:rsid w:val="00115C8E"/>
    <w:rsid w:val="00115DCC"/>
    <w:rsid w:val="00115DFA"/>
    <w:rsid w:val="00115E40"/>
    <w:rsid w:val="00115E9E"/>
    <w:rsid w:val="00115EE4"/>
    <w:rsid w:val="00115F5F"/>
    <w:rsid w:val="00115F9F"/>
    <w:rsid w:val="00115FDD"/>
    <w:rsid w:val="00116157"/>
    <w:rsid w:val="00116215"/>
    <w:rsid w:val="00116292"/>
    <w:rsid w:val="001164F8"/>
    <w:rsid w:val="00116563"/>
    <w:rsid w:val="00116646"/>
    <w:rsid w:val="0011667A"/>
    <w:rsid w:val="0011667F"/>
    <w:rsid w:val="001167FC"/>
    <w:rsid w:val="00116806"/>
    <w:rsid w:val="00116835"/>
    <w:rsid w:val="00116851"/>
    <w:rsid w:val="0011689E"/>
    <w:rsid w:val="001168AD"/>
    <w:rsid w:val="0011695B"/>
    <w:rsid w:val="00116A36"/>
    <w:rsid w:val="00116B8B"/>
    <w:rsid w:val="00116BE6"/>
    <w:rsid w:val="00116C32"/>
    <w:rsid w:val="00116D2D"/>
    <w:rsid w:val="00116E0D"/>
    <w:rsid w:val="00116E17"/>
    <w:rsid w:val="00116E19"/>
    <w:rsid w:val="00116E65"/>
    <w:rsid w:val="00116EA7"/>
    <w:rsid w:val="00116F6E"/>
    <w:rsid w:val="00116FC4"/>
    <w:rsid w:val="00116FC6"/>
    <w:rsid w:val="00117079"/>
    <w:rsid w:val="001170D8"/>
    <w:rsid w:val="00117277"/>
    <w:rsid w:val="001172BB"/>
    <w:rsid w:val="00117432"/>
    <w:rsid w:val="00117510"/>
    <w:rsid w:val="00117532"/>
    <w:rsid w:val="0011758C"/>
    <w:rsid w:val="001175A0"/>
    <w:rsid w:val="001175D6"/>
    <w:rsid w:val="001176D1"/>
    <w:rsid w:val="00117718"/>
    <w:rsid w:val="0011784B"/>
    <w:rsid w:val="001178A4"/>
    <w:rsid w:val="00117956"/>
    <w:rsid w:val="00117981"/>
    <w:rsid w:val="001179DC"/>
    <w:rsid w:val="00117AC0"/>
    <w:rsid w:val="00117B58"/>
    <w:rsid w:val="00117B74"/>
    <w:rsid w:val="00117CE6"/>
    <w:rsid w:val="00117D7C"/>
    <w:rsid w:val="00117D94"/>
    <w:rsid w:val="00117DBA"/>
    <w:rsid w:val="00117DEC"/>
    <w:rsid w:val="00117E01"/>
    <w:rsid w:val="00117E47"/>
    <w:rsid w:val="00117F16"/>
    <w:rsid w:val="00120199"/>
    <w:rsid w:val="001201CC"/>
    <w:rsid w:val="0012024E"/>
    <w:rsid w:val="00120287"/>
    <w:rsid w:val="0012032E"/>
    <w:rsid w:val="00120336"/>
    <w:rsid w:val="001204FD"/>
    <w:rsid w:val="00120569"/>
    <w:rsid w:val="00120599"/>
    <w:rsid w:val="00120658"/>
    <w:rsid w:val="001206B3"/>
    <w:rsid w:val="001206BB"/>
    <w:rsid w:val="001206D8"/>
    <w:rsid w:val="00120801"/>
    <w:rsid w:val="00120AC0"/>
    <w:rsid w:val="00120B9C"/>
    <w:rsid w:val="00120CEE"/>
    <w:rsid w:val="00120ED0"/>
    <w:rsid w:val="00120ED8"/>
    <w:rsid w:val="00120F0F"/>
    <w:rsid w:val="00120F1E"/>
    <w:rsid w:val="00120FAA"/>
    <w:rsid w:val="00121026"/>
    <w:rsid w:val="001210C0"/>
    <w:rsid w:val="00121165"/>
    <w:rsid w:val="00121257"/>
    <w:rsid w:val="001212A0"/>
    <w:rsid w:val="0012144D"/>
    <w:rsid w:val="001214E5"/>
    <w:rsid w:val="00121529"/>
    <w:rsid w:val="0012153B"/>
    <w:rsid w:val="00121540"/>
    <w:rsid w:val="0012168F"/>
    <w:rsid w:val="001217D9"/>
    <w:rsid w:val="0012183F"/>
    <w:rsid w:val="001218CE"/>
    <w:rsid w:val="001218D7"/>
    <w:rsid w:val="00121ABA"/>
    <w:rsid w:val="00121AE4"/>
    <w:rsid w:val="00121B20"/>
    <w:rsid w:val="00121BD5"/>
    <w:rsid w:val="00121C0F"/>
    <w:rsid w:val="00121D09"/>
    <w:rsid w:val="00121D34"/>
    <w:rsid w:val="00121D85"/>
    <w:rsid w:val="00121E4E"/>
    <w:rsid w:val="00121F14"/>
    <w:rsid w:val="00121FC3"/>
    <w:rsid w:val="00121FEF"/>
    <w:rsid w:val="00121FF2"/>
    <w:rsid w:val="00122021"/>
    <w:rsid w:val="00122123"/>
    <w:rsid w:val="001221FF"/>
    <w:rsid w:val="00122285"/>
    <w:rsid w:val="0012248C"/>
    <w:rsid w:val="0012248E"/>
    <w:rsid w:val="001224E0"/>
    <w:rsid w:val="00122576"/>
    <w:rsid w:val="001225F9"/>
    <w:rsid w:val="001226CB"/>
    <w:rsid w:val="001227C4"/>
    <w:rsid w:val="001228FE"/>
    <w:rsid w:val="00122A04"/>
    <w:rsid w:val="00122A2A"/>
    <w:rsid w:val="00122A2E"/>
    <w:rsid w:val="00122A43"/>
    <w:rsid w:val="00122A59"/>
    <w:rsid w:val="00122A81"/>
    <w:rsid w:val="00122BCE"/>
    <w:rsid w:val="00122C04"/>
    <w:rsid w:val="00122C2E"/>
    <w:rsid w:val="00122D0B"/>
    <w:rsid w:val="00122D7A"/>
    <w:rsid w:val="00122E2E"/>
    <w:rsid w:val="00122F15"/>
    <w:rsid w:val="00122FA4"/>
    <w:rsid w:val="00122FF4"/>
    <w:rsid w:val="00123031"/>
    <w:rsid w:val="00123047"/>
    <w:rsid w:val="0012304D"/>
    <w:rsid w:val="0012310D"/>
    <w:rsid w:val="00123132"/>
    <w:rsid w:val="001231AC"/>
    <w:rsid w:val="001231E4"/>
    <w:rsid w:val="0012323D"/>
    <w:rsid w:val="001232BA"/>
    <w:rsid w:val="001232EE"/>
    <w:rsid w:val="00123330"/>
    <w:rsid w:val="00123451"/>
    <w:rsid w:val="001234CB"/>
    <w:rsid w:val="00123532"/>
    <w:rsid w:val="001235A9"/>
    <w:rsid w:val="0012370F"/>
    <w:rsid w:val="0012377C"/>
    <w:rsid w:val="001237B1"/>
    <w:rsid w:val="001238D1"/>
    <w:rsid w:val="001238DE"/>
    <w:rsid w:val="001239C7"/>
    <w:rsid w:val="001239DD"/>
    <w:rsid w:val="00123A15"/>
    <w:rsid w:val="00123A55"/>
    <w:rsid w:val="00123A92"/>
    <w:rsid w:val="00123B4C"/>
    <w:rsid w:val="00123B51"/>
    <w:rsid w:val="00123BA9"/>
    <w:rsid w:val="00123BED"/>
    <w:rsid w:val="00123CAD"/>
    <w:rsid w:val="00123D82"/>
    <w:rsid w:val="00123EAA"/>
    <w:rsid w:val="00123F60"/>
    <w:rsid w:val="00123F98"/>
    <w:rsid w:val="0012400E"/>
    <w:rsid w:val="00124142"/>
    <w:rsid w:val="00124235"/>
    <w:rsid w:val="001242F1"/>
    <w:rsid w:val="00124459"/>
    <w:rsid w:val="001244D7"/>
    <w:rsid w:val="00124599"/>
    <w:rsid w:val="001245FB"/>
    <w:rsid w:val="00124779"/>
    <w:rsid w:val="00124849"/>
    <w:rsid w:val="00124858"/>
    <w:rsid w:val="00124868"/>
    <w:rsid w:val="001248AC"/>
    <w:rsid w:val="001249F8"/>
    <w:rsid w:val="00124ACC"/>
    <w:rsid w:val="00124BE6"/>
    <w:rsid w:val="00124CB2"/>
    <w:rsid w:val="00124CEA"/>
    <w:rsid w:val="00124D1A"/>
    <w:rsid w:val="00124D6E"/>
    <w:rsid w:val="00124D82"/>
    <w:rsid w:val="00124DBD"/>
    <w:rsid w:val="00124E04"/>
    <w:rsid w:val="00124E7D"/>
    <w:rsid w:val="00124E82"/>
    <w:rsid w:val="00124F85"/>
    <w:rsid w:val="00125027"/>
    <w:rsid w:val="00125196"/>
    <w:rsid w:val="001251DA"/>
    <w:rsid w:val="001251EB"/>
    <w:rsid w:val="001251F4"/>
    <w:rsid w:val="001252CD"/>
    <w:rsid w:val="001252D1"/>
    <w:rsid w:val="001252E3"/>
    <w:rsid w:val="001252E5"/>
    <w:rsid w:val="0012537F"/>
    <w:rsid w:val="00125383"/>
    <w:rsid w:val="00125424"/>
    <w:rsid w:val="001254B1"/>
    <w:rsid w:val="00125631"/>
    <w:rsid w:val="001257CE"/>
    <w:rsid w:val="001257E0"/>
    <w:rsid w:val="0012583E"/>
    <w:rsid w:val="0012586E"/>
    <w:rsid w:val="0012595B"/>
    <w:rsid w:val="0012595E"/>
    <w:rsid w:val="0012599F"/>
    <w:rsid w:val="001259DE"/>
    <w:rsid w:val="00125A13"/>
    <w:rsid w:val="00125AF4"/>
    <w:rsid w:val="00125B4C"/>
    <w:rsid w:val="00125D8A"/>
    <w:rsid w:val="00125DEB"/>
    <w:rsid w:val="00125E55"/>
    <w:rsid w:val="00125EC8"/>
    <w:rsid w:val="00125F47"/>
    <w:rsid w:val="00125FA3"/>
    <w:rsid w:val="0012602F"/>
    <w:rsid w:val="001260AB"/>
    <w:rsid w:val="001260C9"/>
    <w:rsid w:val="001260DF"/>
    <w:rsid w:val="00126140"/>
    <w:rsid w:val="00126192"/>
    <w:rsid w:val="00126220"/>
    <w:rsid w:val="00126260"/>
    <w:rsid w:val="00126352"/>
    <w:rsid w:val="00126359"/>
    <w:rsid w:val="001263AD"/>
    <w:rsid w:val="001263DA"/>
    <w:rsid w:val="0012640E"/>
    <w:rsid w:val="00126500"/>
    <w:rsid w:val="00126521"/>
    <w:rsid w:val="00126535"/>
    <w:rsid w:val="00126547"/>
    <w:rsid w:val="00126549"/>
    <w:rsid w:val="001265C3"/>
    <w:rsid w:val="001266F5"/>
    <w:rsid w:val="00126824"/>
    <w:rsid w:val="001268BC"/>
    <w:rsid w:val="001268C2"/>
    <w:rsid w:val="001268C8"/>
    <w:rsid w:val="001268F3"/>
    <w:rsid w:val="001268FF"/>
    <w:rsid w:val="001269D5"/>
    <w:rsid w:val="001269DF"/>
    <w:rsid w:val="00126ABD"/>
    <w:rsid w:val="00126ACD"/>
    <w:rsid w:val="00126BE8"/>
    <w:rsid w:val="00126CDC"/>
    <w:rsid w:val="00126E3C"/>
    <w:rsid w:val="00126EDA"/>
    <w:rsid w:val="00126F22"/>
    <w:rsid w:val="00126FBD"/>
    <w:rsid w:val="00126FFE"/>
    <w:rsid w:val="00127002"/>
    <w:rsid w:val="00127085"/>
    <w:rsid w:val="001270AD"/>
    <w:rsid w:val="001270E8"/>
    <w:rsid w:val="0012711C"/>
    <w:rsid w:val="0012711E"/>
    <w:rsid w:val="0012714E"/>
    <w:rsid w:val="0012715D"/>
    <w:rsid w:val="00127198"/>
    <w:rsid w:val="001271A3"/>
    <w:rsid w:val="00127203"/>
    <w:rsid w:val="0012726E"/>
    <w:rsid w:val="0012727F"/>
    <w:rsid w:val="00127293"/>
    <w:rsid w:val="001272E6"/>
    <w:rsid w:val="001273A0"/>
    <w:rsid w:val="001273BA"/>
    <w:rsid w:val="001273F6"/>
    <w:rsid w:val="00127483"/>
    <w:rsid w:val="0012783E"/>
    <w:rsid w:val="001278F8"/>
    <w:rsid w:val="00127A4C"/>
    <w:rsid w:val="00127A5F"/>
    <w:rsid w:val="00127B13"/>
    <w:rsid w:val="00127B6E"/>
    <w:rsid w:val="00127D46"/>
    <w:rsid w:val="00127D90"/>
    <w:rsid w:val="00127E55"/>
    <w:rsid w:val="00127EA6"/>
    <w:rsid w:val="00127F20"/>
    <w:rsid w:val="0013013A"/>
    <w:rsid w:val="0013020D"/>
    <w:rsid w:val="001302FE"/>
    <w:rsid w:val="001305B1"/>
    <w:rsid w:val="001305C9"/>
    <w:rsid w:val="001305E2"/>
    <w:rsid w:val="001306D1"/>
    <w:rsid w:val="001306EC"/>
    <w:rsid w:val="00130742"/>
    <w:rsid w:val="00130788"/>
    <w:rsid w:val="001308AF"/>
    <w:rsid w:val="001308EC"/>
    <w:rsid w:val="001309DA"/>
    <w:rsid w:val="00130A09"/>
    <w:rsid w:val="00130A0F"/>
    <w:rsid w:val="00130B42"/>
    <w:rsid w:val="00130B7F"/>
    <w:rsid w:val="00130BCA"/>
    <w:rsid w:val="00130C1F"/>
    <w:rsid w:val="00130C70"/>
    <w:rsid w:val="00130DE8"/>
    <w:rsid w:val="00130EAE"/>
    <w:rsid w:val="00130F90"/>
    <w:rsid w:val="00130FFC"/>
    <w:rsid w:val="0013102C"/>
    <w:rsid w:val="00131078"/>
    <w:rsid w:val="001310F9"/>
    <w:rsid w:val="00131270"/>
    <w:rsid w:val="00131274"/>
    <w:rsid w:val="001313A3"/>
    <w:rsid w:val="001313B4"/>
    <w:rsid w:val="001313EE"/>
    <w:rsid w:val="00131400"/>
    <w:rsid w:val="001315C5"/>
    <w:rsid w:val="00131600"/>
    <w:rsid w:val="001316A4"/>
    <w:rsid w:val="0013171E"/>
    <w:rsid w:val="001317DB"/>
    <w:rsid w:val="0013186A"/>
    <w:rsid w:val="001318FF"/>
    <w:rsid w:val="0013192F"/>
    <w:rsid w:val="001319BE"/>
    <w:rsid w:val="00131A21"/>
    <w:rsid w:val="00131A45"/>
    <w:rsid w:val="00131A64"/>
    <w:rsid w:val="00131A83"/>
    <w:rsid w:val="00131C7E"/>
    <w:rsid w:val="00131C8A"/>
    <w:rsid w:val="00131D5B"/>
    <w:rsid w:val="00131E6F"/>
    <w:rsid w:val="00131F5E"/>
    <w:rsid w:val="00131FCB"/>
    <w:rsid w:val="00132057"/>
    <w:rsid w:val="0013210B"/>
    <w:rsid w:val="0013222E"/>
    <w:rsid w:val="00132271"/>
    <w:rsid w:val="0013237F"/>
    <w:rsid w:val="00132651"/>
    <w:rsid w:val="001326F1"/>
    <w:rsid w:val="00132779"/>
    <w:rsid w:val="0013284F"/>
    <w:rsid w:val="001328AD"/>
    <w:rsid w:val="001328B2"/>
    <w:rsid w:val="001328B6"/>
    <w:rsid w:val="001328C3"/>
    <w:rsid w:val="001329AC"/>
    <w:rsid w:val="001329B7"/>
    <w:rsid w:val="001329BD"/>
    <w:rsid w:val="00132A88"/>
    <w:rsid w:val="00132AD4"/>
    <w:rsid w:val="00132BB8"/>
    <w:rsid w:val="00132CFE"/>
    <w:rsid w:val="00132E01"/>
    <w:rsid w:val="00132E40"/>
    <w:rsid w:val="00132F66"/>
    <w:rsid w:val="00132F6D"/>
    <w:rsid w:val="00132F7F"/>
    <w:rsid w:val="00132FE5"/>
    <w:rsid w:val="001331AB"/>
    <w:rsid w:val="001331CF"/>
    <w:rsid w:val="00133209"/>
    <w:rsid w:val="00133269"/>
    <w:rsid w:val="00133340"/>
    <w:rsid w:val="001333D0"/>
    <w:rsid w:val="00133417"/>
    <w:rsid w:val="00133518"/>
    <w:rsid w:val="00133745"/>
    <w:rsid w:val="00133759"/>
    <w:rsid w:val="00133943"/>
    <w:rsid w:val="00133983"/>
    <w:rsid w:val="00133ACD"/>
    <w:rsid w:val="00133B42"/>
    <w:rsid w:val="00133BCA"/>
    <w:rsid w:val="00133BDF"/>
    <w:rsid w:val="00133BFF"/>
    <w:rsid w:val="00133C75"/>
    <w:rsid w:val="00133D38"/>
    <w:rsid w:val="00133D6B"/>
    <w:rsid w:val="00133E04"/>
    <w:rsid w:val="00133E0E"/>
    <w:rsid w:val="00133E65"/>
    <w:rsid w:val="00133E9B"/>
    <w:rsid w:val="00133F58"/>
    <w:rsid w:val="00133F65"/>
    <w:rsid w:val="00133FBE"/>
    <w:rsid w:val="001340E6"/>
    <w:rsid w:val="00134102"/>
    <w:rsid w:val="00134116"/>
    <w:rsid w:val="001343D7"/>
    <w:rsid w:val="00134456"/>
    <w:rsid w:val="00134474"/>
    <w:rsid w:val="001344AC"/>
    <w:rsid w:val="00134574"/>
    <w:rsid w:val="001345C2"/>
    <w:rsid w:val="001345EE"/>
    <w:rsid w:val="00134620"/>
    <w:rsid w:val="0013462B"/>
    <w:rsid w:val="001346A6"/>
    <w:rsid w:val="00134702"/>
    <w:rsid w:val="0013477B"/>
    <w:rsid w:val="001347C5"/>
    <w:rsid w:val="001347D6"/>
    <w:rsid w:val="001347E8"/>
    <w:rsid w:val="0013485E"/>
    <w:rsid w:val="0013489E"/>
    <w:rsid w:val="00134978"/>
    <w:rsid w:val="00134A21"/>
    <w:rsid w:val="00134A34"/>
    <w:rsid w:val="00134A83"/>
    <w:rsid w:val="00134AB6"/>
    <w:rsid w:val="00134BCD"/>
    <w:rsid w:val="00134C09"/>
    <w:rsid w:val="00134C67"/>
    <w:rsid w:val="00134CCD"/>
    <w:rsid w:val="00134E08"/>
    <w:rsid w:val="00134E0D"/>
    <w:rsid w:val="00134E1F"/>
    <w:rsid w:val="00134E57"/>
    <w:rsid w:val="00134FAD"/>
    <w:rsid w:val="00135072"/>
    <w:rsid w:val="00135097"/>
    <w:rsid w:val="001350C0"/>
    <w:rsid w:val="001350E0"/>
    <w:rsid w:val="001350EC"/>
    <w:rsid w:val="001351AC"/>
    <w:rsid w:val="001351C7"/>
    <w:rsid w:val="001351C9"/>
    <w:rsid w:val="0013535B"/>
    <w:rsid w:val="00135391"/>
    <w:rsid w:val="001353C8"/>
    <w:rsid w:val="001354F8"/>
    <w:rsid w:val="00135513"/>
    <w:rsid w:val="001355D9"/>
    <w:rsid w:val="00135613"/>
    <w:rsid w:val="001357F7"/>
    <w:rsid w:val="001358ED"/>
    <w:rsid w:val="00135999"/>
    <w:rsid w:val="001359E6"/>
    <w:rsid w:val="001359FE"/>
    <w:rsid w:val="00135A09"/>
    <w:rsid w:val="00135A89"/>
    <w:rsid w:val="00135B97"/>
    <w:rsid w:val="00135C76"/>
    <w:rsid w:val="00135CEF"/>
    <w:rsid w:val="00135D46"/>
    <w:rsid w:val="00135DEA"/>
    <w:rsid w:val="00135F56"/>
    <w:rsid w:val="00135F7A"/>
    <w:rsid w:val="00135FDD"/>
    <w:rsid w:val="00135FF5"/>
    <w:rsid w:val="0013600B"/>
    <w:rsid w:val="00136028"/>
    <w:rsid w:val="0013605B"/>
    <w:rsid w:val="001360CA"/>
    <w:rsid w:val="001360EF"/>
    <w:rsid w:val="00136124"/>
    <w:rsid w:val="00136151"/>
    <w:rsid w:val="001361FF"/>
    <w:rsid w:val="00136444"/>
    <w:rsid w:val="0013647D"/>
    <w:rsid w:val="001365F8"/>
    <w:rsid w:val="00136607"/>
    <w:rsid w:val="00136621"/>
    <w:rsid w:val="00136657"/>
    <w:rsid w:val="00136725"/>
    <w:rsid w:val="00136839"/>
    <w:rsid w:val="00136921"/>
    <w:rsid w:val="00136B53"/>
    <w:rsid w:val="00136BA3"/>
    <w:rsid w:val="00136BB9"/>
    <w:rsid w:val="00136BD4"/>
    <w:rsid w:val="00136CAC"/>
    <w:rsid w:val="00136CC3"/>
    <w:rsid w:val="00136D2B"/>
    <w:rsid w:val="00136EFD"/>
    <w:rsid w:val="00137131"/>
    <w:rsid w:val="001371C6"/>
    <w:rsid w:val="001371E9"/>
    <w:rsid w:val="00137377"/>
    <w:rsid w:val="0013739F"/>
    <w:rsid w:val="00137484"/>
    <w:rsid w:val="0013753A"/>
    <w:rsid w:val="00137592"/>
    <w:rsid w:val="0013761C"/>
    <w:rsid w:val="0013763C"/>
    <w:rsid w:val="001377C4"/>
    <w:rsid w:val="0013782E"/>
    <w:rsid w:val="001378A5"/>
    <w:rsid w:val="00137954"/>
    <w:rsid w:val="0013799A"/>
    <w:rsid w:val="001379D4"/>
    <w:rsid w:val="00137ABF"/>
    <w:rsid w:val="00137AC2"/>
    <w:rsid w:val="00137B4D"/>
    <w:rsid w:val="00137BF3"/>
    <w:rsid w:val="00137C41"/>
    <w:rsid w:val="00137C86"/>
    <w:rsid w:val="00137D76"/>
    <w:rsid w:val="00137D8F"/>
    <w:rsid w:val="00137DD0"/>
    <w:rsid w:val="00137E9D"/>
    <w:rsid w:val="00137ECD"/>
    <w:rsid w:val="00137FA5"/>
    <w:rsid w:val="001400BB"/>
    <w:rsid w:val="00140190"/>
    <w:rsid w:val="001401D6"/>
    <w:rsid w:val="0014024B"/>
    <w:rsid w:val="001402E1"/>
    <w:rsid w:val="00140303"/>
    <w:rsid w:val="00140336"/>
    <w:rsid w:val="00140599"/>
    <w:rsid w:val="0014073E"/>
    <w:rsid w:val="001407D7"/>
    <w:rsid w:val="0014080B"/>
    <w:rsid w:val="0014091F"/>
    <w:rsid w:val="0014098A"/>
    <w:rsid w:val="001409DA"/>
    <w:rsid w:val="00140A17"/>
    <w:rsid w:val="00140A2B"/>
    <w:rsid w:val="00140A8A"/>
    <w:rsid w:val="00140AC3"/>
    <w:rsid w:val="00140B30"/>
    <w:rsid w:val="00140B92"/>
    <w:rsid w:val="00140BBB"/>
    <w:rsid w:val="00140C34"/>
    <w:rsid w:val="00140CBD"/>
    <w:rsid w:val="00140D21"/>
    <w:rsid w:val="00140D7E"/>
    <w:rsid w:val="00140D93"/>
    <w:rsid w:val="00140E49"/>
    <w:rsid w:val="00140E9B"/>
    <w:rsid w:val="00140EC5"/>
    <w:rsid w:val="00140FB9"/>
    <w:rsid w:val="00140FE9"/>
    <w:rsid w:val="00141012"/>
    <w:rsid w:val="0014102A"/>
    <w:rsid w:val="00141036"/>
    <w:rsid w:val="00141081"/>
    <w:rsid w:val="001410DE"/>
    <w:rsid w:val="00141204"/>
    <w:rsid w:val="0014120D"/>
    <w:rsid w:val="00141248"/>
    <w:rsid w:val="00141289"/>
    <w:rsid w:val="001412C1"/>
    <w:rsid w:val="001412E3"/>
    <w:rsid w:val="0014131C"/>
    <w:rsid w:val="001413ED"/>
    <w:rsid w:val="0014145E"/>
    <w:rsid w:val="00141558"/>
    <w:rsid w:val="00141664"/>
    <w:rsid w:val="00141718"/>
    <w:rsid w:val="0014177D"/>
    <w:rsid w:val="0014185B"/>
    <w:rsid w:val="001418C9"/>
    <w:rsid w:val="001418D8"/>
    <w:rsid w:val="00141981"/>
    <w:rsid w:val="001419CD"/>
    <w:rsid w:val="00141A41"/>
    <w:rsid w:val="00141AAB"/>
    <w:rsid w:val="00141B6B"/>
    <w:rsid w:val="00141BE2"/>
    <w:rsid w:val="00141C03"/>
    <w:rsid w:val="00141CF5"/>
    <w:rsid w:val="00141D1F"/>
    <w:rsid w:val="00141E27"/>
    <w:rsid w:val="00141E59"/>
    <w:rsid w:val="00141F5D"/>
    <w:rsid w:val="00142205"/>
    <w:rsid w:val="001422E1"/>
    <w:rsid w:val="001422F0"/>
    <w:rsid w:val="00142369"/>
    <w:rsid w:val="00142371"/>
    <w:rsid w:val="00142452"/>
    <w:rsid w:val="00142497"/>
    <w:rsid w:val="001424B9"/>
    <w:rsid w:val="001424ED"/>
    <w:rsid w:val="00142530"/>
    <w:rsid w:val="001425A6"/>
    <w:rsid w:val="0014261C"/>
    <w:rsid w:val="00142622"/>
    <w:rsid w:val="001428A9"/>
    <w:rsid w:val="00142943"/>
    <w:rsid w:val="001429BC"/>
    <w:rsid w:val="001429D3"/>
    <w:rsid w:val="00142B6D"/>
    <w:rsid w:val="00142B6F"/>
    <w:rsid w:val="00142BA8"/>
    <w:rsid w:val="00142BB6"/>
    <w:rsid w:val="00142BCC"/>
    <w:rsid w:val="00142F09"/>
    <w:rsid w:val="00142F0A"/>
    <w:rsid w:val="00142FA2"/>
    <w:rsid w:val="00142FEC"/>
    <w:rsid w:val="0014309E"/>
    <w:rsid w:val="001430B2"/>
    <w:rsid w:val="00143165"/>
    <w:rsid w:val="0014316A"/>
    <w:rsid w:val="00143204"/>
    <w:rsid w:val="00143232"/>
    <w:rsid w:val="0014323D"/>
    <w:rsid w:val="001433AA"/>
    <w:rsid w:val="001433DF"/>
    <w:rsid w:val="00143413"/>
    <w:rsid w:val="001434B8"/>
    <w:rsid w:val="001435B6"/>
    <w:rsid w:val="00143660"/>
    <w:rsid w:val="0014367D"/>
    <w:rsid w:val="001436A0"/>
    <w:rsid w:val="001436FB"/>
    <w:rsid w:val="00143811"/>
    <w:rsid w:val="00143855"/>
    <w:rsid w:val="00143931"/>
    <w:rsid w:val="001439F1"/>
    <w:rsid w:val="00143A2F"/>
    <w:rsid w:val="00143AE9"/>
    <w:rsid w:val="00143B02"/>
    <w:rsid w:val="00143BA7"/>
    <w:rsid w:val="00143C2E"/>
    <w:rsid w:val="00143C92"/>
    <w:rsid w:val="00143D66"/>
    <w:rsid w:val="00143E83"/>
    <w:rsid w:val="00143E98"/>
    <w:rsid w:val="00143EFD"/>
    <w:rsid w:val="00143F04"/>
    <w:rsid w:val="00144018"/>
    <w:rsid w:val="0014407C"/>
    <w:rsid w:val="001440D3"/>
    <w:rsid w:val="0014410D"/>
    <w:rsid w:val="00144119"/>
    <w:rsid w:val="0014414A"/>
    <w:rsid w:val="0014422B"/>
    <w:rsid w:val="00144249"/>
    <w:rsid w:val="001443F2"/>
    <w:rsid w:val="0014441D"/>
    <w:rsid w:val="0014444E"/>
    <w:rsid w:val="0014459B"/>
    <w:rsid w:val="00144605"/>
    <w:rsid w:val="0014460B"/>
    <w:rsid w:val="0014460C"/>
    <w:rsid w:val="0014469C"/>
    <w:rsid w:val="001446D0"/>
    <w:rsid w:val="00144747"/>
    <w:rsid w:val="001447C3"/>
    <w:rsid w:val="001448E3"/>
    <w:rsid w:val="00144BA4"/>
    <w:rsid w:val="00144BBA"/>
    <w:rsid w:val="00144BC7"/>
    <w:rsid w:val="00144DD8"/>
    <w:rsid w:val="00144E24"/>
    <w:rsid w:val="00144EA5"/>
    <w:rsid w:val="00145012"/>
    <w:rsid w:val="0014504C"/>
    <w:rsid w:val="00145060"/>
    <w:rsid w:val="0014506C"/>
    <w:rsid w:val="00145245"/>
    <w:rsid w:val="0014525A"/>
    <w:rsid w:val="001452D9"/>
    <w:rsid w:val="0014536D"/>
    <w:rsid w:val="00145459"/>
    <w:rsid w:val="00145553"/>
    <w:rsid w:val="0014556B"/>
    <w:rsid w:val="00145602"/>
    <w:rsid w:val="001456C9"/>
    <w:rsid w:val="00145714"/>
    <w:rsid w:val="00145747"/>
    <w:rsid w:val="00145B8A"/>
    <w:rsid w:val="00145BF2"/>
    <w:rsid w:val="00145C5F"/>
    <w:rsid w:val="00145C7F"/>
    <w:rsid w:val="00145CA4"/>
    <w:rsid w:val="00145E2E"/>
    <w:rsid w:val="00145E8B"/>
    <w:rsid w:val="00145EC9"/>
    <w:rsid w:val="00145ED2"/>
    <w:rsid w:val="00145F4F"/>
    <w:rsid w:val="00145F88"/>
    <w:rsid w:val="00145FEA"/>
    <w:rsid w:val="00145FFB"/>
    <w:rsid w:val="0014610F"/>
    <w:rsid w:val="0014612B"/>
    <w:rsid w:val="0014615E"/>
    <w:rsid w:val="00146184"/>
    <w:rsid w:val="00146238"/>
    <w:rsid w:val="001462AB"/>
    <w:rsid w:val="0014630E"/>
    <w:rsid w:val="0014649D"/>
    <w:rsid w:val="001465AD"/>
    <w:rsid w:val="001465D1"/>
    <w:rsid w:val="00146716"/>
    <w:rsid w:val="0014672F"/>
    <w:rsid w:val="00146783"/>
    <w:rsid w:val="001467DC"/>
    <w:rsid w:val="0014680E"/>
    <w:rsid w:val="001468A8"/>
    <w:rsid w:val="00146AE5"/>
    <w:rsid w:val="00146AF7"/>
    <w:rsid w:val="00146B5D"/>
    <w:rsid w:val="00146C7C"/>
    <w:rsid w:val="00146D22"/>
    <w:rsid w:val="00146D3F"/>
    <w:rsid w:val="00146DBE"/>
    <w:rsid w:val="00146DD0"/>
    <w:rsid w:val="00146E38"/>
    <w:rsid w:val="00146E88"/>
    <w:rsid w:val="00146E91"/>
    <w:rsid w:val="00146EC9"/>
    <w:rsid w:val="00146F64"/>
    <w:rsid w:val="00146FD8"/>
    <w:rsid w:val="00147056"/>
    <w:rsid w:val="00147074"/>
    <w:rsid w:val="0014708D"/>
    <w:rsid w:val="001470A2"/>
    <w:rsid w:val="001470BD"/>
    <w:rsid w:val="00147150"/>
    <w:rsid w:val="001471F6"/>
    <w:rsid w:val="0014725E"/>
    <w:rsid w:val="0014728D"/>
    <w:rsid w:val="0014731D"/>
    <w:rsid w:val="00147372"/>
    <w:rsid w:val="00147387"/>
    <w:rsid w:val="001473C9"/>
    <w:rsid w:val="001473EC"/>
    <w:rsid w:val="00147418"/>
    <w:rsid w:val="00147510"/>
    <w:rsid w:val="0014752E"/>
    <w:rsid w:val="00147531"/>
    <w:rsid w:val="00147653"/>
    <w:rsid w:val="001476B7"/>
    <w:rsid w:val="0014777A"/>
    <w:rsid w:val="001477BA"/>
    <w:rsid w:val="001477F2"/>
    <w:rsid w:val="00147AD0"/>
    <w:rsid w:val="00147AD4"/>
    <w:rsid w:val="00147BC1"/>
    <w:rsid w:val="00147BE4"/>
    <w:rsid w:val="00147C2E"/>
    <w:rsid w:val="00147C39"/>
    <w:rsid w:val="00147CB3"/>
    <w:rsid w:val="00147D8C"/>
    <w:rsid w:val="00147E39"/>
    <w:rsid w:val="00147F30"/>
    <w:rsid w:val="00147F5C"/>
    <w:rsid w:val="00150083"/>
    <w:rsid w:val="001500BB"/>
    <w:rsid w:val="00150179"/>
    <w:rsid w:val="001501B2"/>
    <w:rsid w:val="001501F9"/>
    <w:rsid w:val="0015020C"/>
    <w:rsid w:val="00150218"/>
    <w:rsid w:val="00150227"/>
    <w:rsid w:val="00150233"/>
    <w:rsid w:val="001503FF"/>
    <w:rsid w:val="0015040C"/>
    <w:rsid w:val="00150417"/>
    <w:rsid w:val="00150468"/>
    <w:rsid w:val="0015050D"/>
    <w:rsid w:val="00150596"/>
    <w:rsid w:val="00150703"/>
    <w:rsid w:val="001507BD"/>
    <w:rsid w:val="001507C8"/>
    <w:rsid w:val="001507FC"/>
    <w:rsid w:val="00150884"/>
    <w:rsid w:val="001508EE"/>
    <w:rsid w:val="00150924"/>
    <w:rsid w:val="0015095B"/>
    <w:rsid w:val="00150970"/>
    <w:rsid w:val="001509F9"/>
    <w:rsid w:val="00150AF6"/>
    <w:rsid w:val="00150B42"/>
    <w:rsid w:val="00150C29"/>
    <w:rsid w:val="00150C2A"/>
    <w:rsid w:val="00150CF3"/>
    <w:rsid w:val="00150D1F"/>
    <w:rsid w:val="00150D2B"/>
    <w:rsid w:val="00150D38"/>
    <w:rsid w:val="00150D3F"/>
    <w:rsid w:val="00150E24"/>
    <w:rsid w:val="00150E76"/>
    <w:rsid w:val="00150E81"/>
    <w:rsid w:val="00150EB6"/>
    <w:rsid w:val="00150EEF"/>
    <w:rsid w:val="00150F3E"/>
    <w:rsid w:val="00150F44"/>
    <w:rsid w:val="0015111B"/>
    <w:rsid w:val="001511EB"/>
    <w:rsid w:val="00151233"/>
    <w:rsid w:val="00151294"/>
    <w:rsid w:val="001512A2"/>
    <w:rsid w:val="001512A4"/>
    <w:rsid w:val="001512C8"/>
    <w:rsid w:val="0015136C"/>
    <w:rsid w:val="00151402"/>
    <w:rsid w:val="0015142B"/>
    <w:rsid w:val="00151598"/>
    <w:rsid w:val="00151618"/>
    <w:rsid w:val="00151651"/>
    <w:rsid w:val="00151672"/>
    <w:rsid w:val="001516AD"/>
    <w:rsid w:val="001516BE"/>
    <w:rsid w:val="001516EF"/>
    <w:rsid w:val="00151712"/>
    <w:rsid w:val="00151741"/>
    <w:rsid w:val="0015175B"/>
    <w:rsid w:val="001517E4"/>
    <w:rsid w:val="00151816"/>
    <w:rsid w:val="00151862"/>
    <w:rsid w:val="0015199A"/>
    <w:rsid w:val="001519C8"/>
    <w:rsid w:val="00151A45"/>
    <w:rsid w:val="00151B92"/>
    <w:rsid w:val="00151BE5"/>
    <w:rsid w:val="00151C83"/>
    <w:rsid w:val="00151D30"/>
    <w:rsid w:val="00151DAC"/>
    <w:rsid w:val="00151DC7"/>
    <w:rsid w:val="00151E08"/>
    <w:rsid w:val="00151E4C"/>
    <w:rsid w:val="00151EDD"/>
    <w:rsid w:val="00151EF3"/>
    <w:rsid w:val="00151F47"/>
    <w:rsid w:val="00151FE9"/>
    <w:rsid w:val="0015203C"/>
    <w:rsid w:val="0015209B"/>
    <w:rsid w:val="001520AB"/>
    <w:rsid w:val="001520E2"/>
    <w:rsid w:val="00152166"/>
    <w:rsid w:val="00152267"/>
    <w:rsid w:val="00152281"/>
    <w:rsid w:val="00152289"/>
    <w:rsid w:val="00152313"/>
    <w:rsid w:val="0015232F"/>
    <w:rsid w:val="0015242A"/>
    <w:rsid w:val="00152463"/>
    <w:rsid w:val="001524C0"/>
    <w:rsid w:val="001524F8"/>
    <w:rsid w:val="0015253C"/>
    <w:rsid w:val="0015254D"/>
    <w:rsid w:val="001525D7"/>
    <w:rsid w:val="001528A1"/>
    <w:rsid w:val="001528AB"/>
    <w:rsid w:val="00152963"/>
    <w:rsid w:val="001529F1"/>
    <w:rsid w:val="00152A36"/>
    <w:rsid w:val="00152A4B"/>
    <w:rsid w:val="00152B81"/>
    <w:rsid w:val="00152D3E"/>
    <w:rsid w:val="00152D47"/>
    <w:rsid w:val="00153155"/>
    <w:rsid w:val="00153179"/>
    <w:rsid w:val="00153187"/>
    <w:rsid w:val="00153190"/>
    <w:rsid w:val="00153195"/>
    <w:rsid w:val="001531F5"/>
    <w:rsid w:val="0015324B"/>
    <w:rsid w:val="001532D3"/>
    <w:rsid w:val="00153334"/>
    <w:rsid w:val="00153344"/>
    <w:rsid w:val="00153378"/>
    <w:rsid w:val="001533F9"/>
    <w:rsid w:val="00153458"/>
    <w:rsid w:val="00153694"/>
    <w:rsid w:val="00153700"/>
    <w:rsid w:val="00153716"/>
    <w:rsid w:val="00153744"/>
    <w:rsid w:val="0015375C"/>
    <w:rsid w:val="00153788"/>
    <w:rsid w:val="00153818"/>
    <w:rsid w:val="00153A6A"/>
    <w:rsid w:val="00153B50"/>
    <w:rsid w:val="00153B9D"/>
    <w:rsid w:val="00153C25"/>
    <w:rsid w:val="00153C40"/>
    <w:rsid w:val="00153CF9"/>
    <w:rsid w:val="00153D6B"/>
    <w:rsid w:val="00153D6F"/>
    <w:rsid w:val="00153E2A"/>
    <w:rsid w:val="00153E7C"/>
    <w:rsid w:val="00153E96"/>
    <w:rsid w:val="00153ED2"/>
    <w:rsid w:val="00153FC7"/>
    <w:rsid w:val="00153FCA"/>
    <w:rsid w:val="0015406B"/>
    <w:rsid w:val="001540D4"/>
    <w:rsid w:val="00154120"/>
    <w:rsid w:val="001541EC"/>
    <w:rsid w:val="001542CF"/>
    <w:rsid w:val="0015431A"/>
    <w:rsid w:val="0015432A"/>
    <w:rsid w:val="00154349"/>
    <w:rsid w:val="001544E4"/>
    <w:rsid w:val="001544FA"/>
    <w:rsid w:val="0015465B"/>
    <w:rsid w:val="001546A2"/>
    <w:rsid w:val="001546D0"/>
    <w:rsid w:val="0015473C"/>
    <w:rsid w:val="00154753"/>
    <w:rsid w:val="00154790"/>
    <w:rsid w:val="001547DD"/>
    <w:rsid w:val="001548DB"/>
    <w:rsid w:val="0015491D"/>
    <w:rsid w:val="00154AEA"/>
    <w:rsid w:val="00154CCE"/>
    <w:rsid w:val="00154E85"/>
    <w:rsid w:val="00154EBD"/>
    <w:rsid w:val="00154F3B"/>
    <w:rsid w:val="00154F41"/>
    <w:rsid w:val="00154F77"/>
    <w:rsid w:val="0015506B"/>
    <w:rsid w:val="0015508C"/>
    <w:rsid w:val="0015512A"/>
    <w:rsid w:val="001551C3"/>
    <w:rsid w:val="00155213"/>
    <w:rsid w:val="0015522B"/>
    <w:rsid w:val="00155294"/>
    <w:rsid w:val="00155314"/>
    <w:rsid w:val="001555B1"/>
    <w:rsid w:val="001555E5"/>
    <w:rsid w:val="0015566D"/>
    <w:rsid w:val="00155756"/>
    <w:rsid w:val="00155995"/>
    <w:rsid w:val="001559A7"/>
    <w:rsid w:val="001559D1"/>
    <w:rsid w:val="00155A0E"/>
    <w:rsid w:val="00155A82"/>
    <w:rsid w:val="00155C09"/>
    <w:rsid w:val="00155C38"/>
    <w:rsid w:val="00155C3F"/>
    <w:rsid w:val="00155C95"/>
    <w:rsid w:val="00155DA7"/>
    <w:rsid w:val="00155DBB"/>
    <w:rsid w:val="00155DCC"/>
    <w:rsid w:val="00155E6B"/>
    <w:rsid w:val="00155EFC"/>
    <w:rsid w:val="00155FAA"/>
    <w:rsid w:val="0015603D"/>
    <w:rsid w:val="00156294"/>
    <w:rsid w:val="001562AF"/>
    <w:rsid w:val="001562EC"/>
    <w:rsid w:val="001562EF"/>
    <w:rsid w:val="00156413"/>
    <w:rsid w:val="001565FA"/>
    <w:rsid w:val="001565FD"/>
    <w:rsid w:val="00156624"/>
    <w:rsid w:val="00156722"/>
    <w:rsid w:val="00156726"/>
    <w:rsid w:val="00156786"/>
    <w:rsid w:val="0015683D"/>
    <w:rsid w:val="0015692B"/>
    <w:rsid w:val="00156948"/>
    <w:rsid w:val="00156953"/>
    <w:rsid w:val="00156985"/>
    <w:rsid w:val="00156A26"/>
    <w:rsid w:val="00156B71"/>
    <w:rsid w:val="00156D4C"/>
    <w:rsid w:val="00156EBC"/>
    <w:rsid w:val="00156F1A"/>
    <w:rsid w:val="00156F2F"/>
    <w:rsid w:val="00157078"/>
    <w:rsid w:val="0015717F"/>
    <w:rsid w:val="001571ED"/>
    <w:rsid w:val="00157233"/>
    <w:rsid w:val="001572A4"/>
    <w:rsid w:val="0015732E"/>
    <w:rsid w:val="00157342"/>
    <w:rsid w:val="00157359"/>
    <w:rsid w:val="001573C7"/>
    <w:rsid w:val="001573D8"/>
    <w:rsid w:val="00157558"/>
    <w:rsid w:val="0015763A"/>
    <w:rsid w:val="001576A3"/>
    <w:rsid w:val="0015772F"/>
    <w:rsid w:val="00157742"/>
    <w:rsid w:val="00157769"/>
    <w:rsid w:val="00157963"/>
    <w:rsid w:val="00157B87"/>
    <w:rsid w:val="00157BDE"/>
    <w:rsid w:val="00157BDF"/>
    <w:rsid w:val="00157C28"/>
    <w:rsid w:val="00157D01"/>
    <w:rsid w:val="00157D54"/>
    <w:rsid w:val="00157DCB"/>
    <w:rsid w:val="00157DF5"/>
    <w:rsid w:val="00157F01"/>
    <w:rsid w:val="00157F4C"/>
    <w:rsid w:val="00160037"/>
    <w:rsid w:val="001600B1"/>
    <w:rsid w:val="001601AD"/>
    <w:rsid w:val="001601F8"/>
    <w:rsid w:val="00160208"/>
    <w:rsid w:val="00160324"/>
    <w:rsid w:val="0016041F"/>
    <w:rsid w:val="001604BB"/>
    <w:rsid w:val="001604F4"/>
    <w:rsid w:val="00160564"/>
    <w:rsid w:val="00160778"/>
    <w:rsid w:val="001607D4"/>
    <w:rsid w:val="00160858"/>
    <w:rsid w:val="00160866"/>
    <w:rsid w:val="001608AB"/>
    <w:rsid w:val="001608B8"/>
    <w:rsid w:val="001608FE"/>
    <w:rsid w:val="0016094B"/>
    <w:rsid w:val="00160971"/>
    <w:rsid w:val="001609EF"/>
    <w:rsid w:val="00160A4F"/>
    <w:rsid w:val="00160A59"/>
    <w:rsid w:val="00160A71"/>
    <w:rsid w:val="00160A79"/>
    <w:rsid w:val="00160BE8"/>
    <w:rsid w:val="00160C69"/>
    <w:rsid w:val="00160ED1"/>
    <w:rsid w:val="00160F7F"/>
    <w:rsid w:val="00161041"/>
    <w:rsid w:val="00161090"/>
    <w:rsid w:val="0016126C"/>
    <w:rsid w:val="001612AD"/>
    <w:rsid w:val="00161344"/>
    <w:rsid w:val="00161348"/>
    <w:rsid w:val="001613F1"/>
    <w:rsid w:val="001613F8"/>
    <w:rsid w:val="0016141B"/>
    <w:rsid w:val="001614F4"/>
    <w:rsid w:val="0016150C"/>
    <w:rsid w:val="001616C6"/>
    <w:rsid w:val="001616CA"/>
    <w:rsid w:val="001617B2"/>
    <w:rsid w:val="001617CE"/>
    <w:rsid w:val="0016180D"/>
    <w:rsid w:val="00161871"/>
    <w:rsid w:val="001618D4"/>
    <w:rsid w:val="0016198E"/>
    <w:rsid w:val="00161A13"/>
    <w:rsid w:val="00161A7E"/>
    <w:rsid w:val="00161AAA"/>
    <w:rsid w:val="00161B05"/>
    <w:rsid w:val="00161CAA"/>
    <w:rsid w:val="00161CCB"/>
    <w:rsid w:val="00161D56"/>
    <w:rsid w:val="00161E78"/>
    <w:rsid w:val="00161EB1"/>
    <w:rsid w:val="00162014"/>
    <w:rsid w:val="00162035"/>
    <w:rsid w:val="00162167"/>
    <w:rsid w:val="00162169"/>
    <w:rsid w:val="001621EE"/>
    <w:rsid w:val="00162237"/>
    <w:rsid w:val="00162262"/>
    <w:rsid w:val="001622DB"/>
    <w:rsid w:val="0016232F"/>
    <w:rsid w:val="0016236E"/>
    <w:rsid w:val="001624AA"/>
    <w:rsid w:val="00162533"/>
    <w:rsid w:val="0016255A"/>
    <w:rsid w:val="001625A9"/>
    <w:rsid w:val="00162636"/>
    <w:rsid w:val="00162756"/>
    <w:rsid w:val="00162842"/>
    <w:rsid w:val="00162871"/>
    <w:rsid w:val="00162936"/>
    <w:rsid w:val="00162B82"/>
    <w:rsid w:val="00162BB4"/>
    <w:rsid w:val="00162BC4"/>
    <w:rsid w:val="00162C21"/>
    <w:rsid w:val="00162C35"/>
    <w:rsid w:val="00162C37"/>
    <w:rsid w:val="00162D06"/>
    <w:rsid w:val="00162D36"/>
    <w:rsid w:val="00162E4D"/>
    <w:rsid w:val="00162E5A"/>
    <w:rsid w:val="00162EA1"/>
    <w:rsid w:val="00162EE9"/>
    <w:rsid w:val="00162F2E"/>
    <w:rsid w:val="00162FF0"/>
    <w:rsid w:val="00163027"/>
    <w:rsid w:val="0016302A"/>
    <w:rsid w:val="001630D6"/>
    <w:rsid w:val="001630E1"/>
    <w:rsid w:val="001631FA"/>
    <w:rsid w:val="00163225"/>
    <w:rsid w:val="001633C0"/>
    <w:rsid w:val="00163492"/>
    <w:rsid w:val="001634BE"/>
    <w:rsid w:val="001634D5"/>
    <w:rsid w:val="001635CB"/>
    <w:rsid w:val="001635DB"/>
    <w:rsid w:val="001637EA"/>
    <w:rsid w:val="00163845"/>
    <w:rsid w:val="001638AF"/>
    <w:rsid w:val="001639E2"/>
    <w:rsid w:val="001639F1"/>
    <w:rsid w:val="001639FB"/>
    <w:rsid w:val="00163AEC"/>
    <w:rsid w:val="00163D0F"/>
    <w:rsid w:val="00163D13"/>
    <w:rsid w:val="00163D85"/>
    <w:rsid w:val="00163ECD"/>
    <w:rsid w:val="00163F63"/>
    <w:rsid w:val="00164036"/>
    <w:rsid w:val="001640BB"/>
    <w:rsid w:val="001640D0"/>
    <w:rsid w:val="00164116"/>
    <w:rsid w:val="00164135"/>
    <w:rsid w:val="001641D1"/>
    <w:rsid w:val="001642FD"/>
    <w:rsid w:val="00164342"/>
    <w:rsid w:val="001643FA"/>
    <w:rsid w:val="00164484"/>
    <w:rsid w:val="00164488"/>
    <w:rsid w:val="001644C7"/>
    <w:rsid w:val="00164536"/>
    <w:rsid w:val="00164661"/>
    <w:rsid w:val="0016466E"/>
    <w:rsid w:val="001646AE"/>
    <w:rsid w:val="0016473A"/>
    <w:rsid w:val="001647C5"/>
    <w:rsid w:val="001647F6"/>
    <w:rsid w:val="001647FB"/>
    <w:rsid w:val="0016492C"/>
    <w:rsid w:val="001649E6"/>
    <w:rsid w:val="001649F1"/>
    <w:rsid w:val="00164A09"/>
    <w:rsid w:val="00164BF6"/>
    <w:rsid w:val="00164C3C"/>
    <w:rsid w:val="00164CC2"/>
    <w:rsid w:val="00164E93"/>
    <w:rsid w:val="00164F4F"/>
    <w:rsid w:val="00164FF8"/>
    <w:rsid w:val="00165003"/>
    <w:rsid w:val="00165056"/>
    <w:rsid w:val="001650B9"/>
    <w:rsid w:val="001650CB"/>
    <w:rsid w:val="001650F3"/>
    <w:rsid w:val="0016515A"/>
    <w:rsid w:val="0016539D"/>
    <w:rsid w:val="001653DE"/>
    <w:rsid w:val="0016541E"/>
    <w:rsid w:val="00165438"/>
    <w:rsid w:val="00165447"/>
    <w:rsid w:val="00165453"/>
    <w:rsid w:val="001654F3"/>
    <w:rsid w:val="001655E6"/>
    <w:rsid w:val="001655F1"/>
    <w:rsid w:val="00165729"/>
    <w:rsid w:val="001657A3"/>
    <w:rsid w:val="001657BE"/>
    <w:rsid w:val="001657E7"/>
    <w:rsid w:val="001657FD"/>
    <w:rsid w:val="001658A7"/>
    <w:rsid w:val="0016590F"/>
    <w:rsid w:val="0016599A"/>
    <w:rsid w:val="00165A17"/>
    <w:rsid w:val="00165A6F"/>
    <w:rsid w:val="00165C07"/>
    <w:rsid w:val="00165C1D"/>
    <w:rsid w:val="00165C77"/>
    <w:rsid w:val="00165C80"/>
    <w:rsid w:val="00165CC5"/>
    <w:rsid w:val="00165CDA"/>
    <w:rsid w:val="00165D15"/>
    <w:rsid w:val="00165D2A"/>
    <w:rsid w:val="00165D31"/>
    <w:rsid w:val="00165D60"/>
    <w:rsid w:val="00165E29"/>
    <w:rsid w:val="00165EF0"/>
    <w:rsid w:val="00165F2B"/>
    <w:rsid w:val="0016613F"/>
    <w:rsid w:val="00166184"/>
    <w:rsid w:val="00166186"/>
    <w:rsid w:val="00166190"/>
    <w:rsid w:val="00166268"/>
    <w:rsid w:val="0016634A"/>
    <w:rsid w:val="00166403"/>
    <w:rsid w:val="00166417"/>
    <w:rsid w:val="001665CC"/>
    <w:rsid w:val="00166616"/>
    <w:rsid w:val="00166639"/>
    <w:rsid w:val="00166675"/>
    <w:rsid w:val="00166712"/>
    <w:rsid w:val="0016678F"/>
    <w:rsid w:val="001669F1"/>
    <w:rsid w:val="00166A12"/>
    <w:rsid w:val="00166A54"/>
    <w:rsid w:val="00166B03"/>
    <w:rsid w:val="00166BB7"/>
    <w:rsid w:val="00166BC3"/>
    <w:rsid w:val="00166BCD"/>
    <w:rsid w:val="00166CFE"/>
    <w:rsid w:val="00166D9F"/>
    <w:rsid w:val="00166DA3"/>
    <w:rsid w:val="00166EE5"/>
    <w:rsid w:val="00166F16"/>
    <w:rsid w:val="00166F2D"/>
    <w:rsid w:val="00166F3B"/>
    <w:rsid w:val="00166F50"/>
    <w:rsid w:val="0016707C"/>
    <w:rsid w:val="001670F7"/>
    <w:rsid w:val="00167205"/>
    <w:rsid w:val="001672DE"/>
    <w:rsid w:val="0016740F"/>
    <w:rsid w:val="00167851"/>
    <w:rsid w:val="00167864"/>
    <w:rsid w:val="001678B8"/>
    <w:rsid w:val="00167908"/>
    <w:rsid w:val="001679CB"/>
    <w:rsid w:val="001679E5"/>
    <w:rsid w:val="00167A1F"/>
    <w:rsid w:val="00167ADD"/>
    <w:rsid w:val="00167B70"/>
    <w:rsid w:val="00167C17"/>
    <w:rsid w:val="00167CC5"/>
    <w:rsid w:val="00167D6D"/>
    <w:rsid w:val="00167D7A"/>
    <w:rsid w:val="00167D9D"/>
    <w:rsid w:val="00167E05"/>
    <w:rsid w:val="00167E14"/>
    <w:rsid w:val="00167E1A"/>
    <w:rsid w:val="00167E4B"/>
    <w:rsid w:val="00167FDB"/>
    <w:rsid w:val="0017012F"/>
    <w:rsid w:val="001701FD"/>
    <w:rsid w:val="001702A0"/>
    <w:rsid w:val="00170387"/>
    <w:rsid w:val="001703D2"/>
    <w:rsid w:val="00170445"/>
    <w:rsid w:val="0017044A"/>
    <w:rsid w:val="00170585"/>
    <w:rsid w:val="001705F4"/>
    <w:rsid w:val="0017066C"/>
    <w:rsid w:val="001706E5"/>
    <w:rsid w:val="001706FE"/>
    <w:rsid w:val="00170734"/>
    <w:rsid w:val="00170781"/>
    <w:rsid w:val="00170791"/>
    <w:rsid w:val="001707AC"/>
    <w:rsid w:val="0017080B"/>
    <w:rsid w:val="001709E2"/>
    <w:rsid w:val="001709F1"/>
    <w:rsid w:val="00170A1A"/>
    <w:rsid w:val="00170AB4"/>
    <w:rsid w:val="00170BFB"/>
    <w:rsid w:val="00170C50"/>
    <w:rsid w:val="00170CBC"/>
    <w:rsid w:val="00170D1B"/>
    <w:rsid w:val="00170DD9"/>
    <w:rsid w:val="00170DED"/>
    <w:rsid w:val="00170E79"/>
    <w:rsid w:val="00170EF5"/>
    <w:rsid w:val="00170F04"/>
    <w:rsid w:val="00170F0F"/>
    <w:rsid w:val="00170F16"/>
    <w:rsid w:val="00171081"/>
    <w:rsid w:val="00171141"/>
    <w:rsid w:val="001711FD"/>
    <w:rsid w:val="001712CD"/>
    <w:rsid w:val="001713EE"/>
    <w:rsid w:val="00171428"/>
    <w:rsid w:val="00171525"/>
    <w:rsid w:val="00171638"/>
    <w:rsid w:val="0017176D"/>
    <w:rsid w:val="001717B9"/>
    <w:rsid w:val="001717D3"/>
    <w:rsid w:val="0017181B"/>
    <w:rsid w:val="0017183A"/>
    <w:rsid w:val="001719BA"/>
    <w:rsid w:val="001719BB"/>
    <w:rsid w:val="001719C4"/>
    <w:rsid w:val="00171AD5"/>
    <w:rsid w:val="00171B92"/>
    <w:rsid w:val="00171C7D"/>
    <w:rsid w:val="00171CE1"/>
    <w:rsid w:val="00171CEC"/>
    <w:rsid w:val="00171D6E"/>
    <w:rsid w:val="00171D94"/>
    <w:rsid w:val="00171E1B"/>
    <w:rsid w:val="00171E3F"/>
    <w:rsid w:val="00171FBF"/>
    <w:rsid w:val="00172138"/>
    <w:rsid w:val="00172242"/>
    <w:rsid w:val="0017237C"/>
    <w:rsid w:val="001723D3"/>
    <w:rsid w:val="00172459"/>
    <w:rsid w:val="00172499"/>
    <w:rsid w:val="00172518"/>
    <w:rsid w:val="0017253C"/>
    <w:rsid w:val="001727AB"/>
    <w:rsid w:val="001727EF"/>
    <w:rsid w:val="00172830"/>
    <w:rsid w:val="00172981"/>
    <w:rsid w:val="00172997"/>
    <w:rsid w:val="00172A44"/>
    <w:rsid w:val="00172B34"/>
    <w:rsid w:val="00172D98"/>
    <w:rsid w:val="00172DAB"/>
    <w:rsid w:val="00172DCD"/>
    <w:rsid w:val="00172E4C"/>
    <w:rsid w:val="00172FB4"/>
    <w:rsid w:val="0017307A"/>
    <w:rsid w:val="0017309F"/>
    <w:rsid w:val="00173157"/>
    <w:rsid w:val="00173186"/>
    <w:rsid w:val="00173244"/>
    <w:rsid w:val="001733A8"/>
    <w:rsid w:val="00173435"/>
    <w:rsid w:val="00173564"/>
    <w:rsid w:val="001735E0"/>
    <w:rsid w:val="00173646"/>
    <w:rsid w:val="001736DE"/>
    <w:rsid w:val="001736FB"/>
    <w:rsid w:val="001737BF"/>
    <w:rsid w:val="001737F9"/>
    <w:rsid w:val="00173858"/>
    <w:rsid w:val="00173862"/>
    <w:rsid w:val="0017386C"/>
    <w:rsid w:val="0017388A"/>
    <w:rsid w:val="001738A3"/>
    <w:rsid w:val="001738DF"/>
    <w:rsid w:val="001739A6"/>
    <w:rsid w:val="001739D4"/>
    <w:rsid w:val="00173A70"/>
    <w:rsid w:val="00173AB6"/>
    <w:rsid w:val="00173ACE"/>
    <w:rsid w:val="00173B54"/>
    <w:rsid w:val="00173D31"/>
    <w:rsid w:val="00173D59"/>
    <w:rsid w:val="00173E97"/>
    <w:rsid w:val="00173FB3"/>
    <w:rsid w:val="001740A4"/>
    <w:rsid w:val="00174158"/>
    <w:rsid w:val="0017421A"/>
    <w:rsid w:val="00174390"/>
    <w:rsid w:val="0017460A"/>
    <w:rsid w:val="0017461B"/>
    <w:rsid w:val="00174651"/>
    <w:rsid w:val="0017465C"/>
    <w:rsid w:val="001746D7"/>
    <w:rsid w:val="0017478A"/>
    <w:rsid w:val="00174802"/>
    <w:rsid w:val="0017490A"/>
    <w:rsid w:val="00174977"/>
    <w:rsid w:val="001749BB"/>
    <w:rsid w:val="00174A1A"/>
    <w:rsid w:val="00174AF0"/>
    <w:rsid w:val="00174B12"/>
    <w:rsid w:val="00174D19"/>
    <w:rsid w:val="00174D24"/>
    <w:rsid w:val="00174D9F"/>
    <w:rsid w:val="00174DC7"/>
    <w:rsid w:val="00174DED"/>
    <w:rsid w:val="00174E73"/>
    <w:rsid w:val="00174FE3"/>
    <w:rsid w:val="001750F2"/>
    <w:rsid w:val="00175117"/>
    <w:rsid w:val="00175178"/>
    <w:rsid w:val="001751F2"/>
    <w:rsid w:val="0017523C"/>
    <w:rsid w:val="001752B7"/>
    <w:rsid w:val="00175364"/>
    <w:rsid w:val="001754B2"/>
    <w:rsid w:val="001754EA"/>
    <w:rsid w:val="0017556E"/>
    <w:rsid w:val="001755A6"/>
    <w:rsid w:val="00175630"/>
    <w:rsid w:val="0017563D"/>
    <w:rsid w:val="00175725"/>
    <w:rsid w:val="00175748"/>
    <w:rsid w:val="00175778"/>
    <w:rsid w:val="0017577D"/>
    <w:rsid w:val="001758BC"/>
    <w:rsid w:val="001758D2"/>
    <w:rsid w:val="001758DC"/>
    <w:rsid w:val="001759C8"/>
    <w:rsid w:val="00175A41"/>
    <w:rsid w:val="00175A58"/>
    <w:rsid w:val="00175B14"/>
    <w:rsid w:val="00175D21"/>
    <w:rsid w:val="00175D5F"/>
    <w:rsid w:val="00175DB8"/>
    <w:rsid w:val="00175E42"/>
    <w:rsid w:val="00175E6E"/>
    <w:rsid w:val="00175E77"/>
    <w:rsid w:val="00175EA1"/>
    <w:rsid w:val="00175F27"/>
    <w:rsid w:val="00175FDA"/>
    <w:rsid w:val="0017607A"/>
    <w:rsid w:val="001760BA"/>
    <w:rsid w:val="0017619A"/>
    <w:rsid w:val="00176214"/>
    <w:rsid w:val="00176288"/>
    <w:rsid w:val="0017629E"/>
    <w:rsid w:val="00176419"/>
    <w:rsid w:val="00176624"/>
    <w:rsid w:val="00176673"/>
    <w:rsid w:val="001767CE"/>
    <w:rsid w:val="0017681A"/>
    <w:rsid w:val="0017684D"/>
    <w:rsid w:val="0017688A"/>
    <w:rsid w:val="001768ED"/>
    <w:rsid w:val="00176908"/>
    <w:rsid w:val="00176977"/>
    <w:rsid w:val="001769D8"/>
    <w:rsid w:val="001769DD"/>
    <w:rsid w:val="00176A4D"/>
    <w:rsid w:val="00176C70"/>
    <w:rsid w:val="00176CF4"/>
    <w:rsid w:val="00176DC0"/>
    <w:rsid w:val="00176DE8"/>
    <w:rsid w:val="00176E32"/>
    <w:rsid w:val="00176EFE"/>
    <w:rsid w:val="00176F24"/>
    <w:rsid w:val="00176F28"/>
    <w:rsid w:val="00176FC5"/>
    <w:rsid w:val="00176FE5"/>
    <w:rsid w:val="00177028"/>
    <w:rsid w:val="0017702E"/>
    <w:rsid w:val="0017704E"/>
    <w:rsid w:val="001770A9"/>
    <w:rsid w:val="001771C6"/>
    <w:rsid w:val="00177276"/>
    <w:rsid w:val="001772F6"/>
    <w:rsid w:val="00177314"/>
    <w:rsid w:val="001773A2"/>
    <w:rsid w:val="001774A2"/>
    <w:rsid w:val="00177619"/>
    <w:rsid w:val="00177702"/>
    <w:rsid w:val="0017778B"/>
    <w:rsid w:val="001777AD"/>
    <w:rsid w:val="0017784D"/>
    <w:rsid w:val="001778E8"/>
    <w:rsid w:val="0017793E"/>
    <w:rsid w:val="00177A7A"/>
    <w:rsid w:val="00177A83"/>
    <w:rsid w:val="00177AFF"/>
    <w:rsid w:val="00177B21"/>
    <w:rsid w:val="00177B35"/>
    <w:rsid w:val="00177B3D"/>
    <w:rsid w:val="00177BBA"/>
    <w:rsid w:val="00177BF1"/>
    <w:rsid w:val="00177C40"/>
    <w:rsid w:val="00177D42"/>
    <w:rsid w:val="00177E70"/>
    <w:rsid w:val="00177E8E"/>
    <w:rsid w:val="00177F5E"/>
    <w:rsid w:val="00177F8D"/>
    <w:rsid w:val="0018008E"/>
    <w:rsid w:val="00180157"/>
    <w:rsid w:val="001801BE"/>
    <w:rsid w:val="00180361"/>
    <w:rsid w:val="0018036E"/>
    <w:rsid w:val="001803A8"/>
    <w:rsid w:val="0018042F"/>
    <w:rsid w:val="00180580"/>
    <w:rsid w:val="0018061B"/>
    <w:rsid w:val="001806BB"/>
    <w:rsid w:val="00180852"/>
    <w:rsid w:val="001809AC"/>
    <w:rsid w:val="001809F4"/>
    <w:rsid w:val="00180A1F"/>
    <w:rsid w:val="00180ADB"/>
    <w:rsid w:val="00180B6F"/>
    <w:rsid w:val="00180B78"/>
    <w:rsid w:val="00180BC6"/>
    <w:rsid w:val="00180BE2"/>
    <w:rsid w:val="00180C08"/>
    <w:rsid w:val="00180C9C"/>
    <w:rsid w:val="00180CAE"/>
    <w:rsid w:val="00180D28"/>
    <w:rsid w:val="00180E23"/>
    <w:rsid w:val="00180F81"/>
    <w:rsid w:val="00181055"/>
    <w:rsid w:val="00181065"/>
    <w:rsid w:val="001810B9"/>
    <w:rsid w:val="001810D2"/>
    <w:rsid w:val="001810DD"/>
    <w:rsid w:val="0018116F"/>
    <w:rsid w:val="0018128E"/>
    <w:rsid w:val="00181301"/>
    <w:rsid w:val="00181338"/>
    <w:rsid w:val="00181375"/>
    <w:rsid w:val="0018137A"/>
    <w:rsid w:val="00181413"/>
    <w:rsid w:val="00181494"/>
    <w:rsid w:val="001814A9"/>
    <w:rsid w:val="001815BD"/>
    <w:rsid w:val="00181602"/>
    <w:rsid w:val="001816D1"/>
    <w:rsid w:val="0018178A"/>
    <w:rsid w:val="00181863"/>
    <w:rsid w:val="00181919"/>
    <w:rsid w:val="001819D9"/>
    <w:rsid w:val="00181A10"/>
    <w:rsid w:val="00181C2A"/>
    <w:rsid w:val="00181D04"/>
    <w:rsid w:val="00181D23"/>
    <w:rsid w:val="00181DDA"/>
    <w:rsid w:val="00181DEF"/>
    <w:rsid w:val="00181E28"/>
    <w:rsid w:val="00181E7A"/>
    <w:rsid w:val="00181F2A"/>
    <w:rsid w:val="00181FED"/>
    <w:rsid w:val="00181FFA"/>
    <w:rsid w:val="0018202E"/>
    <w:rsid w:val="00182148"/>
    <w:rsid w:val="0018229E"/>
    <w:rsid w:val="001822E2"/>
    <w:rsid w:val="0018238E"/>
    <w:rsid w:val="001823B3"/>
    <w:rsid w:val="0018243B"/>
    <w:rsid w:val="001824A9"/>
    <w:rsid w:val="00182578"/>
    <w:rsid w:val="001825D5"/>
    <w:rsid w:val="00182690"/>
    <w:rsid w:val="00182763"/>
    <w:rsid w:val="001827FD"/>
    <w:rsid w:val="0018298C"/>
    <w:rsid w:val="00182AE1"/>
    <w:rsid w:val="00182B31"/>
    <w:rsid w:val="00182BA7"/>
    <w:rsid w:val="00182BF0"/>
    <w:rsid w:val="00182BF5"/>
    <w:rsid w:val="00182C09"/>
    <w:rsid w:val="00182CD2"/>
    <w:rsid w:val="00182D19"/>
    <w:rsid w:val="00182D21"/>
    <w:rsid w:val="00182DD0"/>
    <w:rsid w:val="00182EDD"/>
    <w:rsid w:val="00182EEE"/>
    <w:rsid w:val="00182EF0"/>
    <w:rsid w:val="00182F46"/>
    <w:rsid w:val="00182F63"/>
    <w:rsid w:val="00182F6E"/>
    <w:rsid w:val="00183007"/>
    <w:rsid w:val="0018309F"/>
    <w:rsid w:val="001831E7"/>
    <w:rsid w:val="00183217"/>
    <w:rsid w:val="00183299"/>
    <w:rsid w:val="001832C5"/>
    <w:rsid w:val="001833DC"/>
    <w:rsid w:val="00183404"/>
    <w:rsid w:val="001834C9"/>
    <w:rsid w:val="00183515"/>
    <w:rsid w:val="00183554"/>
    <w:rsid w:val="00183590"/>
    <w:rsid w:val="001835E7"/>
    <w:rsid w:val="0018367D"/>
    <w:rsid w:val="001836CC"/>
    <w:rsid w:val="001836ED"/>
    <w:rsid w:val="00183708"/>
    <w:rsid w:val="0018378A"/>
    <w:rsid w:val="0018396C"/>
    <w:rsid w:val="00183972"/>
    <w:rsid w:val="001839D0"/>
    <w:rsid w:val="00183A07"/>
    <w:rsid w:val="00183A89"/>
    <w:rsid w:val="00183AB8"/>
    <w:rsid w:val="00183B12"/>
    <w:rsid w:val="00183BA0"/>
    <w:rsid w:val="00183D9C"/>
    <w:rsid w:val="00183E4D"/>
    <w:rsid w:val="00183E94"/>
    <w:rsid w:val="00183F3C"/>
    <w:rsid w:val="00183F8E"/>
    <w:rsid w:val="00184063"/>
    <w:rsid w:val="00184137"/>
    <w:rsid w:val="0018419B"/>
    <w:rsid w:val="001842A1"/>
    <w:rsid w:val="00184335"/>
    <w:rsid w:val="00184491"/>
    <w:rsid w:val="0018449C"/>
    <w:rsid w:val="00184516"/>
    <w:rsid w:val="0018454F"/>
    <w:rsid w:val="001845D4"/>
    <w:rsid w:val="0018460B"/>
    <w:rsid w:val="001846F1"/>
    <w:rsid w:val="001846F5"/>
    <w:rsid w:val="00184714"/>
    <w:rsid w:val="0018473F"/>
    <w:rsid w:val="00184790"/>
    <w:rsid w:val="00184803"/>
    <w:rsid w:val="0018482C"/>
    <w:rsid w:val="0018486A"/>
    <w:rsid w:val="00184885"/>
    <w:rsid w:val="0018489E"/>
    <w:rsid w:val="001848D4"/>
    <w:rsid w:val="00184918"/>
    <w:rsid w:val="001849F1"/>
    <w:rsid w:val="00184C11"/>
    <w:rsid w:val="00184C49"/>
    <w:rsid w:val="00184CDE"/>
    <w:rsid w:val="00184D3A"/>
    <w:rsid w:val="00184D52"/>
    <w:rsid w:val="00184D63"/>
    <w:rsid w:val="00184D8B"/>
    <w:rsid w:val="00184DDE"/>
    <w:rsid w:val="00184F9B"/>
    <w:rsid w:val="00184FDD"/>
    <w:rsid w:val="001850A4"/>
    <w:rsid w:val="001852F2"/>
    <w:rsid w:val="00185324"/>
    <w:rsid w:val="001853E6"/>
    <w:rsid w:val="001853F8"/>
    <w:rsid w:val="00185444"/>
    <w:rsid w:val="001854D3"/>
    <w:rsid w:val="001854DD"/>
    <w:rsid w:val="00185500"/>
    <w:rsid w:val="00185505"/>
    <w:rsid w:val="00185521"/>
    <w:rsid w:val="0018553A"/>
    <w:rsid w:val="00185563"/>
    <w:rsid w:val="00185591"/>
    <w:rsid w:val="001855E2"/>
    <w:rsid w:val="00185651"/>
    <w:rsid w:val="00185748"/>
    <w:rsid w:val="001857FE"/>
    <w:rsid w:val="00185843"/>
    <w:rsid w:val="0018597F"/>
    <w:rsid w:val="001859AA"/>
    <w:rsid w:val="00185B38"/>
    <w:rsid w:val="00185C38"/>
    <w:rsid w:val="00185CCE"/>
    <w:rsid w:val="00185D2B"/>
    <w:rsid w:val="00185D36"/>
    <w:rsid w:val="00185D79"/>
    <w:rsid w:val="00185DD7"/>
    <w:rsid w:val="00185E56"/>
    <w:rsid w:val="00185FB0"/>
    <w:rsid w:val="00186063"/>
    <w:rsid w:val="00186067"/>
    <w:rsid w:val="00186114"/>
    <w:rsid w:val="0018639F"/>
    <w:rsid w:val="001863A8"/>
    <w:rsid w:val="001863AD"/>
    <w:rsid w:val="0018653B"/>
    <w:rsid w:val="00186576"/>
    <w:rsid w:val="001865B3"/>
    <w:rsid w:val="0018666C"/>
    <w:rsid w:val="0018669C"/>
    <w:rsid w:val="001866CC"/>
    <w:rsid w:val="0018675B"/>
    <w:rsid w:val="001869BC"/>
    <w:rsid w:val="001869BF"/>
    <w:rsid w:val="001869FA"/>
    <w:rsid w:val="00186B28"/>
    <w:rsid w:val="00186B74"/>
    <w:rsid w:val="00186BF3"/>
    <w:rsid w:val="00186C70"/>
    <w:rsid w:val="00186C95"/>
    <w:rsid w:val="00186DCA"/>
    <w:rsid w:val="00186DF6"/>
    <w:rsid w:val="00186E8F"/>
    <w:rsid w:val="00186F71"/>
    <w:rsid w:val="00186FA2"/>
    <w:rsid w:val="00186FED"/>
    <w:rsid w:val="0018702E"/>
    <w:rsid w:val="001870CE"/>
    <w:rsid w:val="001871A9"/>
    <w:rsid w:val="001873F0"/>
    <w:rsid w:val="00187419"/>
    <w:rsid w:val="00187430"/>
    <w:rsid w:val="00187512"/>
    <w:rsid w:val="001875B5"/>
    <w:rsid w:val="001875DC"/>
    <w:rsid w:val="001876A6"/>
    <w:rsid w:val="00187795"/>
    <w:rsid w:val="001877C2"/>
    <w:rsid w:val="00187815"/>
    <w:rsid w:val="00187867"/>
    <w:rsid w:val="00187889"/>
    <w:rsid w:val="00187903"/>
    <w:rsid w:val="001879D4"/>
    <w:rsid w:val="00187A29"/>
    <w:rsid w:val="00187AB4"/>
    <w:rsid w:val="00187D49"/>
    <w:rsid w:val="00187E33"/>
    <w:rsid w:val="00187E54"/>
    <w:rsid w:val="00187EF2"/>
    <w:rsid w:val="00187F05"/>
    <w:rsid w:val="00187FE5"/>
    <w:rsid w:val="00190100"/>
    <w:rsid w:val="00190136"/>
    <w:rsid w:val="00190278"/>
    <w:rsid w:val="001902A3"/>
    <w:rsid w:val="001902F1"/>
    <w:rsid w:val="00190315"/>
    <w:rsid w:val="00190394"/>
    <w:rsid w:val="00190437"/>
    <w:rsid w:val="001905AD"/>
    <w:rsid w:val="00190622"/>
    <w:rsid w:val="0019064C"/>
    <w:rsid w:val="00190660"/>
    <w:rsid w:val="001906A3"/>
    <w:rsid w:val="001906FE"/>
    <w:rsid w:val="00190708"/>
    <w:rsid w:val="00190716"/>
    <w:rsid w:val="001909F5"/>
    <w:rsid w:val="001909F9"/>
    <w:rsid w:val="00190A13"/>
    <w:rsid w:val="00190AA0"/>
    <w:rsid w:val="00190CD8"/>
    <w:rsid w:val="00190D10"/>
    <w:rsid w:val="00190E9F"/>
    <w:rsid w:val="00190F62"/>
    <w:rsid w:val="00190F94"/>
    <w:rsid w:val="00190FD5"/>
    <w:rsid w:val="00191154"/>
    <w:rsid w:val="001911B5"/>
    <w:rsid w:val="00191248"/>
    <w:rsid w:val="001913AF"/>
    <w:rsid w:val="00191415"/>
    <w:rsid w:val="00191590"/>
    <w:rsid w:val="001915A2"/>
    <w:rsid w:val="0019167D"/>
    <w:rsid w:val="001916B2"/>
    <w:rsid w:val="00191759"/>
    <w:rsid w:val="00191775"/>
    <w:rsid w:val="0019178B"/>
    <w:rsid w:val="0019180B"/>
    <w:rsid w:val="001918AE"/>
    <w:rsid w:val="00191979"/>
    <w:rsid w:val="001919B9"/>
    <w:rsid w:val="001919BB"/>
    <w:rsid w:val="001919DF"/>
    <w:rsid w:val="00191A6E"/>
    <w:rsid w:val="00191A85"/>
    <w:rsid w:val="00191B8B"/>
    <w:rsid w:val="00191BA4"/>
    <w:rsid w:val="00191BF5"/>
    <w:rsid w:val="00191C15"/>
    <w:rsid w:val="00191C44"/>
    <w:rsid w:val="00191C82"/>
    <w:rsid w:val="00191CC1"/>
    <w:rsid w:val="00191D45"/>
    <w:rsid w:val="00191E48"/>
    <w:rsid w:val="00191E88"/>
    <w:rsid w:val="00191F4B"/>
    <w:rsid w:val="00192161"/>
    <w:rsid w:val="0019222F"/>
    <w:rsid w:val="0019236A"/>
    <w:rsid w:val="0019250D"/>
    <w:rsid w:val="001925E3"/>
    <w:rsid w:val="00192628"/>
    <w:rsid w:val="0019266D"/>
    <w:rsid w:val="0019267C"/>
    <w:rsid w:val="001926DC"/>
    <w:rsid w:val="001926E0"/>
    <w:rsid w:val="00192750"/>
    <w:rsid w:val="00192771"/>
    <w:rsid w:val="001927D7"/>
    <w:rsid w:val="00192913"/>
    <w:rsid w:val="00192A78"/>
    <w:rsid w:val="00192AFE"/>
    <w:rsid w:val="00192B05"/>
    <w:rsid w:val="00192B3A"/>
    <w:rsid w:val="00192BEA"/>
    <w:rsid w:val="00192C03"/>
    <w:rsid w:val="00192D1F"/>
    <w:rsid w:val="00192E58"/>
    <w:rsid w:val="00192E5B"/>
    <w:rsid w:val="00192E97"/>
    <w:rsid w:val="00192EB7"/>
    <w:rsid w:val="00192FF0"/>
    <w:rsid w:val="0019308D"/>
    <w:rsid w:val="001930B9"/>
    <w:rsid w:val="001930D2"/>
    <w:rsid w:val="001930EB"/>
    <w:rsid w:val="001930F3"/>
    <w:rsid w:val="001930FA"/>
    <w:rsid w:val="0019311E"/>
    <w:rsid w:val="0019319F"/>
    <w:rsid w:val="001931F7"/>
    <w:rsid w:val="0019326D"/>
    <w:rsid w:val="001932E4"/>
    <w:rsid w:val="001933AE"/>
    <w:rsid w:val="0019342B"/>
    <w:rsid w:val="0019345B"/>
    <w:rsid w:val="0019352F"/>
    <w:rsid w:val="00193604"/>
    <w:rsid w:val="00193731"/>
    <w:rsid w:val="001937CC"/>
    <w:rsid w:val="001937E9"/>
    <w:rsid w:val="00193820"/>
    <w:rsid w:val="001939E7"/>
    <w:rsid w:val="001939EA"/>
    <w:rsid w:val="00193A3B"/>
    <w:rsid w:val="00193AF1"/>
    <w:rsid w:val="00193AFF"/>
    <w:rsid w:val="00193B19"/>
    <w:rsid w:val="00193B79"/>
    <w:rsid w:val="00193B82"/>
    <w:rsid w:val="00193BB6"/>
    <w:rsid w:val="00193BC0"/>
    <w:rsid w:val="00193C41"/>
    <w:rsid w:val="00193CE6"/>
    <w:rsid w:val="00193DD4"/>
    <w:rsid w:val="00193ED4"/>
    <w:rsid w:val="0019420E"/>
    <w:rsid w:val="0019421E"/>
    <w:rsid w:val="00194222"/>
    <w:rsid w:val="00194248"/>
    <w:rsid w:val="00194256"/>
    <w:rsid w:val="001943BB"/>
    <w:rsid w:val="001943C3"/>
    <w:rsid w:val="0019446C"/>
    <w:rsid w:val="001944B8"/>
    <w:rsid w:val="0019451C"/>
    <w:rsid w:val="00194542"/>
    <w:rsid w:val="00194637"/>
    <w:rsid w:val="001946B7"/>
    <w:rsid w:val="001948E8"/>
    <w:rsid w:val="00194AA2"/>
    <w:rsid w:val="00194B0A"/>
    <w:rsid w:val="00194B8B"/>
    <w:rsid w:val="00194BA4"/>
    <w:rsid w:val="00194CF1"/>
    <w:rsid w:val="00194D18"/>
    <w:rsid w:val="00194DB4"/>
    <w:rsid w:val="00194E11"/>
    <w:rsid w:val="00194F6D"/>
    <w:rsid w:val="00194F77"/>
    <w:rsid w:val="00194FB1"/>
    <w:rsid w:val="0019500E"/>
    <w:rsid w:val="0019500F"/>
    <w:rsid w:val="00195086"/>
    <w:rsid w:val="001950F5"/>
    <w:rsid w:val="00195116"/>
    <w:rsid w:val="0019516A"/>
    <w:rsid w:val="001951B6"/>
    <w:rsid w:val="0019524B"/>
    <w:rsid w:val="001952F6"/>
    <w:rsid w:val="0019533A"/>
    <w:rsid w:val="0019539C"/>
    <w:rsid w:val="00195488"/>
    <w:rsid w:val="001954E7"/>
    <w:rsid w:val="001954E9"/>
    <w:rsid w:val="001954F5"/>
    <w:rsid w:val="00195687"/>
    <w:rsid w:val="001956A2"/>
    <w:rsid w:val="001956EB"/>
    <w:rsid w:val="001957C3"/>
    <w:rsid w:val="001957E3"/>
    <w:rsid w:val="00195800"/>
    <w:rsid w:val="00195850"/>
    <w:rsid w:val="001958C8"/>
    <w:rsid w:val="00195940"/>
    <w:rsid w:val="00195B6E"/>
    <w:rsid w:val="00195BFA"/>
    <w:rsid w:val="00195C0E"/>
    <w:rsid w:val="00195C18"/>
    <w:rsid w:val="00195CD7"/>
    <w:rsid w:val="00195D43"/>
    <w:rsid w:val="00195D4F"/>
    <w:rsid w:val="00195F16"/>
    <w:rsid w:val="001960BD"/>
    <w:rsid w:val="001960EC"/>
    <w:rsid w:val="00196194"/>
    <w:rsid w:val="00196242"/>
    <w:rsid w:val="0019633C"/>
    <w:rsid w:val="0019636B"/>
    <w:rsid w:val="001963B8"/>
    <w:rsid w:val="00196450"/>
    <w:rsid w:val="001964D5"/>
    <w:rsid w:val="00196629"/>
    <w:rsid w:val="00196695"/>
    <w:rsid w:val="001966C2"/>
    <w:rsid w:val="001966CA"/>
    <w:rsid w:val="001966E0"/>
    <w:rsid w:val="0019679A"/>
    <w:rsid w:val="001967E2"/>
    <w:rsid w:val="00196889"/>
    <w:rsid w:val="001969A3"/>
    <w:rsid w:val="001969D2"/>
    <w:rsid w:val="00196A4B"/>
    <w:rsid w:val="00196B87"/>
    <w:rsid w:val="00196C0F"/>
    <w:rsid w:val="00196CDB"/>
    <w:rsid w:val="00196CE5"/>
    <w:rsid w:val="00196D7B"/>
    <w:rsid w:val="00196DA2"/>
    <w:rsid w:val="00196EAA"/>
    <w:rsid w:val="00196F27"/>
    <w:rsid w:val="00197098"/>
    <w:rsid w:val="001970D5"/>
    <w:rsid w:val="001973B3"/>
    <w:rsid w:val="001973DD"/>
    <w:rsid w:val="001974FB"/>
    <w:rsid w:val="0019764E"/>
    <w:rsid w:val="00197728"/>
    <w:rsid w:val="0019779C"/>
    <w:rsid w:val="00197855"/>
    <w:rsid w:val="0019792C"/>
    <w:rsid w:val="00197940"/>
    <w:rsid w:val="00197A84"/>
    <w:rsid w:val="00197B46"/>
    <w:rsid w:val="00197C65"/>
    <w:rsid w:val="00197C8E"/>
    <w:rsid w:val="00197D6D"/>
    <w:rsid w:val="00197E12"/>
    <w:rsid w:val="00197EB7"/>
    <w:rsid w:val="00197FB0"/>
    <w:rsid w:val="00197FF9"/>
    <w:rsid w:val="001A00B7"/>
    <w:rsid w:val="001A0153"/>
    <w:rsid w:val="001A0168"/>
    <w:rsid w:val="001A0187"/>
    <w:rsid w:val="001A01ED"/>
    <w:rsid w:val="001A01EE"/>
    <w:rsid w:val="001A01F0"/>
    <w:rsid w:val="001A02AC"/>
    <w:rsid w:val="001A032A"/>
    <w:rsid w:val="001A0342"/>
    <w:rsid w:val="001A047C"/>
    <w:rsid w:val="001A04C8"/>
    <w:rsid w:val="001A05DD"/>
    <w:rsid w:val="001A0639"/>
    <w:rsid w:val="001A067F"/>
    <w:rsid w:val="001A0895"/>
    <w:rsid w:val="001A0983"/>
    <w:rsid w:val="001A09E2"/>
    <w:rsid w:val="001A0A2E"/>
    <w:rsid w:val="001A0ADE"/>
    <w:rsid w:val="001A0BB1"/>
    <w:rsid w:val="001A0BD1"/>
    <w:rsid w:val="001A0CEF"/>
    <w:rsid w:val="001A0EAD"/>
    <w:rsid w:val="001A0EE1"/>
    <w:rsid w:val="001A0F60"/>
    <w:rsid w:val="001A0F87"/>
    <w:rsid w:val="001A0FCB"/>
    <w:rsid w:val="001A1014"/>
    <w:rsid w:val="001A1040"/>
    <w:rsid w:val="001A106A"/>
    <w:rsid w:val="001A1085"/>
    <w:rsid w:val="001A112F"/>
    <w:rsid w:val="001A12B7"/>
    <w:rsid w:val="001A13AB"/>
    <w:rsid w:val="001A140F"/>
    <w:rsid w:val="001A1415"/>
    <w:rsid w:val="001A14CF"/>
    <w:rsid w:val="001A155F"/>
    <w:rsid w:val="001A15C3"/>
    <w:rsid w:val="001A171B"/>
    <w:rsid w:val="001A1735"/>
    <w:rsid w:val="001A1759"/>
    <w:rsid w:val="001A1836"/>
    <w:rsid w:val="001A183D"/>
    <w:rsid w:val="001A18D5"/>
    <w:rsid w:val="001A191E"/>
    <w:rsid w:val="001A1932"/>
    <w:rsid w:val="001A199D"/>
    <w:rsid w:val="001A19CB"/>
    <w:rsid w:val="001A1A69"/>
    <w:rsid w:val="001A1A78"/>
    <w:rsid w:val="001A1A93"/>
    <w:rsid w:val="001A1AD7"/>
    <w:rsid w:val="001A1B06"/>
    <w:rsid w:val="001A1B79"/>
    <w:rsid w:val="001A1B8A"/>
    <w:rsid w:val="001A1C59"/>
    <w:rsid w:val="001A1E55"/>
    <w:rsid w:val="001A1E58"/>
    <w:rsid w:val="001A1ED0"/>
    <w:rsid w:val="001A1FB6"/>
    <w:rsid w:val="001A2076"/>
    <w:rsid w:val="001A20CA"/>
    <w:rsid w:val="001A2119"/>
    <w:rsid w:val="001A2135"/>
    <w:rsid w:val="001A213F"/>
    <w:rsid w:val="001A21A7"/>
    <w:rsid w:val="001A225B"/>
    <w:rsid w:val="001A23A0"/>
    <w:rsid w:val="001A2474"/>
    <w:rsid w:val="001A2508"/>
    <w:rsid w:val="001A25D4"/>
    <w:rsid w:val="001A264E"/>
    <w:rsid w:val="001A2652"/>
    <w:rsid w:val="001A26CE"/>
    <w:rsid w:val="001A26E7"/>
    <w:rsid w:val="001A2701"/>
    <w:rsid w:val="001A279C"/>
    <w:rsid w:val="001A2814"/>
    <w:rsid w:val="001A2934"/>
    <w:rsid w:val="001A293D"/>
    <w:rsid w:val="001A2985"/>
    <w:rsid w:val="001A2989"/>
    <w:rsid w:val="001A29B8"/>
    <w:rsid w:val="001A29C6"/>
    <w:rsid w:val="001A29CA"/>
    <w:rsid w:val="001A2AB6"/>
    <w:rsid w:val="001A2BE2"/>
    <w:rsid w:val="001A2C02"/>
    <w:rsid w:val="001A2C08"/>
    <w:rsid w:val="001A2C17"/>
    <w:rsid w:val="001A2C89"/>
    <w:rsid w:val="001A2CEA"/>
    <w:rsid w:val="001A2DCD"/>
    <w:rsid w:val="001A2DFA"/>
    <w:rsid w:val="001A2E64"/>
    <w:rsid w:val="001A2F27"/>
    <w:rsid w:val="001A2F37"/>
    <w:rsid w:val="001A2F9F"/>
    <w:rsid w:val="001A300E"/>
    <w:rsid w:val="001A31D2"/>
    <w:rsid w:val="001A3298"/>
    <w:rsid w:val="001A32CF"/>
    <w:rsid w:val="001A337E"/>
    <w:rsid w:val="001A35B9"/>
    <w:rsid w:val="001A35D2"/>
    <w:rsid w:val="001A3661"/>
    <w:rsid w:val="001A384F"/>
    <w:rsid w:val="001A3A41"/>
    <w:rsid w:val="001A3AD5"/>
    <w:rsid w:val="001A3AE0"/>
    <w:rsid w:val="001A3BA3"/>
    <w:rsid w:val="001A3CFA"/>
    <w:rsid w:val="001A3D9A"/>
    <w:rsid w:val="001A3DAC"/>
    <w:rsid w:val="001A3E77"/>
    <w:rsid w:val="001A3EF8"/>
    <w:rsid w:val="001A3F77"/>
    <w:rsid w:val="001A4072"/>
    <w:rsid w:val="001A4322"/>
    <w:rsid w:val="001A436E"/>
    <w:rsid w:val="001A44B9"/>
    <w:rsid w:val="001A453D"/>
    <w:rsid w:val="001A4606"/>
    <w:rsid w:val="001A4793"/>
    <w:rsid w:val="001A47BB"/>
    <w:rsid w:val="001A4892"/>
    <w:rsid w:val="001A491F"/>
    <w:rsid w:val="001A4974"/>
    <w:rsid w:val="001A4976"/>
    <w:rsid w:val="001A4997"/>
    <w:rsid w:val="001A4A65"/>
    <w:rsid w:val="001A4A6F"/>
    <w:rsid w:val="001A4ABD"/>
    <w:rsid w:val="001A4B25"/>
    <w:rsid w:val="001A4B79"/>
    <w:rsid w:val="001A4B7E"/>
    <w:rsid w:val="001A4B8E"/>
    <w:rsid w:val="001A4BFD"/>
    <w:rsid w:val="001A4C0A"/>
    <w:rsid w:val="001A4C73"/>
    <w:rsid w:val="001A4CE7"/>
    <w:rsid w:val="001A4D31"/>
    <w:rsid w:val="001A4D38"/>
    <w:rsid w:val="001A4E00"/>
    <w:rsid w:val="001A4E47"/>
    <w:rsid w:val="001A4F17"/>
    <w:rsid w:val="001A4F50"/>
    <w:rsid w:val="001A4F87"/>
    <w:rsid w:val="001A50AA"/>
    <w:rsid w:val="001A5105"/>
    <w:rsid w:val="001A51A8"/>
    <w:rsid w:val="001A51CF"/>
    <w:rsid w:val="001A5425"/>
    <w:rsid w:val="001A54F9"/>
    <w:rsid w:val="001A558B"/>
    <w:rsid w:val="001A55B8"/>
    <w:rsid w:val="001A55C4"/>
    <w:rsid w:val="001A568F"/>
    <w:rsid w:val="001A574F"/>
    <w:rsid w:val="001A5884"/>
    <w:rsid w:val="001A5902"/>
    <w:rsid w:val="001A5977"/>
    <w:rsid w:val="001A5ADB"/>
    <w:rsid w:val="001A5BAD"/>
    <w:rsid w:val="001A5C5D"/>
    <w:rsid w:val="001A5C8D"/>
    <w:rsid w:val="001A5C92"/>
    <w:rsid w:val="001A5CEC"/>
    <w:rsid w:val="001A5D58"/>
    <w:rsid w:val="001A5E4D"/>
    <w:rsid w:val="001A5E9C"/>
    <w:rsid w:val="001A5F5C"/>
    <w:rsid w:val="001A5F8D"/>
    <w:rsid w:val="001A5FD4"/>
    <w:rsid w:val="001A605F"/>
    <w:rsid w:val="001A6194"/>
    <w:rsid w:val="001A61CB"/>
    <w:rsid w:val="001A63B4"/>
    <w:rsid w:val="001A63CD"/>
    <w:rsid w:val="001A64AC"/>
    <w:rsid w:val="001A64C3"/>
    <w:rsid w:val="001A64CB"/>
    <w:rsid w:val="001A657B"/>
    <w:rsid w:val="001A65B0"/>
    <w:rsid w:val="001A65CD"/>
    <w:rsid w:val="001A66F7"/>
    <w:rsid w:val="001A6704"/>
    <w:rsid w:val="001A6711"/>
    <w:rsid w:val="001A682C"/>
    <w:rsid w:val="001A6982"/>
    <w:rsid w:val="001A69EE"/>
    <w:rsid w:val="001A6A9B"/>
    <w:rsid w:val="001A6D0A"/>
    <w:rsid w:val="001A6D0F"/>
    <w:rsid w:val="001A6D25"/>
    <w:rsid w:val="001A6D91"/>
    <w:rsid w:val="001A6DA8"/>
    <w:rsid w:val="001A6DB0"/>
    <w:rsid w:val="001A6DB5"/>
    <w:rsid w:val="001A6DBA"/>
    <w:rsid w:val="001A6DEB"/>
    <w:rsid w:val="001A6E9E"/>
    <w:rsid w:val="001A6EE9"/>
    <w:rsid w:val="001A6EF8"/>
    <w:rsid w:val="001A6F09"/>
    <w:rsid w:val="001A6FCF"/>
    <w:rsid w:val="001A6FE8"/>
    <w:rsid w:val="001A7005"/>
    <w:rsid w:val="001A7029"/>
    <w:rsid w:val="001A7150"/>
    <w:rsid w:val="001A7268"/>
    <w:rsid w:val="001A7286"/>
    <w:rsid w:val="001A7287"/>
    <w:rsid w:val="001A7288"/>
    <w:rsid w:val="001A7291"/>
    <w:rsid w:val="001A730F"/>
    <w:rsid w:val="001A7467"/>
    <w:rsid w:val="001A74AD"/>
    <w:rsid w:val="001A7527"/>
    <w:rsid w:val="001A761B"/>
    <w:rsid w:val="001A76DB"/>
    <w:rsid w:val="001A7701"/>
    <w:rsid w:val="001A7729"/>
    <w:rsid w:val="001A77E9"/>
    <w:rsid w:val="001A77EA"/>
    <w:rsid w:val="001A7803"/>
    <w:rsid w:val="001A7866"/>
    <w:rsid w:val="001A797A"/>
    <w:rsid w:val="001A7986"/>
    <w:rsid w:val="001A7A8D"/>
    <w:rsid w:val="001A7AB3"/>
    <w:rsid w:val="001A7B0C"/>
    <w:rsid w:val="001A7B3C"/>
    <w:rsid w:val="001A7BEB"/>
    <w:rsid w:val="001A7C55"/>
    <w:rsid w:val="001A7CEE"/>
    <w:rsid w:val="001A7CF0"/>
    <w:rsid w:val="001A7DA7"/>
    <w:rsid w:val="001A7DEB"/>
    <w:rsid w:val="001B0033"/>
    <w:rsid w:val="001B00D9"/>
    <w:rsid w:val="001B02C3"/>
    <w:rsid w:val="001B0333"/>
    <w:rsid w:val="001B0393"/>
    <w:rsid w:val="001B03A3"/>
    <w:rsid w:val="001B0462"/>
    <w:rsid w:val="001B04B4"/>
    <w:rsid w:val="001B04CD"/>
    <w:rsid w:val="001B051D"/>
    <w:rsid w:val="001B0567"/>
    <w:rsid w:val="001B0568"/>
    <w:rsid w:val="001B063A"/>
    <w:rsid w:val="001B0667"/>
    <w:rsid w:val="001B06AB"/>
    <w:rsid w:val="001B07B5"/>
    <w:rsid w:val="001B07C8"/>
    <w:rsid w:val="001B07CE"/>
    <w:rsid w:val="001B08CA"/>
    <w:rsid w:val="001B08DD"/>
    <w:rsid w:val="001B08F2"/>
    <w:rsid w:val="001B090F"/>
    <w:rsid w:val="001B0994"/>
    <w:rsid w:val="001B0A12"/>
    <w:rsid w:val="001B0A86"/>
    <w:rsid w:val="001B0A92"/>
    <w:rsid w:val="001B0B72"/>
    <w:rsid w:val="001B0BB4"/>
    <w:rsid w:val="001B0C1C"/>
    <w:rsid w:val="001B0D1B"/>
    <w:rsid w:val="001B0D89"/>
    <w:rsid w:val="001B0D9C"/>
    <w:rsid w:val="001B0E32"/>
    <w:rsid w:val="001B0FE8"/>
    <w:rsid w:val="001B0FEB"/>
    <w:rsid w:val="001B1038"/>
    <w:rsid w:val="001B1115"/>
    <w:rsid w:val="001B113E"/>
    <w:rsid w:val="001B1153"/>
    <w:rsid w:val="001B1162"/>
    <w:rsid w:val="001B124C"/>
    <w:rsid w:val="001B1500"/>
    <w:rsid w:val="001B1508"/>
    <w:rsid w:val="001B1577"/>
    <w:rsid w:val="001B15E5"/>
    <w:rsid w:val="001B1724"/>
    <w:rsid w:val="001B17DE"/>
    <w:rsid w:val="001B1832"/>
    <w:rsid w:val="001B18D9"/>
    <w:rsid w:val="001B199C"/>
    <w:rsid w:val="001B19DD"/>
    <w:rsid w:val="001B1A2B"/>
    <w:rsid w:val="001B1A3D"/>
    <w:rsid w:val="001B1A5D"/>
    <w:rsid w:val="001B1AC5"/>
    <w:rsid w:val="001B1AC8"/>
    <w:rsid w:val="001B1B09"/>
    <w:rsid w:val="001B1B3C"/>
    <w:rsid w:val="001B1B80"/>
    <w:rsid w:val="001B1C03"/>
    <w:rsid w:val="001B1C15"/>
    <w:rsid w:val="001B1C3C"/>
    <w:rsid w:val="001B1C71"/>
    <w:rsid w:val="001B1CBB"/>
    <w:rsid w:val="001B1DC1"/>
    <w:rsid w:val="001B1DDA"/>
    <w:rsid w:val="001B1E18"/>
    <w:rsid w:val="001B1F14"/>
    <w:rsid w:val="001B2010"/>
    <w:rsid w:val="001B2044"/>
    <w:rsid w:val="001B2073"/>
    <w:rsid w:val="001B22A9"/>
    <w:rsid w:val="001B240A"/>
    <w:rsid w:val="001B24DC"/>
    <w:rsid w:val="001B2566"/>
    <w:rsid w:val="001B2589"/>
    <w:rsid w:val="001B27A1"/>
    <w:rsid w:val="001B2868"/>
    <w:rsid w:val="001B295B"/>
    <w:rsid w:val="001B2AA7"/>
    <w:rsid w:val="001B2B02"/>
    <w:rsid w:val="001B2BE8"/>
    <w:rsid w:val="001B2C58"/>
    <w:rsid w:val="001B2DA6"/>
    <w:rsid w:val="001B2ECF"/>
    <w:rsid w:val="001B2F0B"/>
    <w:rsid w:val="001B3068"/>
    <w:rsid w:val="001B307C"/>
    <w:rsid w:val="001B3130"/>
    <w:rsid w:val="001B3332"/>
    <w:rsid w:val="001B3356"/>
    <w:rsid w:val="001B3365"/>
    <w:rsid w:val="001B3417"/>
    <w:rsid w:val="001B34FF"/>
    <w:rsid w:val="001B3577"/>
    <w:rsid w:val="001B3597"/>
    <w:rsid w:val="001B35BE"/>
    <w:rsid w:val="001B365F"/>
    <w:rsid w:val="001B36A8"/>
    <w:rsid w:val="001B37A2"/>
    <w:rsid w:val="001B3811"/>
    <w:rsid w:val="001B3872"/>
    <w:rsid w:val="001B3875"/>
    <w:rsid w:val="001B38A1"/>
    <w:rsid w:val="001B3D98"/>
    <w:rsid w:val="001B3E60"/>
    <w:rsid w:val="001B3FC2"/>
    <w:rsid w:val="001B4123"/>
    <w:rsid w:val="001B4137"/>
    <w:rsid w:val="001B426C"/>
    <w:rsid w:val="001B42DD"/>
    <w:rsid w:val="001B42ED"/>
    <w:rsid w:val="001B430D"/>
    <w:rsid w:val="001B4368"/>
    <w:rsid w:val="001B4371"/>
    <w:rsid w:val="001B4379"/>
    <w:rsid w:val="001B4386"/>
    <w:rsid w:val="001B43C4"/>
    <w:rsid w:val="001B43F9"/>
    <w:rsid w:val="001B4424"/>
    <w:rsid w:val="001B44D1"/>
    <w:rsid w:val="001B461C"/>
    <w:rsid w:val="001B4661"/>
    <w:rsid w:val="001B4673"/>
    <w:rsid w:val="001B467F"/>
    <w:rsid w:val="001B46BF"/>
    <w:rsid w:val="001B4794"/>
    <w:rsid w:val="001B4818"/>
    <w:rsid w:val="001B48DC"/>
    <w:rsid w:val="001B492B"/>
    <w:rsid w:val="001B4A39"/>
    <w:rsid w:val="001B4A87"/>
    <w:rsid w:val="001B4AC9"/>
    <w:rsid w:val="001B4AF2"/>
    <w:rsid w:val="001B4B42"/>
    <w:rsid w:val="001B4B58"/>
    <w:rsid w:val="001B4B79"/>
    <w:rsid w:val="001B4BD2"/>
    <w:rsid w:val="001B4C02"/>
    <w:rsid w:val="001B4C0F"/>
    <w:rsid w:val="001B4C18"/>
    <w:rsid w:val="001B4C3E"/>
    <w:rsid w:val="001B4C76"/>
    <w:rsid w:val="001B4CBA"/>
    <w:rsid w:val="001B4CF9"/>
    <w:rsid w:val="001B4DC9"/>
    <w:rsid w:val="001B4E33"/>
    <w:rsid w:val="001B4E55"/>
    <w:rsid w:val="001B4E68"/>
    <w:rsid w:val="001B4E9F"/>
    <w:rsid w:val="001B4EBC"/>
    <w:rsid w:val="001B4EC2"/>
    <w:rsid w:val="001B4EE3"/>
    <w:rsid w:val="001B4F1D"/>
    <w:rsid w:val="001B5024"/>
    <w:rsid w:val="001B512F"/>
    <w:rsid w:val="001B5232"/>
    <w:rsid w:val="001B52CC"/>
    <w:rsid w:val="001B539B"/>
    <w:rsid w:val="001B53A5"/>
    <w:rsid w:val="001B53F1"/>
    <w:rsid w:val="001B5425"/>
    <w:rsid w:val="001B5477"/>
    <w:rsid w:val="001B54CA"/>
    <w:rsid w:val="001B5503"/>
    <w:rsid w:val="001B550A"/>
    <w:rsid w:val="001B5512"/>
    <w:rsid w:val="001B56EC"/>
    <w:rsid w:val="001B5811"/>
    <w:rsid w:val="001B5830"/>
    <w:rsid w:val="001B5848"/>
    <w:rsid w:val="001B589D"/>
    <w:rsid w:val="001B59EB"/>
    <w:rsid w:val="001B5C97"/>
    <w:rsid w:val="001B5CD4"/>
    <w:rsid w:val="001B5D10"/>
    <w:rsid w:val="001B5D2D"/>
    <w:rsid w:val="001B5D43"/>
    <w:rsid w:val="001B5D5A"/>
    <w:rsid w:val="001B5DAA"/>
    <w:rsid w:val="001B5E09"/>
    <w:rsid w:val="001B5F6D"/>
    <w:rsid w:val="001B600F"/>
    <w:rsid w:val="001B6151"/>
    <w:rsid w:val="001B615A"/>
    <w:rsid w:val="001B6187"/>
    <w:rsid w:val="001B61B7"/>
    <w:rsid w:val="001B61BD"/>
    <w:rsid w:val="001B61D1"/>
    <w:rsid w:val="001B622D"/>
    <w:rsid w:val="001B6272"/>
    <w:rsid w:val="001B6302"/>
    <w:rsid w:val="001B6355"/>
    <w:rsid w:val="001B6396"/>
    <w:rsid w:val="001B643B"/>
    <w:rsid w:val="001B652C"/>
    <w:rsid w:val="001B656A"/>
    <w:rsid w:val="001B669E"/>
    <w:rsid w:val="001B66DC"/>
    <w:rsid w:val="001B6773"/>
    <w:rsid w:val="001B67BC"/>
    <w:rsid w:val="001B6800"/>
    <w:rsid w:val="001B684A"/>
    <w:rsid w:val="001B686A"/>
    <w:rsid w:val="001B688D"/>
    <w:rsid w:val="001B68AF"/>
    <w:rsid w:val="001B69C4"/>
    <w:rsid w:val="001B6D12"/>
    <w:rsid w:val="001B6DB9"/>
    <w:rsid w:val="001B6E99"/>
    <w:rsid w:val="001B6FB3"/>
    <w:rsid w:val="001B6FE7"/>
    <w:rsid w:val="001B717D"/>
    <w:rsid w:val="001B7200"/>
    <w:rsid w:val="001B7205"/>
    <w:rsid w:val="001B727D"/>
    <w:rsid w:val="001B7350"/>
    <w:rsid w:val="001B73ED"/>
    <w:rsid w:val="001B760C"/>
    <w:rsid w:val="001B76AB"/>
    <w:rsid w:val="001B76D3"/>
    <w:rsid w:val="001B7859"/>
    <w:rsid w:val="001B797A"/>
    <w:rsid w:val="001B79D1"/>
    <w:rsid w:val="001B79FE"/>
    <w:rsid w:val="001B7A07"/>
    <w:rsid w:val="001B7A3F"/>
    <w:rsid w:val="001B7A4C"/>
    <w:rsid w:val="001B7AA5"/>
    <w:rsid w:val="001B7D5A"/>
    <w:rsid w:val="001B7D6E"/>
    <w:rsid w:val="001B7E27"/>
    <w:rsid w:val="001B7E2B"/>
    <w:rsid w:val="001B7E95"/>
    <w:rsid w:val="001B7F3F"/>
    <w:rsid w:val="001C0061"/>
    <w:rsid w:val="001C00C8"/>
    <w:rsid w:val="001C020D"/>
    <w:rsid w:val="001C032B"/>
    <w:rsid w:val="001C036E"/>
    <w:rsid w:val="001C03C4"/>
    <w:rsid w:val="001C040E"/>
    <w:rsid w:val="001C043E"/>
    <w:rsid w:val="001C04F2"/>
    <w:rsid w:val="001C0518"/>
    <w:rsid w:val="001C052D"/>
    <w:rsid w:val="001C0693"/>
    <w:rsid w:val="001C06E6"/>
    <w:rsid w:val="001C071F"/>
    <w:rsid w:val="001C07DE"/>
    <w:rsid w:val="001C0804"/>
    <w:rsid w:val="001C083D"/>
    <w:rsid w:val="001C0980"/>
    <w:rsid w:val="001C09BD"/>
    <w:rsid w:val="001C0A93"/>
    <w:rsid w:val="001C0AA3"/>
    <w:rsid w:val="001C0B90"/>
    <w:rsid w:val="001C0BE2"/>
    <w:rsid w:val="001C0C0E"/>
    <w:rsid w:val="001C0C5D"/>
    <w:rsid w:val="001C0CA8"/>
    <w:rsid w:val="001C0CA9"/>
    <w:rsid w:val="001C0CC7"/>
    <w:rsid w:val="001C0D60"/>
    <w:rsid w:val="001C0DF3"/>
    <w:rsid w:val="001C0E87"/>
    <w:rsid w:val="001C0E94"/>
    <w:rsid w:val="001C0EA4"/>
    <w:rsid w:val="001C0F8B"/>
    <w:rsid w:val="001C0FA5"/>
    <w:rsid w:val="001C0FB0"/>
    <w:rsid w:val="001C117D"/>
    <w:rsid w:val="001C1207"/>
    <w:rsid w:val="001C1248"/>
    <w:rsid w:val="001C128A"/>
    <w:rsid w:val="001C12B6"/>
    <w:rsid w:val="001C133C"/>
    <w:rsid w:val="001C1341"/>
    <w:rsid w:val="001C1361"/>
    <w:rsid w:val="001C1449"/>
    <w:rsid w:val="001C1493"/>
    <w:rsid w:val="001C15CF"/>
    <w:rsid w:val="001C17D8"/>
    <w:rsid w:val="001C1844"/>
    <w:rsid w:val="001C197B"/>
    <w:rsid w:val="001C19FC"/>
    <w:rsid w:val="001C1A14"/>
    <w:rsid w:val="001C1BC0"/>
    <w:rsid w:val="001C1BEA"/>
    <w:rsid w:val="001C1C3E"/>
    <w:rsid w:val="001C1C66"/>
    <w:rsid w:val="001C1DF8"/>
    <w:rsid w:val="001C1E40"/>
    <w:rsid w:val="001C1EF1"/>
    <w:rsid w:val="001C1F8D"/>
    <w:rsid w:val="001C202A"/>
    <w:rsid w:val="001C2098"/>
    <w:rsid w:val="001C20E9"/>
    <w:rsid w:val="001C2135"/>
    <w:rsid w:val="001C216F"/>
    <w:rsid w:val="001C21E7"/>
    <w:rsid w:val="001C2266"/>
    <w:rsid w:val="001C2292"/>
    <w:rsid w:val="001C22A9"/>
    <w:rsid w:val="001C22C6"/>
    <w:rsid w:val="001C254D"/>
    <w:rsid w:val="001C25F9"/>
    <w:rsid w:val="001C26C2"/>
    <w:rsid w:val="001C26D6"/>
    <w:rsid w:val="001C273A"/>
    <w:rsid w:val="001C2799"/>
    <w:rsid w:val="001C27F6"/>
    <w:rsid w:val="001C28D3"/>
    <w:rsid w:val="001C28D8"/>
    <w:rsid w:val="001C29B1"/>
    <w:rsid w:val="001C2A59"/>
    <w:rsid w:val="001C2AB1"/>
    <w:rsid w:val="001C2B5F"/>
    <w:rsid w:val="001C2C74"/>
    <w:rsid w:val="001C2CE1"/>
    <w:rsid w:val="001C2DFD"/>
    <w:rsid w:val="001C2E5C"/>
    <w:rsid w:val="001C2EB8"/>
    <w:rsid w:val="001C2EDD"/>
    <w:rsid w:val="001C2FB1"/>
    <w:rsid w:val="001C309A"/>
    <w:rsid w:val="001C30AE"/>
    <w:rsid w:val="001C30AF"/>
    <w:rsid w:val="001C30E8"/>
    <w:rsid w:val="001C30F6"/>
    <w:rsid w:val="001C318D"/>
    <w:rsid w:val="001C31B8"/>
    <w:rsid w:val="001C31FE"/>
    <w:rsid w:val="001C3244"/>
    <w:rsid w:val="001C3267"/>
    <w:rsid w:val="001C3300"/>
    <w:rsid w:val="001C3493"/>
    <w:rsid w:val="001C34C5"/>
    <w:rsid w:val="001C3542"/>
    <w:rsid w:val="001C35C9"/>
    <w:rsid w:val="001C3701"/>
    <w:rsid w:val="001C370D"/>
    <w:rsid w:val="001C38EC"/>
    <w:rsid w:val="001C397D"/>
    <w:rsid w:val="001C39AA"/>
    <w:rsid w:val="001C39C1"/>
    <w:rsid w:val="001C3A9A"/>
    <w:rsid w:val="001C3BDE"/>
    <w:rsid w:val="001C3CD0"/>
    <w:rsid w:val="001C3DEF"/>
    <w:rsid w:val="001C3F47"/>
    <w:rsid w:val="001C3F51"/>
    <w:rsid w:val="001C3F94"/>
    <w:rsid w:val="001C3FA4"/>
    <w:rsid w:val="001C4046"/>
    <w:rsid w:val="001C4051"/>
    <w:rsid w:val="001C407A"/>
    <w:rsid w:val="001C4105"/>
    <w:rsid w:val="001C41E4"/>
    <w:rsid w:val="001C427A"/>
    <w:rsid w:val="001C4414"/>
    <w:rsid w:val="001C46DF"/>
    <w:rsid w:val="001C4726"/>
    <w:rsid w:val="001C494D"/>
    <w:rsid w:val="001C4994"/>
    <w:rsid w:val="001C4A4C"/>
    <w:rsid w:val="001C4A7D"/>
    <w:rsid w:val="001C4AC1"/>
    <w:rsid w:val="001C4B20"/>
    <w:rsid w:val="001C4B29"/>
    <w:rsid w:val="001C4B92"/>
    <w:rsid w:val="001C4C3B"/>
    <w:rsid w:val="001C4D75"/>
    <w:rsid w:val="001C4D93"/>
    <w:rsid w:val="001C4E64"/>
    <w:rsid w:val="001C4ECE"/>
    <w:rsid w:val="001C4EE1"/>
    <w:rsid w:val="001C4F02"/>
    <w:rsid w:val="001C4F33"/>
    <w:rsid w:val="001C4F86"/>
    <w:rsid w:val="001C4FB1"/>
    <w:rsid w:val="001C4FC9"/>
    <w:rsid w:val="001C501C"/>
    <w:rsid w:val="001C5076"/>
    <w:rsid w:val="001C50A2"/>
    <w:rsid w:val="001C51A2"/>
    <w:rsid w:val="001C5395"/>
    <w:rsid w:val="001C53AA"/>
    <w:rsid w:val="001C53B0"/>
    <w:rsid w:val="001C53B1"/>
    <w:rsid w:val="001C5450"/>
    <w:rsid w:val="001C54B2"/>
    <w:rsid w:val="001C5599"/>
    <w:rsid w:val="001C5645"/>
    <w:rsid w:val="001C56F4"/>
    <w:rsid w:val="001C57A5"/>
    <w:rsid w:val="001C57D5"/>
    <w:rsid w:val="001C5864"/>
    <w:rsid w:val="001C58F4"/>
    <w:rsid w:val="001C5967"/>
    <w:rsid w:val="001C5986"/>
    <w:rsid w:val="001C5A7C"/>
    <w:rsid w:val="001C5AAC"/>
    <w:rsid w:val="001C5BFE"/>
    <w:rsid w:val="001C5C7E"/>
    <w:rsid w:val="001C5C83"/>
    <w:rsid w:val="001C5DA1"/>
    <w:rsid w:val="001C5DBE"/>
    <w:rsid w:val="001C5EBB"/>
    <w:rsid w:val="001C604D"/>
    <w:rsid w:val="001C60DF"/>
    <w:rsid w:val="001C6135"/>
    <w:rsid w:val="001C61B7"/>
    <w:rsid w:val="001C61BF"/>
    <w:rsid w:val="001C61D3"/>
    <w:rsid w:val="001C64D6"/>
    <w:rsid w:val="001C65AF"/>
    <w:rsid w:val="001C65BA"/>
    <w:rsid w:val="001C6659"/>
    <w:rsid w:val="001C66BB"/>
    <w:rsid w:val="001C66C7"/>
    <w:rsid w:val="001C68BC"/>
    <w:rsid w:val="001C69A9"/>
    <w:rsid w:val="001C69B3"/>
    <w:rsid w:val="001C6B0F"/>
    <w:rsid w:val="001C6B3E"/>
    <w:rsid w:val="001C6B55"/>
    <w:rsid w:val="001C6B7D"/>
    <w:rsid w:val="001C6C7D"/>
    <w:rsid w:val="001C6CCC"/>
    <w:rsid w:val="001C6E17"/>
    <w:rsid w:val="001C6E7E"/>
    <w:rsid w:val="001C6EE6"/>
    <w:rsid w:val="001C6F15"/>
    <w:rsid w:val="001C6F57"/>
    <w:rsid w:val="001C6F80"/>
    <w:rsid w:val="001C7065"/>
    <w:rsid w:val="001C70DB"/>
    <w:rsid w:val="001C7200"/>
    <w:rsid w:val="001C72A3"/>
    <w:rsid w:val="001C73B9"/>
    <w:rsid w:val="001C744F"/>
    <w:rsid w:val="001C7470"/>
    <w:rsid w:val="001C7485"/>
    <w:rsid w:val="001C761A"/>
    <w:rsid w:val="001C7639"/>
    <w:rsid w:val="001C76AE"/>
    <w:rsid w:val="001C7703"/>
    <w:rsid w:val="001C7737"/>
    <w:rsid w:val="001C778D"/>
    <w:rsid w:val="001C77CC"/>
    <w:rsid w:val="001C7908"/>
    <w:rsid w:val="001C791F"/>
    <w:rsid w:val="001C7948"/>
    <w:rsid w:val="001C79A9"/>
    <w:rsid w:val="001C79B8"/>
    <w:rsid w:val="001C7BBD"/>
    <w:rsid w:val="001C7CD3"/>
    <w:rsid w:val="001C7DB5"/>
    <w:rsid w:val="001C7E73"/>
    <w:rsid w:val="001C7E8C"/>
    <w:rsid w:val="001C7E97"/>
    <w:rsid w:val="001C7E9B"/>
    <w:rsid w:val="001C7F4F"/>
    <w:rsid w:val="001C7F5E"/>
    <w:rsid w:val="001D008B"/>
    <w:rsid w:val="001D0181"/>
    <w:rsid w:val="001D01A5"/>
    <w:rsid w:val="001D01BF"/>
    <w:rsid w:val="001D0268"/>
    <w:rsid w:val="001D031D"/>
    <w:rsid w:val="001D0396"/>
    <w:rsid w:val="001D03EC"/>
    <w:rsid w:val="001D059F"/>
    <w:rsid w:val="001D0669"/>
    <w:rsid w:val="001D067F"/>
    <w:rsid w:val="001D0705"/>
    <w:rsid w:val="001D070B"/>
    <w:rsid w:val="001D0748"/>
    <w:rsid w:val="001D0786"/>
    <w:rsid w:val="001D07C3"/>
    <w:rsid w:val="001D08B3"/>
    <w:rsid w:val="001D08B9"/>
    <w:rsid w:val="001D08D9"/>
    <w:rsid w:val="001D0963"/>
    <w:rsid w:val="001D0A14"/>
    <w:rsid w:val="001D0A1B"/>
    <w:rsid w:val="001D0A52"/>
    <w:rsid w:val="001D0A5B"/>
    <w:rsid w:val="001D0A5F"/>
    <w:rsid w:val="001D0A94"/>
    <w:rsid w:val="001D0BEA"/>
    <w:rsid w:val="001D0BFB"/>
    <w:rsid w:val="001D0D1D"/>
    <w:rsid w:val="001D0D8E"/>
    <w:rsid w:val="001D0DDE"/>
    <w:rsid w:val="001D0DFC"/>
    <w:rsid w:val="001D0E78"/>
    <w:rsid w:val="001D0F94"/>
    <w:rsid w:val="001D0FAE"/>
    <w:rsid w:val="001D102F"/>
    <w:rsid w:val="001D106F"/>
    <w:rsid w:val="001D1148"/>
    <w:rsid w:val="001D115C"/>
    <w:rsid w:val="001D1400"/>
    <w:rsid w:val="001D1401"/>
    <w:rsid w:val="001D1470"/>
    <w:rsid w:val="001D1497"/>
    <w:rsid w:val="001D165B"/>
    <w:rsid w:val="001D169F"/>
    <w:rsid w:val="001D16AF"/>
    <w:rsid w:val="001D16DE"/>
    <w:rsid w:val="001D1805"/>
    <w:rsid w:val="001D1810"/>
    <w:rsid w:val="001D1825"/>
    <w:rsid w:val="001D18D7"/>
    <w:rsid w:val="001D19B1"/>
    <w:rsid w:val="001D19E1"/>
    <w:rsid w:val="001D1AE2"/>
    <w:rsid w:val="001D1AED"/>
    <w:rsid w:val="001D1B61"/>
    <w:rsid w:val="001D1C42"/>
    <w:rsid w:val="001D1D1D"/>
    <w:rsid w:val="001D1D55"/>
    <w:rsid w:val="001D1F56"/>
    <w:rsid w:val="001D1FD0"/>
    <w:rsid w:val="001D2054"/>
    <w:rsid w:val="001D20A7"/>
    <w:rsid w:val="001D20DD"/>
    <w:rsid w:val="001D2108"/>
    <w:rsid w:val="001D211C"/>
    <w:rsid w:val="001D212F"/>
    <w:rsid w:val="001D21EC"/>
    <w:rsid w:val="001D226B"/>
    <w:rsid w:val="001D2281"/>
    <w:rsid w:val="001D2296"/>
    <w:rsid w:val="001D22B5"/>
    <w:rsid w:val="001D2352"/>
    <w:rsid w:val="001D248C"/>
    <w:rsid w:val="001D24C8"/>
    <w:rsid w:val="001D24CF"/>
    <w:rsid w:val="001D255D"/>
    <w:rsid w:val="001D2564"/>
    <w:rsid w:val="001D256C"/>
    <w:rsid w:val="001D257B"/>
    <w:rsid w:val="001D26D8"/>
    <w:rsid w:val="001D272D"/>
    <w:rsid w:val="001D27AA"/>
    <w:rsid w:val="001D27EA"/>
    <w:rsid w:val="001D2813"/>
    <w:rsid w:val="001D2820"/>
    <w:rsid w:val="001D2919"/>
    <w:rsid w:val="001D29FC"/>
    <w:rsid w:val="001D2A14"/>
    <w:rsid w:val="001D2A4C"/>
    <w:rsid w:val="001D2A52"/>
    <w:rsid w:val="001D2B54"/>
    <w:rsid w:val="001D2CE0"/>
    <w:rsid w:val="001D2DD7"/>
    <w:rsid w:val="001D2DF0"/>
    <w:rsid w:val="001D2EB5"/>
    <w:rsid w:val="001D2F18"/>
    <w:rsid w:val="001D2F5D"/>
    <w:rsid w:val="001D301C"/>
    <w:rsid w:val="001D305A"/>
    <w:rsid w:val="001D30C8"/>
    <w:rsid w:val="001D30DA"/>
    <w:rsid w:val="001D31E0"/>
    <w:rsid w:val="001D320C"/>
    <w:rsid w:val="001D3219"/>
    <w:rsid w:val="001D3255"/>
    <w:rsid w:val="001D328B"/>
    <w:rsid w:val="001D32C3"/>
    <w:rsid w:val="001D32F2"/>
    <w:rsid w:val="001D33A9"/>
    <w:rsid w:val="001D3407"/>
    <w:rsid w:val="001D346B"/>
    <w:rsid w:val="001D3573"/>
    <w:rsid w:val="001D3607"/>
    <w:rsid w:val="001D36D6"/>
    <w:rsid w:val="001D376B"/>
    <w:rsid w:val="001D37F1"/>
    <w:rsid w:val="001D3860"/>
    <w:rsid w:val="001D387F"/>
    <w:rsid w:val="001D396B"/>
    <w:rsid w:val="001D39D8"/>
    <w:rsid w:val="001D3A08"/>
    <w:rsid w:val="001D3B06"/>
    <w:rsid w:val="001D3B26"/>
    <w:rsid w:val="001D3B6B"/>
    <w:rsid w:val="001D3C7F"/>
    <w:rsid w:val="001D3D05"/>
    <w:rsid w:val="001D3DA4"/>
    <w:rsid w:val="001D3DD8"/>
    <w:rsid w:val="001D3E2C"/>
    <w:rsid w:val="001D3E70"/>
    <w:rsid w:val="001D3ECB"/>
    <w:rsid w:val="001D3F18"/>
    <w:rsid w:val="001D3F6E"/>
    <w:rsid w:val="001D3FD0"/>
    <w:rsid w:val="001D3FE6"/>
    <w:rsid w:val="001D4044"/>
    <w:rsid w:val="001D40CB"/>
    <w:rsid w:val="001D4129"/>
    <w:rsid w:val="001D413D"/>
    <w:rsid w:val="001D4191"/>
    <w:rsid w:val="001D4216"/>
    <w:rsid w:val="001D43F7"/>
    <w:rsid w:val="001D46FE"/>
    <w:rsid w:val="001D47BA"/>
    <w:rsid w:val="001D4821"/>
    <w:rsid w:val="001D4898"/>
    <w:rsid w:val="001D4902"/>
    <w:rsid w:val="001D49BF"/>
    <w:rsid w:val="001D4A33"/>
    <w:rsid w:val="001D4C2B"/>
    <w:rsid w:val="001D4C55"/>
    <w:rsid w:val="001D4D02"/>
    <w:rsid w:val="001D4D54"/>
    <w:rsid w:val="001D4D96"/>
    <w:rsid w:val="001D4D9D"/>
    <w:rsid w:val="001D4EB5"/>
    <w:rsid w:val="001D4ED6"/>
    <w:rsid w:val="001D4F08"/>
    <w:rsid w:val="001D4F60"/>
    <w:rsid w:val="001D5000"/>
    <w:rsid w:val="001D5350"/>
    <w:rsid w:val="001D5356"/>
    <w:rsid w:val="001D538E"/>
    <w:rsid w:val="001D53A4"/>
    <w:rsid w:val="001D53CF"/>
    <w:rsid w:val="001D5467"/>
    <w:rsid w:val="001D54A8"/>
    <w:rsid w:val="001D54B3"/>
    <w:rsid w:val="001D55C9"/>
    <w:rsid w:val="001D5602"/>
    <w:rsid w:val="001D5759"/>
    <w:rsid w:val="001D5847"/>
    <w:rsid w:val="001D587A"/>
    <w:rsid w:val="001D5890"/>
    <w:rsid w:val="001D5893"/>
    <w:rsid w:val="001D596B"/>
    <w:rsid w:val="001D5972"/>
    <w:rsid w:val="001D5A06"/>
    <w:rsid w:val="001D5A43"/>
    <w:rsid w:val="001D5C6C"/>
    <w:rsid w:val="001D5CD5"/>
    <w:rsid w:val="001D5E56"/>
    <w:rsid w:val="001D5F65"/>
    <w:rsid w:val="001D5F6E"/>
    <w:rsid w:val="001D5FF2"/>
    <w:rsid w:val="001D5FFD"/>
    <w:rsid w:val="001D601E"/>
    <w:rsid w:val="001D60C8"/>
    <w:rsid w:val="001D610D"/>
    <w:rsid w:val="001D61BF"/>
    <w:rsid w:val="001D6361"/>
    <w:rsid w:val="001D640D"/>
    <w:rsid w:val="001D653E"/>
    <w:rsid w:val="001D654A"/>
    <w:rsid w:val="001D65EA"/>
    <w:rsid w:val="001D661D"/>
    <w:rsid w:val="001D687C"/>
    <w:rsid w:val="001D68F6"/>
    <w:rsid w:val="001D6921"/>
    <w:rsid w:val="001D6953"/>
    <w:rsid w:val="001D6974"/>
    <w:rsid w:val="001D699D"/>
    <w:rsid w:val="001D6A09"/>
    <w:rsid w:val="001D6ACF"/>
    <w:rsid w:val="001D6BCF"/>
    <w:rsid w:val="001D6BFC"/>
    <w:rsid w:val="001D6C88"/>
    <w:rsid w:val="001D6CDF"/>
    <w:rsid w:val="001D6D21"/>
    <w:rsid w:val="001D6D36"/>
    <w:rsid w:val="001D6D5F"/>
    <w:rsid w:val="001D6D6C"/>
    <w:rsid w:val="001D6D88"/>
    <w:rsid w:val="001D6DB5"/>
    <w:rsid w:val="001D6DBD"/>
    <w:rsid w:val="001D6DDE"/>
    <w:rsid w:val="001D6E57"/>
    <w:rsid w:val="001D6F49"/>
    <w:rsid w:val="001D6FE8"/>
    <w:rsid w:val="001D7122"/>
    <w:rsid w:val="001D7163"/>
    <w:rsid w:val="001D71D5"/>
    <w:rsid w:val="001D71E1"/>
    <w:rsid w:val="001D7264"/>
    <w:rsid w:val="001D72F0"/>
    <w:rsid w:val="001D730C"/>
    <w:rsid w:val="001D7325"/>
    <w:rsid w:val="001D734B"/>
    <w:rsid w:val="001D740E"/>
    <w:rsid w:val="001D74C6"/>
    <w:rsid w:val="001D74CA"/>
    <w:rsid w:val="001D7681"/>
    <w:rsid w:val="001D7931"/>
    <w:rsid w:val="001D7967"/>
    <w:rsid w:val="001D799A"/>
    <w:rsid w:val="001D79FF"/>
    <w:rsid w:val="001D7A23"/>
    <w:rsid w:val="001D7A89"/>
    <w:rsid w:val="001D7A96"/>
    <w:rsid w:val="001D7B4D"/>
    <w:rsid w:val="001D7C16"/>
    <w:rsid w:val="001D7C1B"/>
    <w:rsid w:val="001D7DD3"/>
    <w:rsid w:val="001D7E7E"/>
    <w:rsid w:val="001D7F2E"/>
    <w:rsid w:val="001D7FA9"/>
    <w:rsid w:val="001E002A"/>
    <w:rsid w:val="001E0181"/>
    <w:rsid w:val="001E0205"/>
    <w:rsid w:val="001E0243"/>
    <w:rsid w:val="001E025F"/>
    <w:rsid w:val="001E0315"/>
    <w:rsid w:val="001E03A1"/>
    <w:rsid w:val="001E0414"/>
    <w:rsid w:val="001E0474"/>
    <w:rsid w:val="001E04EB"/>
    <w:rsid w:val="001E04F1"/>
    <w:rsid w:val="001E0658"/>
    <w:rsid w:val="001E073E"/>
    <w:rsid w:val="001E07C7"/>
    <w:rsid w:val="001E07E6"/>
    <w:rsid w:val="001E0827"/>
    <w:rsid w:val="001E0940"/>
    <w:rsid w:val="001E0971"/>
    <w:rsid w:val="001E0A7E"/>
    <w:rsid w:val="001E0AA6"/>
    <w:rsid w:val="001E0AED"/>
    <w:rsid w:val="001E0B4A"/>
    <w:rsid w:val="001E0B5A"/>
    <w:rsid w:val="001E0BD0"/>
    <w:rsid w:val="001E0CDD"/>
    <w:rsid w:val="001E0E9F"/>
    <w:rsid w:val="001E0F19"/>
    <w:rsid w:val="001E0F47"/>
    <w:rsid w:val="001E0F4E"/>
    <w:rsid w:val="001E0F57"/>
    <w:rsid w:val="001E0F67"/>
    <w:rsid w:val="001E0F7E"/>
    <w:rsid w:val="001E1004"/>
    <w:rsid w:val="001E10AE"/>
    <w:rsid w:val="001E1259"/>
    <w:rsid w:val="001E129F"/>
    <w:rsid w:val="001E12AA"/>
    <w:rsid w:val="001E12DB"/>
    <w:rsid w:val="001E12FC"/>
    <w:rsid w:val="001E1328"/>
    <w:rsid w:val="001E1351"/>
    <w:rsid w:val="001E13CC"/>
    <w:rsid w:val="001E14A6"/>
    <w:rsid w:val="001E1547"/>
    <w:rsid w:val="001E1597"/>
    <w:rsid w:val="001E18AF"/>
    <w:rsid w:val="001E1901"/>
    <w:rsid w:val="001E198B"/>
    <w:rsid w:val="001E19BF"/>
    <w:rsid w:val="001E1A05"/>
    <w:rsid w:val="001E1A70"/>
    <w:rsid w:val="001E1B52"/>
    <w:rsid w:val="001E1B62"/>
    <w:rsid w:val="001E1B64"/>
    <w:rsid w:val="001E1BF2"/>
    <w:rsid w:val="001E1C13"/>
    <w:rsid w:val="001E1CCD"/>
    <w:rsid w:val="001E1D5D"/>
    <w:rsid w:val="001E1E97"/>
    <w:rsid w:val="001E1EBA"/>
    <w:rsid w:val="001E1EC7"/>
    <w:rsid w:val="001E1ED3"/>
    <w:rsid w:val="001E21BC"/>
    <w:rsid w:val="001E21CC"/>
    <w:rsid w:val="001E2378"/>
    <w:rsid w:val="001E242E"/>
    <w:rsid w:val="001E2497"/>
    <w:rsid w:val="001E258D"/>
    <w:rsid w:val="001E2696"/>
    <w:rsid w:val="001E26AC"/>
    <w:rsid w:val="001E26DA"/>
    <w:rsid w:val="001E26DF"/>
    <w:rsid w:val="001E26E1"/>
    <w:rsid w:val="001E2759"/>
    <w:rsid w:val="001E2985"/>
    <w:rsid w:val="001E2A73"/>
    <w:rsid w:val="001E2AC7"/>
    <w:rsid w:val="001E2BC2"/>
    <w:rsid w:val="001E2C0F"/>
    <w:rsid w:val="001E2D92"/>
    <w:rsid w:val="001E2EE7"/>
    <w:rsid w:val="001E2EF8"/>
    <w:rsid w:val="001E3150"/>
    <w:rsid w:val="001E31E1"/>
    <w:rsid w:val="001E31F5"/>
    <w:rsid w:val="001E3440"/>
    <w:rsid w:val="001E3506"/>
    <w:rsid w:val="001E364B"/>
    <w:rsid w:val="001E3683"/>
    <w:rsid w:val="001E370C"/>
    <w:rsid w:val="001E3724"/>
    <w:rsid w:val="001E37C5"/>
    <w:rsid w:val="001E3812"/>
    <w:rsid w:val="001E3825"/>
    <w:rsid w:val="001E38BA"/>
    <w:rsid w:val="001E3935"/>
    <w:rsid w:val="001E39F1"/>
    <w:rsid w:val="001E3B67"/>
    <w:rsid w:val="001E3D4D"/>
    <w:rsid w:val="001E3D92"/>
    <w:rsid w:val="001E3E0C"/>
    <w:rsid w:val="001E3E24"/>
    <w:rsid w:val="001E3F8C"/>
    <w:rsid w:val="001E3F93"/>
    <w:rsid w:val="001E40DA"/>
    <w:rsid w:val="001E413A"/>
    <w:rsid w:val="001E428F"/>
    <w:rsid w:val="001E4330"/>
    <w:rsid w:val="001E4375"/>
    <w:rsid w:val="001E441F"/>
    <w:rsid w:val="001E4434"/>
    <w:rsid w:val="001E452D"/>
    <w:rsid w:val="001E4534"/>
    <w:rsid w:val="001E463D"/>
    <w:rsid w:val="001E465C"/>
    <w:rsid w:val="001E46D6"/>
    <w:rsid w:val="001E46E9"/>
    <w:rsid w:val="001E477F"/>
    <w:rsid w:val="001E4797"/>
    <w:rsid w:val="001E47F9"/>
    <w:rsid w:val="001E4807"/>
    <w:rsid w:val="001E48A5"/>
    <w:rsid w:val="001E499C"/>
    <w:rsid w:val="001E4A4C"/>
    <w:rsid w:val="001E4B01"/>
    <w:rsid w:val="001E4CA0"/>
    <w:rsid w:val="001E4CAD"/>
    <w:rsid w:val="001E4D57"/>
    <w:rsid w:val="001E4D86"/>
    <w:rsid w:val="001E4D9C"/>
    <w:rsid w:val="001E4F34"/>
    <w:rsid w:val="001E502F"/>
    <w:rsid w:val="001E50E3"/>
    <w:rsid w:val="001E5355"/>
    <w:rsid w:val="001E53BE"/>
    <w:rsid w:val="001E543D"/>
    <w:rsid w:val="001E5510"/>
    <w:rsid w:val="001E5513"/>
    <w:rsid w:val="001E551F"/>
    <w:rsid w:val="001E5642"/>
    <w:rsid w:val="001E570B"/>
    <w:rsid w:val="001E575D"/>
    <w:rsid w:val="001E5798"/>
    <w:rsid w:val="001E57CC"/>
    <w:rsid w:val="001E57FC"/>
    <w:rsid w:val="001E57FF"/>
    <w:rsid w:val="001E586A"/>
    <w:rsid w:val="001E5931"/>
    <w:rsid w:val="001E597F"/>
    <w:rsid w:val="001E59B8"/>
    <w:rsid w:val="001E5AB6"/>
    <w:rsid w:val="001E5ACF"/>
    <w:rsid w:val="001E5AE6"/>
    <w:rsid w:val="001E5BE2"/>
    <w:rsid w:val="001E5C94"/>
    <w:rsid w:val="001E5D24"/>
    <w:rsid w:val="001E5E40"/>
    <w:rsid w:val="001E5EC1"/>
    <w:rsid w:val="001E5F29"/>
    <w:rsid w:val="001E5F4B"/>
    <w:rsid w:val="001E5F54"/>
    <w:rsid w:val="001E5F96"/>
    <w:rsid w:val="001E5FB0"/>
    <w:rsid w:val="001E60B3"/>
    <w:rsid w:val="001E613D"/>
    <w:rsid w:val="001E614E"/>
    <w:rsid w:val="001E62F8"/>
    <w:rsid w:val="001E637A"/>
    <w:rsid w:val="001E63E5"/>
    <w:rsid w:val="001E6414"/>
    <w:rsid w:val="001E641A"/>
    <w:rsid w:val="001E6599"/>
    <w:rsid w:val="001E659E"/>
    <w:rsid w:val="001E6650"/>
    <w:rsid w:val="001E66AD"/>
    <w:rsid w:val="001E66CB"/>
    <w:rsid w:val="001E67FB"/>
    <w:rsid w:val="001E6859"/>
    <w:rsid w:val="001E6911"/>
    <w:rsid w:val="001E6A57"/>
    <w:rsid w:val="001E6A77"/>
    <w:rsid w:val="001E6B4F"/>
    <w:rsid w:val="001E6B88"/>
    <w:rsid w:val="001E6C35"/>
    <w:rsid w:val="001E6C36"/>
    <w:rsid w:val="001E6C85"/>
    <w:rsid w:val="001E6D97"/>
    <w:rsid w:val="001E6DAA"/>
    <w:rsid w:val="001E6DB2"/>
    <w:rsid w:val="001E6DBD"/>
    <w:rsid w:val="001E6E2B"/>
    <w:rsid w:val="001E6E40"/>
    <w:rsid w:val="001E6E48"/>
    <w:rsid w:val="001E6EF1"/>
    <w:rsid w:val="001E6EF4"/>
    <w:rsid w:val="001E6FD5"/>
    <w:rsid w:val="001E7021"/>
    <w:rsid w:val="001E7247"/>
    <w:rsid w:val="001E7254"/>
    <w:rsid w:val="001E737F"/>
    <w:rsid w:val="001E743D"/>
    <w:rsid w:val="001E74A3"/>
    <w:rsid w:val="001E7506"/>
    <w:rsid w:val="001E757D"/>
    <w:rsid w:val="001E75D1"/>
    <w:rsid w:val="001E75FB"/>
    <w:rsid w:val="001E7650"/>
    <w:rsid w:val="001E7678"/>
    <w:rsid w:val="001E76A3"/>
    <w:rsid w:val="001E7775"/>
    <w:rsid w:val="001E77C2"/>
    <w:rsid w:val="001E794E"/>
    <w:rsid w:val="001E7995"/>
    <w:rsid w:val="001E7A2C"/>
    <w:rsid w:val="001E7CA0"/>
    <w:rsid w:val="001E7CF4"/>
    <w:rsid w:val="001E7D48"/>
    <w:rsid w:val="001E7E7D"/>
    <w:rsid w:val="001E7F29"/>
    <w:rsid w:val="001E7F39"/>
    <w:rsid w:val="001E7F5C"/>
    <w:rsid w:val="001E7FD0"/>
    <w:rsid w:val="001F01E2"/>
    <w:rsid w:val="001F022C"/>
    <w:rsid w:val="001F030B"/>
    <w:rsid w:val="001F0346"/>
    <w:rsid w:val="001F036D"/>
    <w:rsid w:val="001F03F5"/>
    <w:rsid w:val="001F0415"/>
    <w:rsid w:val="001F047E"/>
    <w:rsid w:val="001F04B0"/>
    <w:rsid w:val="001F04BE"/>
    <w:rsid w:val="001F04CD"/>
    <w:rsid w:val="001F051E"/>
    <w:rsid w:val="001F0585"/>
    <w:rsid w:val="001F064A"/>
    <w:rsid w:val="001F0835"/>
    <w:rsid w:val="001F091D"/>
    <w:rsid w:val="001F0B85"/>
    <w:rsid w:val="001F0BFD"/>
    <w:rsid w:val="001F0BFE"/>
    <w:rsid w:val="001F0D18"/>
    <w:rsid w:val="001F0E00"/>
    <w:rsid w:val="001F0E6E"/>
    <w:rsid w:val="001F0EBA"/>
    <w:rsid w:val="001F0F19"/>
    <w:rsid w:val="001F0F9A"/>
    <w:rsid w:val="001F10C9"/>
    <w:rsid w:val="001F110A"/>
    <w:rsid w:val="001F1139"/>
    <w:rsid w:val="001F11F9"/>
    <w:rsid w:val="001F1275"/>
    <w:rsid w:val="001F12CF"/>
    <w:rsid w:val="001F1339"/>
    <w:rsid w:val="001F1346"/>
    <w:rsid w:val="001F13DC"/>
    <w:rsid w:val="001F146B"/>
    <w:rsid w:val="001F1529"/>
    <w:rsid w:val="001F1540"/>
    <w:rsid w:val="001F15D4"/>
    <w:rsid w:val="001F1603"/>
    <w:rsid w:val="001F1676"/>
    <w:rsid w:val="001F17CF"/>
    <w:rsid w:val="001F1803"/>
    <w:rsid w:val="001F188A"/>
    <w:rsid w:val="001F18CB"/>
    <w:rsid w:val="001F1910"/>
    <w:rsid w:val="001F1921"/>
    <w:rsid w:val="001F1A01"/>
    <w:rsid w:val="001F1B99"/>
    <w:rsid w:val="001F1CD5"/>
    <w:rsid w:val="001F1E0D"/>
    <w:rsid w:val="001F1F2F"/>
    <w:rsid w:val="001F1F8D"/>
    <w:rsid w:val="001F1F92"/>
    <w:rsid w:val="001F2104"/>
    <w:rsid w:val="001F2133"/>
    <w:rsid w:val="001F21E8"/>
    <w:rsid w:val="001F22B2"/>
    <w:rsid w:val="001F22C8"/>
    <w:rsid w:val="001F2357"/>
    <w:rsid w:val="001F2490"/>
    <w:rsid w:val="001F24EE"/>
    <w:rsid w:val="001F2582"/>
    <w:rsid w:val="001F2595"/>
    <w:rsid w:val="001F269A"/>
    <w:rsid w:val="001F26E6"/>
    <w:rsid w:val="001F2742"/>
    <w:rsid w:val="001F27B0"/>
    <w:rsid w:val="001F27E8"/>
    <w:rsid w:val="001F28C8"/>
    <w:rsid w:val="001F29CD"/>
    <w:rsid w:val="001F2A1E"/>
    <w:rsid w:val="001F2A68"/>
    <w:rsid w:val="001F2A79"/>
    <w:rsid w:val="001F2B0E"/>
    <w:rsid w:val="001F2B22"/>
    <w:rsid w:val="001F2B35"/>
    <w:rsid w:val="001F2C4C"/>
    <w:rsid w:val="001F2D55"/>
    <w:rsid w:val="001F2DDD"/>
    <w:rsid w:val="001F2DFD"/>
    <w:rsid w:val="001F2E0D"/>
    <w:rsid w:val="001F2EBC"/>
    <w:rsid w:val="001F2F1D"/>
    <w:rsid w:val="001F2F1F"/>
    <w:rsid w:val="001F2FF4"/>
    <w:rsid w:val="001F302B"/>
    <w:rsid w:val="001F30CF"/>
    <w:rsid w:val="001F30EA"/>
    <w:rsid w:val="001F31A6"/>
    <w:rsid w:val="001F31AB"/>
    <w:rsid w:val="001F323E"/>
    <w:rsid w:val="001F3254"/>
    <w:rsid w:val="001F326A"/>
    <w:rsid w:val="001F33F9"/>
    <w:rsid w:val="001F342B"/>
    <w:rsid w:val="001F3570"/>
    <w:rsid w:val="001F35DA"/>
    <w:rsid w:val="001F3644"/>
    <w:rsid w:val="001F36B6"/>
    <w:rsid w:val="001F3714"/>
    <w:rsid w:val="001F3741"/>
    <w:rsid w:val="001F37BF"/>
    <w:rsid w:val="001F393E"/>
    <w:rsid w:val="001F3954"/>
    <w:rsid w:val="001F39C3"/>
    <w:rsid w:val="001F39D6"/>
    <w:rsid w:val="001F39F6"/>
    <w:rsid w:val="001F3A29"/>
    <w:rsid w:val="001F3A2F"/>
    <w:rsid w:val="001F3BCE"/>
    <w:rsid w:val="001F3BE0"/>
    <w:rsid w:val="001F3DFD"/>
    <w:rsid w:val="001F3E03"/>
    <w:rsid w:val="001F3EC6"/>
    <w:rsid w:val="001F3F1E"/>
    <w:rsid w:val="001F3FC5"/>
    <w:rsid w:val="001F4015"/>
    <w:rsid w:val="001F404A"/>
    <w:rsid w:val="001F40B4"/>
    <w:rsid w:val="001F40B7"/>
    <w:rsid w:val="001F40CB"/>
    <w:rsid w:val="001F4144"/>
    <w:rsid w:val="001F4169"/>
    <w:rsid w:val="001F4247"/>
    <w:rsid w:val="001F42B8"/>
    <w:rsid w:val="001F4358"/>
    <w:rsid w:val="001F43A7"/>
    <w:rsid w:val="001F4492"/>
    <w:rsid w:val="001F451F"/>
    <w:rsid w:val="001F462F"/>
    <w:rsid w:val="001F4648"/>
    <w:rsid w:val="001F46B4"/>
    <w:rsid w:val="001F46F5"/>
    <w:rsid w:val="001F47DC"/>
    <w:rsid w:val="001F4820"/>
    <w:rsid w:val="001F484D"/>
    <w:rsid w:val="001F4874"/>
    <w:rsid w:val="001F48A3"/>
    <w:rsid w:val="001F48D2"/>
    <w:rsid w:val="001F4950"/>
    <w:rsid w:val="001F4999"/>
    <w:rsid w:val="001F4A7A"/>
    <w:rsid w:val="001F4B13"/>
    <w:rsid w:val="001F4B77"/>
    <w:rsid w:val="001F4BBA"/>
    <w:rsid w:val="001F4BD4"/>
    <w:rsid w:val="001F4BE9"/>
    <w:rsid w:val="001F4C90"/>
    <w:rsid w:val="001F4D48"/>
    <w:rsid w:val="001F4D78"/>
    <w:rsid w:val="001F4D82"/>
    <w:rsid w:val="001F4D83"/>
    <w:rsid w:val="001F4DAC"/>
    <w:rsid w:val="001F4E93"/>
    <w:rsid w:val="001F4FBC"/>
    <w:rsid w:val="001F5044"/>
    <w:rsid w:val="001F5069"/>
    <w:rsid w:val="001F50B4"/>
    <w:rsid w:val="001F5113"/>
    <w:rsid w:val="001F514E"/>
    <w:rsid w:val="001F5152"/>
    <w:rsid w:val="001F5170"/>
    <w:rsid w:val="001F51A8"/>
    <w:rsid w:val="001F51FB"/>
    <w:rsid w:val="001F528D"/>
    <w:rsid w:val="001F52E3"/>
    <w:rsid w:val="001F52FB"/>
    <w:rsid w:val="001F5308"/>
    <w:rsid w:val="001F5470"/>
    <w:rsid w:val="001F551B"/>
    <w:rsid w:val="001F5553"/>
    <w:rsid w:val="001F5574"/>
    <w:rsid w:val="001F55C8"/>
    <w:rsid w:val="001F55CA"/>
    <w:rsid w:val="001F5635"/>
    <w:rsid w:val="001F565A"/>
    <w:rsid w:val="001F565F"/>
    <w:rsid w:val="001F567A"/>
    <w:rsid w:val="001F575B"/>
    <w:rsid w:val="001F5834"/>
    <w:rsid w:val="001F5851"/>
    <w:rsid w:val="001F5856"/>
    <w:rsid w:val="001F5863"/>
    <w:rsid w:val="001F5990"/>
    <w:rsid w:val="001F5A5F"/>
    <w:rsid w:val="001F5A68"/>
    <w:rsid w:val="001F5AAA"/>
    <w:rsid w:val="001F5AAD"/>
    <w:rsid w:val="001F5B42"/>
    <w:rsid w:val="001F5B6F"/>
    <w:rsid w:val="001F5CBB"/>
    <w:rsid w:val="001F5DF4"/>
    <w:rsid w:val="001F5E5E"/>
    <w:rsid w:val="001F5E9F"/>
    <w:rsid w:val="001F5FC2"/>
    <w:rsid w:val="001F6153"/>
    <w:rsid w:val="001F617A"/>
    <w:rsid w:val="001F619F"/>
    <w:rsid w:val="001F61A2"/>
    <w:rsid w:val="001F624B"/>
    <w:rsid w:val="001F626D"/>
    <w:rsid w:val="001F6279"/>
    <w:rsid w:val="001F6486"/>
    <w:rsid w:val="001F64EF"/>
    <w:rsid w:val="001F6547"/>
    <w:rsid w:val="001F6564"/>
    <w:rsid w:val="001F6592"/>
    <w:rsid w:val="001F65FC"/>
    <w:rsid w:val="001F6669"/>
    <w:rsid w:val="001F67FE"/>
    <w:rsid w:val="001F6851"/>
    <w:rsid w:val="001F6854"/>
    <w:rsid w:val="001F6884"/>
    <w:rsid w:val="001F6911"/>
    <w:rsid w:val="001F6990"/>
    <w:rsid w:val="001F69A1"/>
    <w:rsid w:val="001F69AC"/>
    <w:rsid w:val="001F6A43"/>
    <w:rsid w:val="001F6A79"/>
    <w:rsid w:val="001F6B23"/>
    <w:rsid w:val="001F6BF2"/>
    <w:rsid w:val="001F6C1D"/>
    <w:rsid w:val="001F6C49"/>
    <w:rsid w:val="001F6C95"/>
    <w:rsid w:val="001F6E5F"/>
    <w:rsid w:val="001F6E9A"/>
    <w:rsid w:val="001F6F3F"/>
    <w:rsid w:val="001F6FE1"/>
    <w:rsid w:val="001F70BB"/>
    <w:rsid w:val="001F710D"/>
    <w:rsid w:val="001F7131"/>
    <w:rsid w:val="001F72D1"/>
    <w:rsid w:val="001F7302"/>
    <w:rsid w:val="001F730F"/>
    <w:rsid w:val="001F7463"/>
    <w:rsid w:val="001F750F"/>
    <w:rsid w:val="001F756B"/>
    <w:rsid w:val="001F75A1"/>
    <w:rsid w:val="001F75B1"/>
    <w:rsid w:val="001F75CB"/>
    <w:rsid w:val="001F7681"/>
    <w:rsid w:val="001F7696"/>
    <w:rsid w:val="001F771C"/>
    <w:rsid w:val="001F7867"/>
    <w:rsid w:val="001F790C"/>
    <w:rsid w:val="001F7A68"/>
    <w:rsid w:val="001F7AE1"/>
    <w:rsid w:val="001F7C2D"/>
    <w:rsid w:val="001F7C74"/>
    <w:rsid w:val="001F7EE4"/>
    <w:rsid w:val="00200040"/>
    <w:rsid w:val="00200165"/>
    <w:rsid w:val="00200176"/>
    <w:rsid w:val="002001E6"/>
    <w:rsid w:val="0020023B"/>
    <w:rsid w:val="0020032A"/>
    <w:rsid w:val="002004E3"/>
    <w:rsid w:val="00200580"/>
    <w:rsid w:val="00200599"/>
    <w:rsid w:val="0020075D"/>
    <w:rsid w:val="00200772"/>
    <w:rsid w:val="002007E0"/>
    <w:rsid w:val="0020084F"/>
    <w:rsid w:val="002008C4"/>
    <w:rsid w:val="00200B1E"/>
    <w:rsid w:val="00200D10"/>
    <w:rsid w:val="00200D52"/>
    <w:rsid w:val="00200D6D"/>
    <w:rsid w:val="00200D95"/>
    <w:rsid w:val="00200E1B"/>
    <w:rsid w:val="00200E97"/>
    <w:rsid w:val="00200EB3"/>
    <w:rsid w:val="00200FAA"/>
    <w:rsid w:val="0020100D"/>
    <w:rsid w:val="00201104"/>
    <w:rsid w:val="002011AB"/>
    <w:rsid w:val="002011F4"/>
    <w:rsid w:val="002012C2"/>
    <w:rsid w:val="002013B5"/>
    <w:rsid w:val="0020147E"/>
    <w:rsid w:val="0020153A"/>
    <w:rsid w:val="00201578"/>
    <w:rsid w:val="002015FB"/>
    <w:rsid w:val="00201633"/>
    <w:rsid w:val="0020164C"/>
    <w:rsid w:val="0020166D"/>
    <w:rsid w:val="0020169F"/>
    <w:rsid w:val="0020185F"/>
    <w:rsid w:val="002018A9"/>
    <w:rsid w:val="00201975"/>
    <w:rsid w:val="00201A02"/>
    <w:rsid w:val="00201A22"/>
    <w:rsid w:val="00201AAF"/>
    <w:rsid w:val="00201B92"/>
    <w:rsid w:val="00201BB9"/>
    <w:rsid w:val="00201C32"/>
    <w:rsid w:val="00201C6D"/>
    <w:rsid w:val="00201C9E"/>
    <w:rsid w:val="00201D5A"/>
    <w:rsid w:val="00201DA8"/>
    <w:rsid w:val="00201E46"/>
    <w:rsid w:val="00201E94"/>
    <w:rsid w:val="00201E98"/>
    <w:rsid w:val="00201F23"/>
    <w:rsid w:val="00201F26"/>
    <w:rsid w:val="00201F2A"/>
    <w:rsid w:val="00201FF9"/>
    <w:rsid w:val="00202025"/>
    <w:rsid w:val="002021CC"/>
    <w:rsid w:val="0020223F"/>
    <w:rsid w:val="0020225C"/>
    <w:rsid w:val="0020228E"/>
    <w:rsid w:val="00202473"/>
    <w:rsid w:val="00202474"/>
    <w:rsid w:val="002024A2"/>
    <w:rsid w:val="00202526"/>
    <w:rsid w:val="00202601"/>
    <w:rsid w:val="002026FB"/>
    <w:rsid w:val="00202703"/>
    <w:rsid w:val="00202708"/>
    <w:rsid w:val="00202871"/>
    <w:rsid w:val="0020291F"/>
    <w:rsid w:val="00202952"/>
    <w:rsid w:val="00202A2A"/>
    <w:rsid w:val="00202BD1"/>
    <w:rsid w:val="00202C0A"/>
    <w:rsid w:val="00202CC9"/>
    <w:rsid w:val="00202CE4"/>
    <w:rsid w:val="00202DC4"/>
    <w:rsid w:val="00202E07"/>
    <w:rsid w:val="00202E62"/>
    <w:rsid w:val="00202E65"/>
    <w:rsid w:val="00202EB5"/>
    <w:rsid w:val="00202F7A"/>
    <w:rsid w:val="00203030"/>
    <w:rsid w:val="002031F6"/>
    <w:rsid w:val="00203263"/>
    <w:rsid w:val="00203376"/>
    <w:rsid w:val="00203435"/>
    <w:rsid w:val="0020343C"/>
    <w:rsid w:val="00203479"/>
    <w:rsid w:val="002035E1"/>
    <w:rsid w:val="002035E9"/>
    <w:rsid w:val="002035FD"/>
    <w:rsid w:val="0020363A"/>
    <w:rsid w:val="0020364F"/>
    <w:rsid w:val="00203667"/>
    <w:rsid w:val="002036FB"/>
    <w:rsid w:val="00203746"/>
    <w:rsid w:val="002037E5"/>
    <w:rsid w:val="002037EA"/>
    <w:rsid w:val="002038B9"/>
    <w:rsid w:val="002038E3"/>
    <w:rsid w:val="00203911"/>
    <w:rsid w:val="0020391D"/>
    <w:rsid w:val="0020395F"/>
    <w:rsid w:val="002039F4"/>
    <w:rsid w:val="00203B40"/>
    <w:rsid w:val="00203B54"/>
    <w:rsid w:val="00203B81"/>
    <w:rsid w:val="00203BAE"/>
    <w:rsid w:val="00203BBC"/>
    <w:rsid w:val="00203BFB"/>
    <w:rsid w:val="00203C0C"/>
    <w:rsid w:val="00203C64"/>
    <w:rsid w:val="00203D30"/>
    <w:rsid w:val="00203E39"/>
    <w:rsid w:val="00203E4D"/>
    <w:rsid w:val="00204025"/>
    <w:rsid w:val="00204043"/>
    <w:rsid w:val="00204066"/>
    <w:rsid w:val="002040CB"/>
    <w:rsid w:val="002041DB"/>
    <w:rsid w:val="00204212"/>
    <w:rsid w:val="0020432B"/>
    <w:rsid w:val="002044F0"/>
    <w:rsid w:val="002045A6"/>
    <w:rsid w:val="0020465B"/>
    <w:rsid w:val="002046C1"/>
    <w:rsid w:val="002046C6"/>
    <w:rsid w:val="00204748"/>
    <w:rsid w:val="00204749"/>
    <w:rsid w:val="00204752"/>
    <w:rsid w:val="00204773"/>
    <w:rsid w:val="002048C7"/>
    <w:rsid w:val="0020490E"/>
    <w:rsid w:val="00204962"/>
    <w:rsid w:val="002049D0"/>
    <w:rsid w:val="00204AC4"/>
    <w:rsid w:val="00204ACB"/>
    <w:rsid w:val="00204AE3"/>
    <w:rsid w:val="00204B1C"/>
    <w:rsid w:val="00204B8F"/>
    <w:rsid w:val="00204C13"/>
    <w:rsid w:val="00204C6B"/>
    <w:rsid w:val="00204C75"/>
    <w:rsid w:val="00204D40"/>
    <w:rsid w:val="00204D93"/>
    <w:rsid w:val="00204D9B"/>
    <w:rsid w:val="00204E5A"/>
    <w:rsid w:val="00204F85"/>
    <w:rsid w:val="002050C3"/>
    <w:rsid w:val="00205128"/>
    <w:rsid w:val="00205154"/>
    <w:rsid w:val="002051F3"/>
    <w:rsid w:val="00205203"/>
    <w:rsid w:val="0020521B"/>
    <w:rsid w:val="00205269"/>
    <w:rsid w:val="002052EC"/>
    <w:rsid w:val="00205667"/>
    <w:rsid w:val="0020578B"/>
    <w:rsid w:val="00205825"/>
    <w:rsid w:val="0020585C"/>
    <w:rsid w:val="00205884"/>
    <w:rsid w:val="002058CB"/>
    <w:rsid w:val="00205AF6"/>
    <w:rsid w:val="00205AFC"/>
    <w:rsid w:val="00205B7F"/>
    <w:rsid w:val="00205C1C"/>
    <w:rsid w:val="00205DBB"/>
    <w:rsid w:val="00205E1F"/>
    <w:rsid w:val="00205EF5"/>
    <w:rsid w:val="00205F87"/>
    <w:rsid w:val="00206198"/>
    <w:rsid w:val="002061AB"/>
    <w:rsid w:val="002061B5"/>
    <w:rsid w:val="002062F3"/>
    <w:rsid w:val="0020631B"/>
    <w:rsid w:val="00206333"/>
    <w:rsid w:val="00206340"/>
    <w:rsid w:val="0020634C"/>
    <w:rsid w:val="00206375"/>
    <w:rsid w:val="002063DA"/>
    <w:rsid w:val="002065E5"/>
    <w:rsid w:val="0020665E"/>
    <w:rsid w:val="0020667D"/>
    <w:rsid w:val="00206866"/>
    <w:rsid w:val="002068DA"/>
    <w:rsid w:val="0020692A"/>
    <w:rsid w:val="0020694D"/>
    <w:rsid w:val="0020695D"/>
    <w:rsid w:val="00206970"/>
    <w:rsid w:val="00206975"/>
    <w:rsid w:val="00206986"/>
    <w:rsid w:val="00206A6C"/>
    <w:rsid w:val="00206AE8"/>
    <w:rsid w:val="00206AF4"/>
    <w:rsid w:val="00206B0E"/>
    <w:rsid w:val="00206DB0"/>
    <w:rsid w:val="00206DDD"/>
    <w:rsid w:val="00206E9E"/>
    <w:rsid w:val="00206F0D"/>
    <w:rsid w:val="00206FD6"/>
    <w:rsid w:val="00207050"/>
    <w:rsid w:val="0020707F"/>
    <w:rsid w:val="002070DB"/>
    <w:rsid w:val="00207180"/>
    <w:rsid w:val="0020720B"/>
    <w:rsid w:val="00207344"/>
    <w:rsid w:val="00207499"/>
    <w:rsid w:val="0020751E"/>
    <w:rsid w:val="00207584"/>
    <w:rsid w:val="002075AA"/>
    <w:rsid w:val="00207662"/>
    <w:rsid w:val="002076C1"/>
    <w:rsid w:val="002077A1"/>
    <w:rsid w:val="00207863"/>
    <w:rsid w:val="002078B1"/>
    <w:rsid w:val="002078D3"/>
    <w:rsid w:val="0020790C"/>
    <w:rsid w:val="00207923"/>
    <w:rsid w:val="00207B89"/>
    <w:rsid w:val="00207BAD"/>
    <w:rsid w:val="00207BF8"/>
    <w:rsid w:val="00207DC2"/>
    <w:rsid w:val="00207E04"/>
    <w:rsid w:val="00207EB0"/>
    <w:rsid w:val="00207EE7"/>
    <w:rsid w:val="00207F28"/>
    <w:rsid w:val="00210044"/>
    <w:rsid w:val="002100C9"/>
    <w:rsid w:val="002101F2"/>
    <w:rsid w:val="002101F4"/>
    <w:rsid w:val="00210209"/>
    <w:rsid w:val="0021020E"/>
    <w:rsid w:val="00210255"/>
    <w:rsid w:val="002102F9"/>
    <w:rsid w:val="00210343"/>
    <w:rsid w:val="00210394"/>
    <w:rsid w:val="002103A1"/>
    <w:rsid w:val="002103BD"/>
    <w:rsid w:val="00210431"/>
    <w:rsid w:val="00210477"/>
    <w:rsid w:val="0021055E"/>
    <w:rsid w:val="002105F2"/>
    <w:rsid w:val="002107A5"/>
    <w:rsid w:val="00210855"/>
    <w:rsid w:val="00210891"/>
    <w:rsid w:val="00210893"/>
    <w:rsid w:val="002108DB"/>
    <w:rsid w:val="0021090D"/>
    <w:rsid w:val="0021091E"/>
    <w:rsid w:val="002109B5"/>
    <w:rsid w:val="00210A06"/>
    <w:rsid w:val="00210AEC"/>
    <w:rsid w:val="00210B79"/>
    <w:rsid w:val="00210C8A"/>
    <w:rsid w:val="00210D02"/>
    <w:rsid w:val="00210D48"/>
    <w:rsid w:val="00210D58"/>
    <w:rsid w:val="00210E44"/>
    <w:rsid w:val="00210F20"/>
    <w:rsid w:val="00210F78"/>
    <w:rsid w:val="00210F9A"/>
    <w:rsid w:val="0021100D"/>
    <w:rsid w:val="002110ED"/>
    <w:rsid w:val="00211103"/>
    <w:rsid w:val="00211130"/>
    <w:rsid w:val="00211193"/>
    <w:rsid w:val="00211241"/>
    <w:rsid w:val="0021128C"/>
    <w:rsid w:val="002113EF"/>
    <w:rsid w:val="002113F0"/>
    <w:rsid w:val="00211438"/>
    <w:rsid w:val="00211463"/>
    <w:rsid w:val="00211594"/>
    <w:rsid w:val="00211605"/>
    <w:rsid w:val="0021169C"/>
    <w:rsid w:val="002116AC"/>
    <w:rsid w:val="0021171A"/>
    <w:rsid w:val="0021171D"/>
    <w:rsid w:val="002117DC"/>
    <w:rsid w:val="002118F3"/>
    <w:rsid w:val="0021197E"/>
    <w:rsid w:val="00211992"/>
    <w:rsid w:val="002119F5"/>
    <w:rsid w:val="00211B1F"/>
    <w:rsid w:val="00211BAC"/>
    <w:rsid w:val="00211BD7"/>
    <w:rsid w:val="00211C33"/>
    <w:rsid w:val="00211F18"/>
    <w:rsid w:val="00211F53"/>
    <w:rsid w:val="00211FF0"/>
    <w:rsid w:val="00212129"/>
    <w:rsid w:val="00212137"/>
    <w:rsid w:val="00212163"/>
    <w:rsid w:val="00212356"/>
    <w:rsid w:val="00212386"/>
    <w:rsid w:val="002123BD"/>
    <w:rsid w:val="0021242B"/>
    <w:rsid w:val="0021245E"/>
    <w:rsid w:val="0021248C"/>
    <w:rsid w:val="002124FD"/>
    <w:rsid w:val="002125AF"/>
    <w:rsid w:val="002125F7"/>
    <w:rsid w:val="0021263B"/>
    <w:rsid w:val="0021267E"/>
    <w:rsid w:val="00212725"/>
    <w:rsid w:val="002128D6"/>
    <w:rsid w:val="002129EE"/>
    <w:rsid w:val="00212A18"/>
    <w:rsid w:val="00212A6B"/>
    <w:rsid w:val="00212AAB"/>
    <w:rsid w:val="00212AEC"/>
    <w:rsid w:val="00212AFD"/>
    <w:rsid w:val="00212B12"/>
    <w:rsid w:val="00212C68"/>
    <w:rsid w:val="00212D11"/>
    <w:rsid w:val="00212E0D"/>
    <w:rsid w:val="00212E25"/>
    <w:rsid w:val="00212F9E"/>
    <w:rsid w:val="00212FA2"/>
    <w:rsid w:val="00212FB3"/>
    <w:rsid w:val="00212FCE"/>
    <w:rsid w:val="00213020"/>
    <w:rsid w:val="00213041"/>
    <w:rsid w:val="00213138"/>
    <w:rsid w:val="00213139"/>
    <w:rsid w:val="002131AE"/>
    <w:rsid w:val="002131D2"/>
    <w:rsid w:val="002131D3"/>
    <w:rsid w:val="00213224"/>
    <w:rsid w:val="002132EF"/>
    <w:rsid w:val="00213379"/>
    <w:rsid w:val="0021339B"/>
    <w:rsid w:val="00213457"/>
    <w:rsid w:val="002134B5"/>
    <w:rsid w:val="002136C6"/>
    <w:rsid w:val="002136C9"/>
    <w:rsid w:val="002136D8"/>
    <w:rsid w:val="0021383C"/>
    <w:rsid w:val="002138F7"/>
    <w:rsid w:val="002139A1"/>
    <w:rsid w:val="002139EF"/>
    <w:rsid w:val="00213A10"/>
    <w:rsid w:val="00213A15"/>
    <w:rsid w:val="00213A70"/>
    <w:rsid w:val="00213AEA"/>
    <w:rsid w:val="00213B08"/>
    <w:rsid w:val="00213C49"/>
    <w:rsid w:val="00213CC8"/>
    <w:rsid w:val="00213CDC"/>
    <w:rsid w:val="00213D12"/>
    <w:rsid w:val="00213E68"/>
    <w:rsid w:val="00213F09"/>
    <w:rsid w:val="002140F3"/>
    <w:rsid w:val="00214209"/>
    <w:rsid w:val="0021424E"/>
    <w:rsid w:val="00214327"/>
    <w:rsid w:val="00214350"/>
    <w:rsid w:val="002143F6"/>
    <w:rsid w:val="002144B3"/>
    <w:rsid w:val="002145D9"/>
    <w:rsid w:val="002146F6"/>
    <w:rsid w:val="002149D5"/>
    <w:rsid w:val="002149DA"/>
    <w:rsid w:val="00214A6C"/>
    <w:rsid w:val="00214AEA"/>
    <w:rsid w:val="00214B2D"/>
    <w:rsid w:val="00214B9A"/>
    <w:rsid w:val="00214BD9"/>
    <w:rsid w:val="00214BE8"/>
    <w:rsid w:val="00214C5D"/>
    <w:rsid w:val="00214C9E"/>
    <w:rsid w:val="00214CD1"/>
    <w:rsid w:val="00214D24"/>
    <w:rsid w:val="00214E5E"/>
    <w:rsid w:val="00214FF9"/>
    <w:rsid w:val="00215037"/>
    <w:rsid w:val="00215174"/>
    <w:rsid w:val="00215206"/>
    <w:rsid w:val="00215294"/>
    <w:rsid w:val="00215388"/>
    <w:rsid w:val="002153A9"/>
    <w:rsid w:val="00215479"/>
    <w:rsid w:val="002154BA"/>
    <w:rsid w:val="002156F8"/>
    <w:rsid w:val="002157D4"/>
    <w:rsid w:val="00215A27"/>
    <w:rsid w:val="00215A55"/>
    <w:rsid w:val="00215AE4"/>
    <w:rsid w:val="00215B7C"/>
    <w:rsid w:val="00215B9C"/>
    <w:rsid w:val="00215C6C"/>
    <w:rsid w:val="00215E03"/>
    <w:rsid w:val="00215EA0"/>
    <w:rsid w:val="00215F7D"/>
    <w:rsid w:val="00215F90"/>
    <w:rsid w:val="00215FA5"/>
    <w:rsid w:val="00215FEC"/>
    <w:rsid w:val="00216153"/>
    <w:rsid w:val="0021617E"/>
    <w:rsid w:val="002161D6"/>
    <w:rsid w:val="00216275"/>
    <w:rsid w:val="002162A3"/>
    <w:rsid w:val="002162A4"/>
    <w:rsid w:val="0021630A"/>
    <w:rsid w:val="0021635F"/>
    <w:rsid w:val="00216371"/>
    <w:rsid w:val="00216390"/>
    <w:rsid w:val="002163EC"/>
    <w:rsid w:val="002163FD"/>
    <w:rsid w:val="002164D2"/>
    <w:rsid w:val="00216527"/>
    <w:rsid w:val="00216594"/>
    <w:rsid w:val="00216599"/>
    <w:rsid w:val="002165A8"/>
    <w:rsid w:val="0021660B"/>
    <w:rsid w:val="00216671"/>
    <w:rsid w:val="0021690E"/>
    <w:rsid w:val="00216ADA"/>
    <w:rsid w:val="00216B5A"/>
    <w:rsid w:val="00216C24"/>
    <w:rsid w:val="00216C30"/>
    <w:rsid w:val="00216C35"/>
    <w:rsid w:val="00216C58"/>
    <w:rsid w:val="00216C8D"/>
    <w:rsid w:val="00216CAD"/>
    <w:rsid w:val="00216D78"/>
    <w:rsid w:val="00216DCF"/>
    <w:rsid w:val="00216DEA"/>
    <w:rsid w:val="00216E2C"/>
    <w:rsid w:val="00216E2D"/>
    <w:rsid w:val="00216E79"/>
    <w:rsid w:val="00216EFE"/>
    <w:rsid w:val="00216FD1"/>
    <w:rsid w:val="002170B9"/>
    <w:rsid w:val="002170C8"/>
    <w:rsid w:val="00217268"/>
    <w:rsid w:val="0021726D"/>
    <w:rsid w:val="002172B8"/>
    <w:rsid w:val="00217310"/>
    <w:rsid w:val="002174FF"/>
    <w:rsid w:val="00217521"/>
    <w:rsid w:val="0021752B"/>
    <w:rsid w:val="0021768A"/>
    <w:rsid w:val="0021780B"/>
    <w:rsid w:val="00217872"/>
    <w:rsid w:val="002178D7"/>
    <w:rsid w:val="00217901"/>
    <w:rsid w:val="00217959"/>
    <w:rsid w:val="00217A60"/>
    <w:rsid w:val="00217A87"/>
    <w:rsid w:val="00217A90"/>
    <w:rsid w:val="00217AD5"/>
    <w:rsid w:val="00217AF5"/>
    <w:rsid w:val="00217B15"/>
    <w:rsid w:val="00217C7D"/>
    <w:rsid w:val="00217D20"/>
    <w:rsid w:val="00217D2F"/>
    <w:rsid w:val="00217DB9"/>
    <w:rsid w:val="00217DE6"/>
    <w:rsid w:val="00217E0F"/>
    <w:rsid w:val="00217EAC"/>
    <w:rsid w:val="00217F28"/>
    <w:rsid w:val="00217FBA"/>
    <w:rsid w:val="00220104"/>
    <w:rsid w:val="0022042E"/>
    <w:rsid w:val="0022045D"/>
    <w:rsid w:val="002204CB"/>
    <w:rsid w:val="002204E1"/>
    <w:rsid w:val="00220597"/>
    <w:rsid w:val="002205D3"/>
    <w:rsid w:val="0022061A"/>
    <w:rsid w:val="002206C7"/>
    <w:rsid w:val="002206DB"/>
    <w:rsid w:val="00220767"/>
    <w:rsid w:val="002207B1"/>
    <w:rsid w:val="0022087C"/>
    <w:rsid w:val="002208B9"/>
    <w:rsid w:val="002209EF"/>
    <w:rsid w:val="00220A41"/>
    <w:rsid w:val="00220B29"/>
    <w:rsid w:val="00220C19"/>
    <w:rsid w:val="00220CA1"/>
    <w:rsid w:val="00220CA7"/>
    <w:rsid w:val="00220D82"/>
    <w:rsid w:val="00220EFC"/>
    <w:rsid w:val="00220F7F"/>
    <w:rsid w:val="00220F9A"/>
    <w:rsid w:val="00221200"/>
    <w:rsid w:val="00221288"/>
    <w:rsid w:val="0022128D"/>
    <w:rsid w:val="0022136C"/>
    <w:rsid w:val="00221432"/>
    <w:rsid w:val="002214B0"/>
    <w:rsid w:val="002214E3"/>
    <w:rsid w:val="00221643"/>
    <w:rsid w:val="00221665"/>
    <w:rsid w:val="0022168B"/>
    <w:rsid w:val="0022176F"/>
    <w:rsid w:val="002217C5"/>
    <w:rsid w:val="002218AA"/>
    <w:rsid w:val="00221955"/>
    <w:rsid w:val="00221A67"/>
    <w:rsid w:val="00221AFA"/>
    <w:rsid w:val="00221B43"/>
    <w:rsid w:val="00221C4C"/>
    <w:rsid w:val="00221D1C"/>
    <w:rsid w:val="00221D62"/>
    <w:rsid w:val="00221D97"/>
    <w:rsid w:val="00221DCE"/>
    <w:rsid w:val="00221E4A"/>
    <w:rsid w:val="00221E82"/>
    <w:rsid w:val="00221EA4"/>
    <w:rsid w:val="0022211B"/>
    <w:rsid w:val="0022212C"/>
    <w:rsid w:val="0022219A"/>
    <w:rsid w:val="002221AF"/>
    <w:rsid w:val="00222210"/>
    <w:rsid w:val="00222324"/>
    <w:rsid w:val="0022233E"/>
    <w:rsid w:val="00222366"/>
    <w:rsid w:val="002223A7"/>
    <w:rsid w:val="002223E1"/>
    <w:rsid w:val="00222430"/>
    <w:rsid w:val="0022243C"/>
    <w:rsid w:val="002224C7"/>
    <w:rsid w:val="002225A7"/>
    <w:rsid w:val="002225BF"/>
    <w:rsid w:val="002225CF"/>
    <w:rsid w:val="002225E9"/>
    <w:rsid w:val="00222623"/>
    <w:rsid w:val="00222692"/>
    <w:rsid w:val="002226D5"/>
    <w:rsid w:val="0022279B"/>
    <w:rsid w:val="0022292B"/>
    <w:rsid w:val="0022297B"/>
    <w:rsid w:val="00222996"/>
    <w:rsid w:val="00222A65"/>
    <w:rsid w:val="00222AA4"/>
    <w:rsid w:val="00222AD0"/>
    <w:rsid w:val="00222B77"/>
    <w:rsid w:val="00222B90"/>
    <w:rsid w:val="00222DAD"/>
    <w:rsid w:val="00222DE1"/>
    <w:rsid w:val="00222E47"/>
    <w:rsid w:val="00222F25"/>
    <w:rsid w:val="00222F36"/>
    <w:rsid w:val="00223045"/>
    <w:rsid w:val="00223233"/>
    <w:rsid w:val="00223320"/>
    <w:rsid w:val="002233A0"/>
    <w:rsid w:val="002233A6"/>
    <w:rsid w:val="002233EC"/>
    <w:rsid w:val="0022344A"/>
    <w:rsid w:val="0022344C"/>
    <w:rsid w:val="0022350B"/>
    <w:rsid w:val="00223534"/>
    <w:rsid w:val="0022357D"/>
    <w:rsid w:val="00223609"/>
    <w:rsid w:val="00223631"/>
    <w:rsid w:val="0022366B"/>
    <w:rsid w:val="002236A0"/>
    <w:rsid w:val="002237AD"/>
    <w:rsid w:val="00223843"/>
    <w:rsid w:val="0022386D"/>
    <w:rsid w:val="002238D8"/>
    <w:rsid w:val="00223933"/>
    <w:rsid w:val="002239F8"/>
    <w:rsid w:val="00223A0E"/>
    <w:rsid w:val="00223A37"/>
    <w:rsid w:val="00223A92"/>
    <w:rsid w:val="00223C02"/>
    <w:rsid w:val="00223C43"/>
    <w:rsid w:val="00223C9F"/>
    <w:rsid w:val="00223D11"/>
    <w:rsid w:val="00223E66"/>
    <w:rsid w:val="00223ED1"/>
    <w:rsid w:val="00223F19"/>
    <w:rsid w:val="00223FAE"/>
    <w:rsid w:val="00223FE9"/>
    <w:rsid w:val="002240E6"/>
    <w:rsid w:val="00224173"/>
    <w:rsid w:val="002241FA"/>
    <w:rsid w:val="00224221"/>
    <w:rsid w:val="0022427F"/>
    <w:rsid w:val="002242CF"/>
    <w:rsid w:val="002242F1"/>
    <w:rsid w:val="00224300"/>
    <w:rsid w:val="00224408"/>
    <w:rsid w:val="0022443E"/>
    <w:rsid w:val="00224458"/>
    <w:rsid w:val="0022450D"/>
    <w:rsid w:val="0022450F"/>
    <w:rsid w:val="0022452E"/>
    <w:rsid w:val="0022453C"/>
    <w:rsid w:val="00224557"/>
    <w:rsid w:val="00224592"/>
    <w:rsid w:val="0022460C"/>
    <w:rsid w:val="0022465C"/>
    <w:rsid w:val="002246C6"/>
    <w:rsid w:val="0022471B"/>
    <w:rsid w:val="0022474B"/>
    <w:rsid w:val="00224785"/>
    <w:rsid w:val="002247E9"/>
    <w:rsid w:val="002249BA"/>
    <w:rsid w:val="002249C5"/>
    <w:rsid w:val="002249E6"/>
    <w:rsid w:val="00224A4D"/>
    <w:rsid w:val="00224A56"/>
    <w:rsid w:val="00224A57"/>
    <w:rsid w:val="00224A73"/>
    <w:rsid w:val="00224C79"/>
    <w:rsid w:val="00224CF4"/>
    <w:rsid w:val="00224D6B"/>
    <w:rsid w:val="00224D8E"/>
    <w:rsid w:val="00224D95"/>
    <w:rsid w:val="00224DFF"/>
    <w:rsid w:val="00224E31"/>
    <w:rsid w:val="00224E8C"/>
    <w:rsid w:val="00224EFE"/>
    <w:rsid w:val="00224F4F"/>
    <w:rsid w:val="00225070"/>
    <w:rsid w:val="002250A6"/>
    <w:rsid w:val="002252A3"/>
    <w:rsid w:val="002252F7"/>
    <w:rsid w:val="002254A1"/>
    <w:rsid w:val="002254BD"/>
    <w:rsid w:val="002254E0"/>
    <w:rsid w:val="0022557A"/>
    <w:rsid w:val="0022558B"/>
    <w:rsid w:val="00225627"/>
    <w:rsid w:val="002256C3"/>
    <w:rsid w:val="00225790"/>
    <w:rsid w:val="002257C5"/>
    <w:rsid w:val="002257D5"/>
    <w:rsid w:val="0022588A"/>
    <w:rsid w:val="00225903"/>
    <w:rsid w:val="0022598B"/>
    <w:rsid w:val="002259CE"/>
    <w:rsid w:val="00225BAC"/>
    <w:rsid w:val="00225BC6"/>
    <w:rsid w:val="00225C4C"/>
    <w:rsid w:val="00225C8E"/>
    <w:rsid w:val="00225D51"/>
    <w:rsid w:val="00225DEF"/>
    <w:rsid w:val="00225E84"/>
    <w:rsid w:val="00225EE3"/>
    <w:rsid w:val="00225FCD"/>
    <w:rsid w:val="00225FEE"/>
    <w:rsid w:val="00226008"/>
    <w:rsid w:val="00226099"/>
    <w:rsid w:val="00226207"/>
    <w:rsid w:val="0022621C"/>
    <w:rsid w:val="0022623C"/>
    <w:rsid w:val="00226258"/>
    <w:rsid w:val="002262B1"/>
    <w:rsid w:val="002263CB"/>
    <w:rsid w:val="0022641F"/>
    <w:rsid w:val="00226436"/>
    <w:rsid w:val="00226636"/>
    <w:rsid w:val="00226689"/>
    <w:rsid w:val="002266DF"/>
    <w:rsid w:val="002266F8"/>
    <w:rsid w:val="00226752"/>
    <w:rsid w:val="0022681A"/>
    <w:rsid w:val="00226867"/>
    <w:rsid w:val="00226990"/>
    <w:rsid w:val="00226A49"/>
    <w:rsid w:val="00226A67"/>
    <w:rsid w:val="00226B34"/>
    <w:rsid w:val="00226B35"/>
    <w:rsid w:val="00226B92"/>
    <w:rsid w:val="00226BC9"/>
    <w:rsid w:val="00226C0E"/>
    <w:rsid w:val="00226CB2"/>
    <w:rsid w:val="00227176"/>
    <w:rsid w:val="00227235"/>
    <w:rsid w:val="002273BF"/>
    <w:rsid w:val="0022747D"/>
    <w:rsid w:val="002274A1"/>
    <w:rsid w:val="00227577"/>
    <w:rsid w:val="00227620"/>
    <w:rsid w:val="0022765F"/>
    <w:rsid w:val="002276D1"/>
    <w:rsid w:val="00227771"/>
    <w:rsid w:val="002277D4"/>
    <w:rsid w:val="00227805"/>
    <w:rsid w:val="00227A00"/>
    <w:rsid w:val="00227A84"/>
    <w:rsid w:val="00227B1D"/>
    <w:rsid w:val="00227BDB"/>
    <w:rsid w:val="00227C1D"/>
    <w:rsid w:val="00227C8A"/>
    <w:rsid w:val="00227D2F"/>
    <w:rsid w:val="00227D70"/>
    <w:rsid w:val="00227D78"/>
    <w:rsid w:val="00227DB4"/>
    <w:rsid w:val="00227DE4"/>
    <w:rsid w:val="00227F10"/>
    <w:rsid w:val="00227F48"/>
    <w:rsid w:val="00227F51"/>
    <w:rsid w:val="00227FDD"/>
    <w:rsid w:val="00227FF6"/>
    <w:rsid w:val="00230029"/>
    <w:rsid w:val="002301F9"/>
    <w:rsid w:val="0023029D"/>
    <w:rsid w:val="0023029E"/>
    <w:rsid w:val="002302BE"/>
    <w:rsid w:val="002302C8"/>
    <w:rsid w:val="0023033A"/>
    <w:rsid w:val="00230348"/>
    <w:rsid w:val="00230367"/>
    <w:rsid w:val="002304E0"/>
    <w:rsid w:val="00230538"/>
    <w:rsid w:val="00230589"/>
    <w:rsid w:val="002305E3"/>
    <w:rsid w:val="00230695"/>
    <w:rsid w:val="002306BD"/>
    <w:rsid w:val="0023072F"/>
    <w:rsid w:val="00230750"/>
    <w:rsid w:val="00230850"/>
    <w:rsid w:val="00230930"/>
    <w:rsid w:val="00230B1B"/>
    <w:rsid w:val="00230B8A"/>
    <w:rsid w:val="00230BB0"/>
    <w:rsid w:val="00230C20"/>
    <w:rsid w:val="00230C2C"/>
    <w:rsid w:val="00230C33"/>
    <w:rsid w:val="00230D4C"/>
    <w:rsid w:val="00230DE0"/>
    <w:rsid w:val="00230DF9"/>
    <w:rsid w:val="00230E3F"/>
    <w:rsid w:val="00230E6F"/>
    <w:rsid w:val="00230EE5"/>
    <w:rsid w:val="00230EF5"/>
    <w:rsid w:val="00230FB5"/>
    <w:rsid w:val="00230FD9"/>
    <w:rsid w:val="0023102F"/>
    <w:rsid w:val="00231091"/>
    <w:rsid w:val="002310C8"/>
    <w:rsid w:val="0023110B"/>
    <w:rsid w:val="002311E0"/>
    <w:rsid w:val="00231202"/>
    <w:rsid w:val="0023143C"/>
    <w:rsid w:val="0023144B"/>
    <w:rsid w:val="00231450"/>
    <w:rsid w:val="002314C6"/>
    <w:rsid w:val="002314EA"/>
    <w:rsid w:val="00231536"/>
    <w:rsid w:val="00231568"/>
    <w:rsid w:val="002315CE"/>
    <w:rsid w:val="002316CB"/>
    <w:rsid w:val="002317B1"/>
    <w:rsid w:val="002317D7"/>
    <w:rsid w:val="002317FC"/>
    <w:rsid w:val="00231818"/>
    <w:rsid w:val="002318D7"/>
    <w:rsid w:val="002318E0"/>
    <w:rsid w:val="00231A0A"/>
    <w:rsid w:val="00231A49"/>
    <w:rsid w:val="00231A90"/>
    <w:rsid w:val="00231AA7"/>
    <w:rsid w:val="00231AB1"/>
    <w:rsid w:val="00231B18"/>
    <w:rsid w:val="00231C58"/>
    <w:rsid w:val="00231C65"/>
    <w:rsid w:val="00231C81"/>
    <w:rsid w:val="00231CD8"/>
    <w:rsid w:val="00231EE0"/>
    <w:rsid w:val="00231F24"/>
    <w:rsid w:val="002321B2"/>
    <w:rsid w:val="002321B3"/>
    <w:rsid w:val="00232251"/>
    <w:rsid w:val="0023231C"/>
    <w:rsid w:val="00232334"/>
    <w:rsid w:val="0023233F"/>
    <w:rsid w:val="00232394"/>
    <w:rsid w:val="002323FA"/>
    <w:rsid w:val="002324AB"/>
    <w:rsid w:val="0023250C"/>
    <w:rsid w:val="00232527"/>
    <w:rsid w:val="00232572"/>
    <w:rsid w:val="0023257B"/>
    <w:rsid w:val="002325B6"/>
    <w:rsid w:val="00232712"/>
    <w:rsid w:val="0023274B"/>
    <w:rsid w:val="00232760"/>
    <w:rsid w:val="00232777"/>
    <w:rsid w:val="002327D9"/>
    <w:rsid w:val="00232814"/>
    <w:rsid w:val="002328F7"/>
    <w:rsid w:val="00232917"/>
    <w:rsid w:val="00232A24"/>
    <w:rsid w:val="00232A29"/>
    <w:rsid w:val="00232B63"/>
    <w:rsid w:val="00232DF1"/>
    <w:rsid w:val="00232EB5"/>
    <w:rsid w:val="00232ED3"/>
    <w:rsid w:val="00232F33"/>
    <w:rsid w:val="00232F8F"/>
    <w:rsid w:val="00232FB9"/>
    <w:rsid w:val="00233035"/>
    <w:rsid w:val="0023307B"/>
    <w:rsid w:val="00233173"/>
    <w:rsid w:val="0023319F"/>
    <w:rsid w:val="002332F9"/>
    <w:rsid w:val="0023331D"/>
    <w:rsid w:val="00233365"/>
    <w:rsid w:val="0023339D"/>
    <w:rsid w:val="002333BE"/>
    <w:rsid w:val="002333F7"/>
    <w:rsid w:val="00233457"/>
    <w:rsid w:val="002334E7"/>
    <w:rsid w:val="002334FD"/>
    <w:rsid w:val="00233591"/>
    <w:rsid w:val="0023366F"/>
    <w:rsid w:val="00233869"/>
    <w:rsid w:val="002338A4"/>
    <w:rsid w:val="0023396E"/>
    <w:rsid w:val="002339A3"/>
    <w:rsid w:val="002339EE"/>
    <w:rsid w:val="002339F9"/>
    <w:rsid w:val="00233A24"/>
    <w:rsid w:val="00233A25"/>
    <w:rsid w:val="00233A7E"/>
    <w:rsid w:val="00233ADB"/>
    <w:rsid w:val="00233BAA"/>
    <w:rsid w:val="00233C23"/>
    <w:rsid w:val="00233C68"/>
    <w:rsid w:val="00233DDA"/>
    <w:rsid w:val="00233E2B"/>
    <w:rsid w:val="00233F78"/>
    <w:rsid w:val="00233F8C"/>
    <w:rsid w:val="0023402D"/>
    <w:rsid w:val="002340FD"/>
    <w:rsid w:val="0023416B"/>
    <w:rsid w:val="0023416C"/>
    <w:rsid w:val="00234421"/>
    <w:rsid w:val="002345F7"/>
    <w:rsid w:val="00234641"/>
    <w:rsid w:val="002346E6"/>
    <w:rsid w:val="00234754"/>
    <w:rsid w:val="002347AB"/>
    <w:rsid w:val="00234804"/>
    <w:rsid w:val="0023483F"/>
    <w:rsid w:val="00234847"/>
    <w:rsid w:val="002348ED"/>
    <w:rsid w:val="00234929"/>
    <w:rsid w:val="00234B56"/>
    <w:rsid w:val="00234B99"/>
    <w:rsid w:val="00234CC9"/>
    <w:rsid w:val="00234ECD"/>
    <w:rsid w:val="00234ECF"/>
    <w:rsid w:val="00234F21"/>
    <w:rsid w:val="002350F6"/>
    <w:rsid w:val="002351EB"/>
    <w:rsid w:val="00235228"/>
    <w:rsid w:val="002352F5"/>
    <w:rsid w:val="00235445"/>
    <w:rsid w:val="002355DD"/>
    <w:rsid w:val="002355EE"/>
    <w:rsid w:val="0023560F"/>
    <w:rsid w:val="0023561C"/>
    <w:rsid w:val="0023582E"/>
    <w:rsid w:val="00235853"/>
    <w:rsid w:val="00235908"/>
    <w:rsid w:val="00235977"/>
    <w:rsid w:val="002359A3"/>
    <w:rsid w:val="00235AA2"/>
    <w:rsid w:val="00235AE1"/>
    <w:rsid w:val="00235AE3"/>
    <w:rsid w:val="00235B8F"/>
    <w:rsid w:val="00235C22"/>
    <w:rsid w:val="00235C84"/>
    <w:rsid w:val="00235E0A"/>
    <w:rsid w:val="00235E52"/>
    <w:rsid w:val="00235ED9"/>
    <w:rsid w:val="00235F37"/>
    <w:rsid w:val="00235FB8"/>
    <w:rsid w:val="00236077"/>
    <w:rsid w:val="002360E7"/>
    <w:rsid w:val="00236123"/>
    <w:rsid w:val="0023612E"/>
    <w:rsid w:val="00236138"/>
    <w:rsid w:val="002361A0"/>
    <w:rsid w:val="0023622A"/>
    <w:rsid w:val="002362AC"/>
    <w:rsid w:val="002362C2"/>
    <w:rsid w:val="002363AD"/>
    <w:rsid w:val="002365AA"/>
    <w:rsid w:val="002365C6"/>
    <w:rsid w:val="0023660A"/>
    <w:rsid w:val="00236763"/>
    <w:rsid w:val="00236774"/>
    <w:rsid w:val="00236885"/>
    <w:rsid w:val="002368A9"/>
    <w:rsid w:val="002368B1"/>
    <w:rsid w:val="002368EC"/>
    <w:rsid w:val="00236929"/>
    <w:rsid w:val="00236990"/>
    <w:rsid w:val="002369B2"/>
    <w:rsid w:val="00236A26"/>
    <w:rsid w:val="00236A3C"/>
    <w:rsid w:val="00236B05"/>
    <w:rsid w:val="00236B23"/>
    <w:rsid w:val="00236B30"/>
    <w:rsid w:val="00236C1E"/>
    <w:rsid w:val="00236C49"/>
    <w:rsid w:val="00236DD5"/>
    <w:rsid w:val="00236E59"/>
    <w:rsid w:val="00236EAE"/>
    <w:rsid w:val="00236F54"/>
    <w:rsid w:val="00236F5A"/>
    <w:rsid w:val="00236FD1"/>
    <w:rsid w:val="00236FD3"/>
    <w:rsid w:val="00236FE8"/>
    <w:rsid w:val="002371A1"/>
    <w:rsid w:val="00237224"/>
    <w:rsid w:val="00237255"/>
    <w:rsid w:val="002372E0"/>
    <w:rsid w:val="0023740C"/>
    <w:rsid w:val="0023747B"/>
    <w:rsid w:val="0023749E"/>
    <w:rsid w:val="0023749F"/>
    <w:rsid w:val="002374AB"/>
    <w:rsid w:val="00237579"/>
    <w:rsid w:val="002375D0"/>
    <w:rsid w:val="0023761B"/>
    <w:rsid w:val="00237655"/>
    <w:rsid w:val="002376E6"/>
    <w:rsid w:val="00237728"/>
    <w:rsid w:val="00237852"/>
    <w:rsid w:val="00237877"/>
    <w:rsid w:val="00237885"/>
    <w:rsid w:val="0023791F"/>
    <w:rsid w:val="00237A25"/>
    <w:rsid w:val="00237A3B"/>
    <w:rsid w:val="00237A6A"/>
    <w:rsid w:val="00237AA2"/>
    <w:rsid w:val="00237AFB"/>
    <w:rsid w:val="00237B51"/>
    <w:rsid w:val="00237B72"/>
    <w:rsid w:val="00237BAB"/>
    <w:rsid w:val="00237C92"/>
    <w:rsid w:val="00237C9B"/>
    <w:rsid w:val="00237CBC"/>
    <w:rsid w:val="00237D67"/>
    <w:rsid w:val="002400ED"/>
    <w:rsid w:val="00240198"/>
    <w:rsid w:val="002401F1"/>
    <w:rsid w:val="00240225"/>
    <w:rsid w:val="00240234"/>
    <w:rsid w:val="002402A8"/>
    <w:rsid w:val="0024030B"/>
    <w:rsid w:val="002404B6"/>
    <w:rsid w:val="002404E5"/>
    <w:rsid w:val="0024053D"/>
    <w:rsid w:val="002405DE"/>
    <w:rsid w:val="00240942"/>
    <w:rsid w:val="00240953"/>
    <w:rsid w:val="00240970"/>
    <w:rsid w:val="00240A28"/>
    <w:rsid w:val="00240BAE"/>
    <w:rsid w:val="00240C14"/>
    <w:rsid w:val="00240C1F"/>
    <w:rsid w:val="00240CEC"/>
    <w:rsid w:val="00240DB7"/>
    <w:rsid w:val="00240DBE"/>
    <w:rsid w:val="00240ED9"/>
    <w:rsid w:val="00240F0D"/>
    <w:rsid w:val="00240FDB"/>
    <w:rsid w:val="00241081"/>
    <w:rsid w:val="002411A2"/>
    <w:rsid w:val="002411BD"/>
    <w:rsid w:val="002411F4"/>
    <w:rsid w:val="00241212"/>
    <w:rsid w:val="002412DC"/>
    <w:rsid w:val="002412E0"/>
    <w:rsid w:val="002412EA"/>
    <w:rsid w:val="0024131F"/>
    <w:rsid w:val="00241342"/>
    <w:rsid w:val="00241345"/>
    <w:rsid w:val="0024135D"/>
    <w:rsid w:val="002413B7"/>
    <w:rsid w:val="002413EE"/>
    <w:rsid w:val="00241486"/>
    <w:rsid w:val="0024148D"/>
    <w:rsid w:val="00241504"/>
    <w:rsid w:val="00241559"/>
    <w:rsid w:val="002415C6"/>
    <w:rsid w:val="002415E3"/>
    <w:rsid w:val="00241664"/>
    <w:rsid w:val="002419B8"/>
    <w:rsid w:val="00241A5B"/>
    <w:rsid w:val="00241B09"/>
    <w:rsid w:val="00241B43"/>
    <w:rsid w:val="00241B72"/>
    <w:rsid w:val="00241B75"/>
    <w:rsid w:val="00241C1F"/>
    <w:rsid w:val="00241C7B"/>
    <w:rsid w:val="00241D6B"/>
    <w:rsid w:val="00241E68"/>
    <w:rsid w:val="00241EF1"/>
    <w:rsid w:val="00242017"/>
    <w:rsid w:val="00242062"/>
    <w:rsid w:val="00242101"/>
    <w:rsid w:val="00242121"/>
    <w:rsid w:val="00242157"/>
    <w:rsid w:val="002422CD"/>
    <w:rsid w:val="00242314"/>
    <w:rsid w:val="00242344"/>
    <w:rsid w:val="0024234D"/>
    <w:rsid w:val="002423BE"/>
    <w:rsid w:val="002423C2"/>
    <w:rsid w:val="00242572"/>
    <w:rsid w:val="002425EB"/>
    <w:rsid w:val="0024263A"/>
    <w:rsid w:val="0024268D"/>
    <w:rsid w:val="002426AD"/>
    <w:rsid w:val="002426DE"/>
    <w:rsid w:val="0024272F"/>
    <w:rsid w:val="00242747"/>
    <w:rsid w:val="00242881"/>
    <w:rsid w:val="002428A6"/>
    <w:rsid w:val="00242A52"/>
    <w:rsid w:val="00242AD6"/>
    <w:rsid w:val="00242B0A"/>
    <w:rsid w:val="00242B19"/>
    <w:rsid w:val="00242C85"/>
    <w:rsid w:val="00242C8C"/>
    <w:rsid w:val="00242CA2"/>
    <w:rsid w:val="00242D0F"/>
    <w:rsid w:val="00242D1F"/>
    <w:rsid w:val="00242F79"/>
    <w:rsid w:val="00242F88"/>
    <w:rsid w:val="002431D1"/>
    <w:rsid w:val="0024321F"/>
    <w:rsid w:val="00243281"/>
    <w:rsid w:val="002432F3"/>
    <w:rsid w:val="00243337"/>
    <w:rsid w:val="002433E8"/>
    <w:rsid w:val="0024347C"/>
    <w:rsid w:val="002435A9"/>
    <w:rsid w:val="002436DE"/>
    <w:rsid w:val="002436F4"/>
    <w:rsid w:val="00243771"/>
    <w:rsid w:val="0024386B"/>
    <w:rsid w:val="00243924"/>
    <w:rsid w:val="00243A5D"/>
    <w:rsid w:val="00243AD5"/>
    <w:rsid w:val="00243B31"/>
    <w:rsid w:val="00243BB5"/>
    <w:rsid w:val="00243BC5"/>
    <w:rsid w:val="00243C28"/>
    <w:rsid w:val="00243C8E"/>
    <w:rsid w:val="00243D51"/>
    <w:rsid w:val="00243E60"/>
    <w:rsid w:val="00243E84"/>
    <w:rsid w:val="00243E91"/>
    <w:rsid w:val="00243F48"/>
    <w:rsid w:val="00243F4F"/>
    <w:rsid w:val="00243FA1"/>
    <w:rsid w:val="00243FBF"/>
    <w:rsid w:val="002440F3"/>
    <w:rsid w:val="0024414B"/>
    <w:rsid w:val="0024419E"/>
    <w:rsid w:val="002444CC"/>
    <w:rsid w:val="00244597"/>
    <w:rsid w:val="00244684"/>
    <w:rsid w:val="00244714"/>
    <w:rsid w:val="00244790"/>
    <w:rsid w:val="0024485A"/>
    <w:rsid w:val="0024487F"/>
    <w:rsid w:val="002448DB"/>
    <w:rsid w:val="00244A5D"/>
    <w:rsid w:val="00244ACC"/>
    <w:rsid w:val="00244ACF"/>
    <w:rsid w:val="00244B0F"/>
    <w:rsid w:val="00244B44"/>
    <w:rsid w:val="00244C31"/>
    <w:rsid w:val="00244C67"/>
    <w:rsid w:val="00244D7E"/>
    <w:rsid w:val="00244E8E"/>
    <w:rsid w:val="00244F82"/>
    <w:rsid w:val="00244FA9"/>
    <w:rsid w:val="00245022"/>
    <w:rsid w:val="00245072"/>
    <w:rsid w:val="002450D5"/>
    <w:rsid w:val="00245182"/>
    <w:rsid w:val="002451E7"/>
    <w:rsid w:val="002451FE"/>
    <w:rsid w:val="0024523F"/>
    <w:rsid w:val="0024527B"/>
    <w:rsid w:val="0024528F"/>
    <w:rsid w:val="002452B3"/>
    <w:rsid w:val="00245446"/>
    <w:rsid w:val="00245484"/>
    <w:rsid w:val="002454DF"/>
    <w:rsid w:val="002455F3"/>
    <w:rsid w:val="002455F8"/>
    <w:rsid w:val="00245672"/>
    <w:rsid w:val="00245673"/>
    <w:rsid w:val="002456AC"/>
    <w:rsid w:val="00245761"/>
    <w:rsid w:val="00245778"/>
    <w:rsid w:val="002457C8"/>
    <w:rsid w:val="002457FA"/>
    <w:rsid w:val="0024589C"/>
    <w:rsid w:val="002458FD"/>
    <w:rsid w:val="00245903"/>
    <w:rsid w:val="00245A52"/>
    <w:rsid w:val="00245A56"/>
    <w:rsid w:val="00245A5F"/>
    <w:rsid w:val="00245B13"/>
    <w:rsid w:val="00245B32"/>
    <w:rsid w:val="00245BA4"/>
    <w:rsid w:val="00245BBB"/>
    <w:rsid w:val="00245C45"/>
    <w:rsid w:val="00245CBE"/>
    <w:rsid w:val="00245DB5"/>
    <w:rsid w:val="00245DD6"/>
    <w:rsid w:val="00245E4C"/>
    <w:rsid w:val="00245F75"/>
    <w:rsid w:val="002461F9"/>
    <w:rsid w:val="0024625F"/>
    <w:rsid w:val="002462A2"/>
    <w:rsid w:val="0024631A"/>
    <w:rsid w:val="002463B6"/>
    <w:rsid w:val="00246459"/>
    <w:rsid w:val="002464DC"/>
    <w:rsid w:val="00246577"/>
    <w:rsid w:val="00246692"/>
    <w:rsid w:val="00246780"/>
    <w:rsid w:val="002467C1"/>
    <w:rsid w:val="0024697D"/>
    <w:rsid w:val="002469EB"/>
    <w:rsid w:val="00246AE7"/>
    <w:rsid w:val="00246B3B"/>
    <w:rsid w:val="00246B4A"/>
    <w:rsid w:val="00246B96"/>
    <w:rsid w:val="00246BE2"/>
    <w:rsid w:val="00246CDF"/>
    <w:rsid w:val="00246D3C"/>
    <w:rsid w:val="00246D55"/>
    <w:rsid w:val="00246DDC"/>
    <w:rsid w:val="00246E12"/>
    <w:rsid w:val="00246E2A"/>
    <w:rsid w:val="00246F61"/>
    <w:rsid w:val="00246FA8"/>
    <w:rsid w:val="00246FEF"/>
    <w:rsid w:val="002470F1"/>
    <w:rsid w:val="00247121"/>
    <w:rsid w:val="002471B7"/>
    <w:rsid w:val="00247248"/>
    <w:rsid w:val="002472A1"/>
    <w:rsid w:val="0024735F"/>
    <w:rsid w:val="002473BF"/>
    <w:rsid w:val="002473D1"/>
    <w:rsid w:val="00247429"/>
    <w:rsid w:val="002474FA"/>
    <w:rsid w:val="0024759A"/>
    <w:rsid w:val="002475A2"/>
    <w:rsid w:val="0024763D"/>
    <w:rsid w:val="00247760"/>
    <w:rsid w:val="002477F3"/>
    <w:rsid w:val="00247896"/>
    <w:rsid w:val="0024796B"/>
    <w:rsid w:val="00247A18"/>
    <w:rsid w:val="00247A31"/>
    <w:rsid w:val="00247A80"/>
    <w:rsid w:val="00247AA9"/>
    <w:rsid w:val="00247B37"/>
    <w:rsid w:val="00247B78"/>
    <w:rsid w:val="00247B91"/>
    <w:rsid w:val="00247BF1"/>
    <w:rsid w:val="00247C7F"/>
    <w:rsid w:val="00247C8C"/>
    <w:rsid w:val="00247D96"/>
    <w:rsid w:val="00247DCA"/>
    <w:rsid w:val="00247DE5"/>
    <w:rsid w:val="00247F11"/>
    <w:rsid w:val="00247F24"/>
    <w:rsid w:val="00247FB9"/>
    <w:rsid w:val="0025008A"/>
    <w:rsid w:val="002500A6"/>
    <w:rsid w:val="0025010B"/>
    <w:rsid w:val="00250166"/>
    <w:rsid w:val="002501AA"/>
    <w:rsid w:val="002501D9"/>
    <w:rsid w:val="00250202"/>
    <w:rsid w:val="00250253"/>
    <w:rsid w:val="002502AD"/>
    <w:rsid w:val="002502C7"/>
    <w:rsid w:val="002503BA"/>
    <w:rsid w:val="00250436"/>
    <w:rsid w:val="00250438"/>
    <w:rsid w:val="002505E5"/>
    <w:rsid w:val="002506B2"/>
    <w:rsid w:val="002506DF"/>
    <w:rsid w:val="002506EA"/>
    <w:rsid w:val="002506FE"/>
    <w:rsid w:val="0025070C"/>
    <w:rsid w:val="00250716"/>
    <w:rsid w:val="00250735"/>
    <w:rsid w:val="002507BF"/>
    <w:rsid w:val="00250805"/>
    <w:rsid w:val="00250984"/>
    <w:rsid w:val="00250B8C"/>
    <w:rsid w:val="00250C4D"/>
    <w:rsid w:val="00250F93"/>
    <w:rsid w:val="002510AE"/>
    <w:rsid w:val="0025112A"/>
    <w:rsid w:val="00251156"/>
    <w:rsid w:val="002512B5"/>
    <w:rsid w:val="0025131B"/>
    <w:rsid w:val="00251331"/>
    <w:rsid w:val="0025133C"/>
    <w:rsid w:val="002513E4"/>
    <w:rsid w:val="002513F3"/>
    <w:rsid w:val="0025142B"/>
    <w:rsid w:val="002514B1"/>
    <w:rsid w:val="002514D4"/>
    <w:rsid w:val="0025150A"/>
    <w:rsid w:val="0025158C"/>
    <w:rsid w:val="00251671"/>
    <w:rsid w:val="00251678"/>
    <w:rsid w:val="002516AD"/>
    <w:rsid w:val="002516F4"/>
    <w:rsid w:val="0025174D"/>
    <w:rsid w:val="00251814"/>
    <w:rsid w:val="00251863"/>
    <w:rsid w:val="00251934"/>
    <w:rsid w:val="002519E5"/>
    <w:rsid w:val="00251B48"/>
    <w:rsid w:val="00251B69"/>
    <w:rsid w:val="00251C31"/>
    <w:rsid w:val="00251C83"/>
    <w:rsid w:val="00251CC7"/>
    <w:rsid w:val="00251D29"/>
    <w:rsid w:val="00251D34"/>
    <w:rsid w:val="00251D59"/>
    <w:rsid w:val="00251E20"/>
    <w:rsid w:val="00251F1C"/>
    <w:rsid w:val="00252063"/>
    <w:rsid w:val="00252112"/>
    <w:rsid w:val="002521E9"/>
    <w:rsid w:val="002521FE"/>
    <w:rsid w:val="00252217"/>
    <w:rsid w:val="0025230E"/>
    <w:rsid w:val="002523E3"/>
    <w:rsid w:val="002523FD"/>
    <w:rsid w:val="00252490"/>
    <w:rsid w:val="002524E6"/>
    <w:rsid w:val="002524E9"/>
    <w:rsid w:val="002525E3"/>
    <w:rsid w:val="0025262C"/>
    <w:rsid w:val="0025265F"/>
    <w:rsid w:val="00252872"/>
    <w:rsid w:val="00252900"/>
    <w:rsid w:val="002529D7"/>
    <w:rsid w:val="00252A7E"/>
    <w:rsid w:val="00252AA9"/>
    <w:rsid w:val="00252AE5"/>
    <w:rsid w:val="00252C67"/>
    <w:rsid w:val="00252C8A"/>
    <w:rsid w:val="00252CA7"/>
    <w:rsid w:val="00252DD1"/>
    <w:rsid w:val="00252DFF"/>
    <w:rsid w:val="00252E0D"/>
    <w:rsid w:val="00252E0E"/>
    <w:rsid w:val="00252E73"/>
    <w:rsid w:val="0025300E"/>
    <w:rsid w:val="00253163"/>
    <w:rsid w:val="0025323D"/>
    <w:rsid w:val="002534CD"/>
    <w:rsid w:val="0025356B"/>
    <w:rsid w:val="00253579"/>
    <w:rsid w:val="00253587"/>
    <w:rsid w:val="0025358F"/>
    <w:rsid w:val="0025361E"/>
    <w:rsid w:val="00253632"/>
    <w:rsid w:val="00253892"/>
    <w:rsid w:val="002538B8"/>
    <w:rsid w:val="002538E1"/>
    <w:rsid w:val="0025396C"/>
    <w:rsid w:val="00253998"/>
    <w:rsid w:val="002539B3"/>
    <w:rsid w:val="00253A02"/>
    <w:rsid w:val="00253ABB"/>
    <w:rsid w:val="00253B2B"/>
    <w:rsid w:val="00253B32"/>
    <w:rsid w:val="00253C9F"/>
    <w:rsid w:val="00253CAB"/>
    <w:rsid w:val="00253D10"/>
    <w:rsid w:val="00253DFB"/>
    <w:rsid w:val="00253F78"/>
    <w:rsid w:val="00253F82"/>
    <w:rsid w:val="0025406A"/>
    <w:rsid w:val="002540D8"/>
    <w:rsid w:val="00254152"/>
    <w:rsid w:val="00254240"/>
    <w:rsid w:val="0025429C"/>
    <w:rsid w:val="0025439E"/>
    <w:rsid w:val="00254411"/>
    <w:rsid w:val="0025442E"/>
    <w:rsid w:val="002544EB"/>
    <w:rsid w:val="00254518"/>
    <w:rsid w:val="0025458B"/>
    <w:rsid w:val="002546A8"/>
    <w:rsid w:val="002547B0"/>
    <w:rsid w:val="00254815"/>
    <w:rsid w:val="00254870"/>
    <w:rsid w:val="0025487C"/>
    <w:rsid w:val="002548CF"/>
    <w:rsid w:val="00254994"/>
    <w:rsid w:val="002549B9"/>
    <w:rsid w:val="002549BA"/>
    <w:rsid w:val="002549DC"/>
    <w:rsid w:val="002549DE"/>
    <w:rsid w:val="00254A06"/>
    <w:rsid w:val="00254B36"/>
    <w:rsid w:val="00254BE9"/>
    <w:rsid w:val="00254CB0"/>
    <w:rsid w:val="00254D39"/>
    <w:rsid w:val="00254DE6"/>
    <w:rsid w:val="00254E0E"/>
    <w:rsid w:val="00254EE3"/>
    <w:rsid w:val="0025508D"/>
    <w:rsid w:val="002550DB"/>
    <w:rsid w:val="002550EC"/>
    <w:rsid w:val="0025511F"/>
    <w:rsid w:val="00255196"/>
    <w:rsid w:val="002551E1"/>
    <w:rsid w:val="00255288"/>
    <w:rsid w:val="00255296"/>
    <w:rsid w:val="00255337"/>
    <w:rsid w:val="002553FD"/>
    <w:rsid w:val="002554E9"/>
    <w:rsid w:val="00255519"/>
    <w:rsid w:val="00255530"/>
    <w:rsid w:val="00255533"/>
    <w:rsid w:val="0025553F"/>
    <w:rsid w:val="00255622"/>
    <w:rsid w:val="002557B0"/>
    <w:rsid w:val="002557D0"/>
    <w:rsid w:val="00255809"/>
    <w:rsid w:val="0025585D"/>
    <w:rsid w:val="00255864"/>
    <w:rsid w:val="00255970"/>
    <w:rsid w:val="002559A4"/>
    <w:rsid w:val="00255A60"/>
    <w:rsid w:val="00255A8C"/>
    <w:rsid w:val="00255A99"/>
    <w:rsid w:val="00255ADE"/>
    <w:rsid w:val="00255B91"/>
    <w:rsid w:val="00255C0B"/>
    <w:rsid w:val="00255EBF"/>
    <w:rsid w:val="00255EE9"/>
    <w:rsid w:val="00255F7B"/>
    <w:rsid w:val="00255FE9"/>
    <w:rsid w:val="0025602F"/>
    <w:rsid w:val="0025608D"/>
    <w:rsid w:val="002560BA"/>
    <w:rsid w:val="0025613F"/>
    <w:rsid w:val="002561B2"/>
    <w:rsid w:val="0025633D"/>
    <w:rsid w:val="002563A8"/>
    <w:rsid w:val="00256477"/>
    <w:rsid w:val="00256539"/>
    <w:rsid w:val="00256554"/>
    <w:rsid w:val="002565A1"/>
    <w:rsid w:val="0025677B"/>
    <w:rsid w:val="002567AF"/>
    <w:rsid w:val="002567D2"/>
    <w:rsid w:val="002567D8"/>
    <w:rsid w:val="00256824"/>
    <w:rsid w:val="0025683D"/>
    <w:rsid w:val="00256905"/>
    <w:rsid w:val="002569E1"/>
    <w:rsid w:val="00256A10"/>
    <w:rsid w:val="00256A93"/>
    <w:rsid w:val="00256C53"/>
    <w:rsid w:val="00256D83"/>
    <w:rsid w:val="00256D8D"/>
    <w:rsid w:val="00256E35"/>
    <w:rsid w:val="00256EC5"/>
    <w:rsid w:val="00256ED2"/>
    <w:rsid w:val="00256F3F"/>
    <w:rsid w:val="00256FCA"/>
    <w:rsid w:val="00257019"/>
    <w:rsid w:val="00257029"/>
    <w:rsid w:val="0025708D"/>
    <w:rsid w:val="002571D9"/>
    <w:rsid w:val="0025720C"/>
    <w:rsid w:val="002572A7"/>
    <w:rsid w:val="002572E6"/>
    <w:rsid w:val="0025730B"/>
    <w:rsid w:val="00257464"/>
    <w:rsid w:val="0025760A"/>
    <w:rsid w:val="0025761F"/>
    <w:rsid w:val="002577B4"/>
    <w:rsid w:val="002577CE"/>
    <w:rsid w:val="0025782C"/>
    <w:rsid w:val="0025784F"/>
    <w:rsid w:val="0025788C"/>
    <w:rsid w:val="002579EA"/>
    <w:rsid w:val="002579F9"/>
    <w:rsid w:val="00257B45"/>
    <w:rsid w:val="00257D4E"/>
    <w:rsid w:val="00257D64"/>
    <w:rsid w:val="00257E6E"/>
    <w:rsid w:val="00257E98"/>
    <w:rsid w:val="00257F64"/>
    <w:rsid w:val="00257F65"/>
    <w:rsid w:val="00257F8F"/>
    <w:rsid w:val="0026020D"/>
    <w:rsid w:val="00260216"/>
    <w:rsid w:val="0026038B"/>
    <w:rsid w:val="00260469"/>
    <w:rsid w:val="0026048B"/>
    <w:rsid w:val="002605B3"/>
    <w:rsid w:val="0026063F"/>
    <w:rsid w:val="0026064D"/>
    <w:rsid w:val="002606F8"/>
    <w:rsid w:val="002607A1"/>
    <w:rsid w:val="002607BB"/>
    <w:rsid w:val="00260845"/>
    <w:rsid w:val="002608B2"/>
    <w:rsid w:val="00260B45"/>
    <w:rsid w:val="00260C87"/>
    <w:rsid w:val="00260D08"/>
    <w:rsid w:val="00260DA5"/>
    <w:rsid w:val="00260DD7"/>
    <w:rsid w:val="00260EA4"/>
    <w:rsid w:val="00260EB9"/>
    <w:rsid w:val="00260ECA"/>
    <w:rsid w:val="00260ED3"/>
    <w:rsid w:val="00260F91"/>
    <w:rsid w:val="002610E1"/>
    <w:rsid w:val="002611A7"/>
    <w:rsid w:val="002612C9"/>
    <w:rsid w:val="002612E3"/>
    <w:rsid w:val="002612FF"/>
    <w:rsid w:val="0026130A"/>
    <w:rsid w:val="0026132B"/>
    <w:rsid w:val="00261364"/>
    <w:rsid w:val="002613A0"/>
    <w:rsid w:val="00261528"/>
    <w:rsid w:val="00261549"/>
    <w:rsid w:val="0026154C"/>
    <w:rsid w:val="00261679"/>
    <w:rsid w:val="0026167F"/>
    <w:rsid w:val="00261711"/>
    <w:rsid w:val="0026174A"/>
    <w:rsid w:val="0026176C"/>
    <w:rsid w:val="002618DA"/>
    <w:rsid w:val="002618E3"/>
    <w:rsid w:val="002619F4"/>
    <w:rsid w:val="00261A56"/>
    <w:rsid w:val="00261A7D"/>
    <w:rsid w:val="00261AF0"/>
    <w:rsid w:val="00261B65"/>
    <w:rsid w:val="00261B88"/>
    <w:rsid w:val="00261BBF"/>
    <w:rsid w:val="00261CBA"/>
    <w:rsid w:val="00261D86"/>
    <w:rsid w:val="00261D98"/>
    <w:rsid w:val="00261DB4"/>
    <w:rsid w:val="00261DDC"/>
    <w:rsid w:val="00261EB4"/>
    <w:rsid w:val="00262062"/>
    <w:rsid w:val="002621AB"/>
    <w:rsid w:val="00262254"/>
    <w:rsid w:val="0026228E"/>
    <w:rsid w:val="0026239B"/>
    <w:rsid w:val="0026239F"/>
    <w:rsid w:val="002623F6"/>
    <w:rsid w:val="0026246D"/>
    <w:rsid w:val="00262495"/>
    <w:rsid w:val="002624B6"/>
    <w:rsid w:val="00262523"/>
    <w:rsid w:val="002629CB"/>
    <w:rsid w:val="002629DE"/>
    <w:rsid w:val="00262AC0"/>
    <w:rsid w:val="00262AD1"/>
    <w:rsid w:val="00262AF7"/>
    <w:rsid w:val="00262B33"/>
    <w:rsid w:val="00262B54"/>
    <w:rsid w:val="00262C03"/>
    <w:rsid w:val="00262C0B"/>
    <w:rsid w:val="00262C5B"/>
    <w:rsid w:val="00262D4D"/>
    <w:rsid w:val="00262D86"/>
    <w:rsid w:val="00262DE8"/>
    <w:rsid w:val="00262E01"/>
    <w:rsid w:val="00262E3B"/>
    <w:rsid w:val="00262ED4"/>
    <w:rsid w:val="00262EEE"/>
    <w:rsid w:val="00262FE2"/>
    <w:rsid w:val="0026307F"/>
    <w:rsid w:val="002630C9"/>
    <w:rsid w:val="002631EF"/>
    <w:rsid w:val="0026325E"/>
    <w:rsid w:val="002632AE"/>
    <w:rsid w:val="00263461"/>
    <w:rsid w:val="002635E5"/>
    <w:rsid w:val="002636E4"/>
    <w:rsid w:val="002639C8"/>
    <w:rsid w:val="00263A0A"/>
    <w:rsid w:val="00263A2B"/>
    <w:rsid w:val="00263B6F"/>
    <w:rsid w:val="00263B9F"/>
    <w:rsid w:val="00263C6C"/>
    <w:rsid w:val="00263D41"/>
    <w:rsid w:val="00263D94"/>
    <w:rsid w:val="00263DB0"/>
    <w:rsid w:val="00263E1B"/>
    <w:rsid w:val="00263FE1"/>
    <w:rsid w:val="0026408D"/>
    <w:rsid w:val="00264102"/>
    <w:rsid w:val="0026412C"/>
    <w:rsid w:val="002642AE"/>
    <w:rsid w:val="002642AF"/>
    <w:rsid w:val="002642F6"/>
    <w:rsid w:val="00264402"/>
    <w:rsid w:val="002644FC"/>
    <w:rsid w:val="00264522"/>
    <w:rsid w:val="00264592"/>
    <w:rsid w:val="002645D7"/>
    <w:rsid w:val="00264612"/>
    <w:rsid w:val="002646F1"/>
    <w:rsid w:val="00264740"/>
    <w:rsid w:val="0026476D"/>
    <w:rsid w:val="00264834"/>
    <w:rsid w:val="002648B2"/>
    <w:rsid w:val="002648D1"/>
    <w:rsid w:val="0026495A"/>
    <w:rsid w:val="00264A34"/>
    <w:rsid w:val="00264A7C"/>
    <w:rsid w:val="00264AD4"/>
    <w:rsid w:val="00264B8E"/>
    <w:rsid w:val="00264BEC"/>
    <w:rsid w:val="00264C4B"/>
    <w:rsid w:val="00264CF1"/>
    <w:rsid w:val="00264F33"/>
    <w:rsid w:val="00264F9A"/>
    <w:rsid w:val="00264FB9"/>
    <w:rsid w:val="00264FC3"/>
    <w:rsid w:val="00265046"/>
    <w:rsid w:val="00265047"/>
    <w:rsid w:val="0026505B"/>
    <w:rsid w:val="002650B8"/>
    <w:rsid w:val="002650E8"/>
    <w:rsid w:val="00265110"/>
    <w:rsid w:val="00265146"/>
    <w:rsid w:val="002651BB"/>
    <w:rsid w:val="0026521F"/>
    <w:rsid w:val="00265224"/>
    <w:rsid w:val="0026530E"/>
    <w:rsid w:val="00265322"/>
    <w:rsid w:val="0026543C"/>
    <w:rsid w:val="002654CB"/>
    <w:rsid w:val="002654E3"/>
    <w:rsid w:val="002654E8"/>
    <w:rsid w:val="002654EC"/>
    <w:rsid w:val="00265597"/>
    <w:rsid w:val="002655C9"/>
    <w:rsid w:val="00265736"/>
    <w:rsid w:val="00265759"/>
    <w:rsid w:val="002658E4"/>
    <w:rsid w:val="002658EA"/>
    <w:rsid w:val="00265D08"/>
    <w:rsid w:val="00265E0A"/>
    <w:rsid w:val="00265FE4"/>
    <w:rsid w:val="00265FF8"/>
    <w:rsid w:val="00266021"/>
    <w:rsid w:val="0026605C"/>
    <w:rsid w:val="00266061"/>
    <w:rsid w:val="002660F1"/>
    <w:rsid w:val="00266127"/>
    <w:rsid w:val="00266175"/>
    <w:rsid w:val="0026619F"/>
    <w:rsid w:val="0026620C"/>
    <w:rsid w:val="0026633D"/>
    <w:rsid w:val="002664D8"/>
    <w:rsid w:val="002664F1"/>
    <w:rsid w:val="0026658A"/>
    <w:rsid w:val="00266596"/>
    <w:rsid w:val="002665E4"/>
    <w:rsid w:val="0026660A"/>
    <w:rsid w:val="002666CF"/>
    <w:rsid w:val="00266734"/>
    <w:rsid w:val="002667D6"/>
    <w:rsid w:val="0026682B"/>
    <w:rsid w:val="00266897"/>
    <w:rsid w:val="002668AD"/>
    <w:rsid w:val="00266911"/>
    <w:rsid w:val="002669D1"/>
    <w:rsid w:val="00266A31"/>
    <w:rsid w:val="00266A88"/>
    <w:rsid w:val="00266AEC"/>
    <w:rsid w:val="00266B8E"/>
    <w:rsid w:val="00266B91"/>
    <w:rsid w:val="00266BA9"/>
    <w:rsid w:val="00266BCE"/>
    <w:rsid w:val="00266D09"/>
    <w:rsid w:val="00266D58"/>
    <w:rsid w:val="00266DB9"/>
    <w:rsid w:val="00266E02"/>
    <w:rsid w:val="00266E8C"/>
    <w:rsid w:val="00266F0F"/>
    <w:rsid w:val="00266F30"/>
    <w:rsid w:val="00266F8C"/>
    <w:rsid w:val="00267000"/>
    <w:rsid w:val="0026707C"/>
    <w:rsid w:val="002670D0"/>
    <w:rsid w:val="00267170"/>
    <w:rsid w:val="0026724E"/>
    <w:rsid w:val="00267289"/>
    <w:rsid w:val="002673A7"/>
    <w:rsid w:val="002673D1"/>
    <w:rsid w:val="00267496"/>
    <w:rsid w:val="002674F5"/>
    <w:rsid w:val="002675F7"/>
    <w:rsid w:val="002677A4"/>
    <w:rsid w:val="00267880"/>
    <w:rsid w:val="00267886"/>
    <w:rsid w:val="0026789F"/>
    <w:rsid w:val="00267957"/>
    <w:rsid w:val="00267961"/>
    <w:rsid w:val="00267A14"/>
    <w:rsid w:val="00267A30"/>
    <w:rsid w:val="00267AE6"/>
    <w:rsid w:val="00267C57"/>
    <w:rsid w:val="00267C78"/>
    <w:rsid w:val="00267D24"/>
    <w:rsid w:val="00267D51"/>
    <w:rsid w:val="00267D9E"/>
    <w:rsid w:val="00267E0B"/>
    <w:rsid w:val="00267F6F"/>
    <w:rsid w:val="00267FAE"/>
    <w:rsid w:val="002700F4"/>
    <w:rsid w:val="00270118"/>
    <w:rsid w:val="00270142"/>
    <w:rsid w:val="002701A8"/>
    <w:rsid w:val="00270242"/>
    <w:rsid w:val="002702FD"/>
    <w:rsid w:val="002703DF"/>
    <w:rsid w:val="002703EC"/>
    <w:rsid w:val="0027043E"/>
    <w:rsid w:val="00270470"/>
    <w:rsid w:val="00270494"/>
    <w:rsid w:val="0027068D"/>
    <w:rsid w:val="002706FA"/>
    <w:rsid w:val="00270961"/>
    <w:rsid w:val="00270983"/>
    <w:rsid w:val="002709D7"/>
    <w:rsid w:val="00270A19"/>
    <w:rsid w:val="00270A94"/>
    <w:rsid w:val="00270B29"/>
    <w:rsid w:val="00270C19"/>
    <w:rsid w:val="00270C63"/>
    <w:rsid w:val="00270D86"/>
    <w:rsid w:val="00270F26"/>
    <w:rsid w:val="00271083"/>
    <w:rsid w:val="00271201"/>
    <w:rsid w:val="002713A1"/>
    <w:rsid w:val="0027141F"/>
    <w:rsid w:val="0027142C"/>
    <w:rsid w:val="00271452"/>
    <w:rsid w:val="0027149A"/>
    <w:rsid w:val="002714E5"/>
    <w:rsid w:val="002715D6"/>
    <w:rsid w:val="0027167A"/>
    <w:rsid w:val="00271771"/>
    <w:rsid w:val="002717D1"/>
    <w:rsid w:val="0027180A"/>
    <w:rsid w:val="00271838"/>
    <w:rsid w:val="00271881"/>
    <w:rsid w:val="0027198C"/>
    <w:rsid w:val="002719C1"/>
    <w:rsid w:val="00271A33"/>
    <w:rsid w:val="00271AC4"/>
    <w:rsid w:val="00271ACD"/>
    <w:rsid w:val="00271B6E"/>
    <w:rsid w:val="00271B72"/>
    <w:rsid w:val="00271B9E"/>
    <w:rsid w:val="00271BE0"/>
    <w:rsid w:val="00271C02"/>
    <w:rsid w:val="00271DE2"/>
    <w:rsid w:val="00271DF4"/>
    <w:rsid w:val="00271E65"/>
    <w:rsid w:val="00271F3B"/>
    <w:rsid w:val="00271F51"/>
    <w:rsid w:val="00271FC3"/>
    <w:rsid w:val="0027204C"/>
    <w:rsid w:val="00272057"/>
    <w:rsid w:val="00272185"/>
    <w:rsid w:val="00272196"/>
    <w:rsid w:val="0027222B"/>
    <w:rsid w:val="00272244"/>
    <w:rsid w:val="00272269"/>
    <w:rsid w:val="00272335"/>
    <w:rsid w:val="002723AC"/>
    <w:rsid w:val="002723E0"/>
    <w:rsid w:val="002724B4"/>
    <w:rsid w:val="00272579"/>
    <w:rsid w:val="00272586"/>
    <w:rsid w:val="0027265F"/>
    <w:rsid w:val="002726CA"/>
    <w:rsid w:val="002726E0"/>
    <w:rsid w:val="00272702"/>
    <w:rsid w:val="00272783"/>
    <w:rsid w:val="002727D9"/>
    <w:rsid w:val="002727DF"/>
    <w:rsid w:val="00272853"/>
    <w:rsid w:val="0027297B"/>
    <w:rsid w:val="00272999"/>
    <w:rsid w:val="002729C6"/>
    <w:rsid w:val="002729DF"/>
    <w:rsid w:val="00272A4C"/>
    <w:rsid w:val="00272A4E"/>
    <w:rsid w:val="00272B17"/>
    <w:rsid w:val="00272B91"/>
    <w:rsid w:val="00272D0B"/>
    <w:rsid w:val="00272D23"/>
    <w:rsid w:val="00272E4E"/>
    <w:rsid w:val="00272EC6"/>
    <w:rsid w:val="00272ED9"/>
    <w:rsid w:val="002730E4"/>
    <w:rsid w:val="00273108"/>
    <w:rsid w:val="0027319B"/>
    <w:rsid w:val="00273208"/>
    <w:rsid w:val="002732BA"/>
    <w:rsid w:val="00273313"/>
    <w:rsid w:val="00273380"/>
    <w:rsid w:val="0027341A"/>
    <w:rsid w:val="00273443"/>
    <w:rsid w:val="00273558"/>
    <w:rsid w:val="0027357D"/>
    <w:rsid w:val="00273794"/>
    <w:rsid w:val="002737CA"/>
    <w:rsid w:val="002737D1"/>
    <w:rsid w:val="002738FE"/>
    <w:rsid w:val="00273993"/>
    <w:rsid w:val="00273A50"/>
    <w:rsid w:val="00273AAC"/>
    <w:rsid w:val="00273B17"/>
    <w:rsid w:val="00273B8E"/>
    <w:rsid w:val="00273C25"/>
    <w:rsid w:val="00273C51"/>
    <w:rsid w:val="00273C7D"/>
    <w:rsid w:val="00273D15"/>
    <w:rsid w:val="00273D16"/>
    <w:rsid w:val="00273E06"/>
    <w:rsid w:val="00273E1A"/>
    <w:rsid w:val="00273E59"/>
    <w:rsid w:val="00273EDE"/>
    <w:rsid w:val="00273F3D"/>
    <w:rsid w:val="00273F3F"/>
    <w:rsid w:val="00274102"/>
    <w:rsid w:val="002741BF"/>
    <w:rsid w:val="002742B0"/>
    <w:rsid w:val="002743D1"/>
    <w:rsid w:val="002743E9"/>
    <w:rsid w:val="002744D1"/>
    <w:rsid w:val="00274525"/>
    <w:rsid w:val="0027453C"/>
    <w:rsid w:val="0027466A"/>
    <w:rsid w:val="0027475B"/>
    <w:rsid w:val="00274785"/>
    <w:rsid w:val="002747CA"/>
    <w:rsid w:val="0027489B"/>
    <w:rsid w:val="002748A4"/>
    <w:rsid w:val="002748E7"/>
    <w:rsid w:val="0027494A"/>
    <w:rsid w:val="00274976"/>
    <w:rsid w:val="00274994"/>
    <w:rsid w:val="002749BC"/>
    <w:rsid w:val="002749D0"/>
    <w:rsid w:val="00274C04"/>
    <w:rsid w:val="00274C89"/>
    <w:rsid w:val="00274D88"/>
    <w:rsid w:val="00274E92"/>
    <w:rsid w:val="00274EFF"/>
    <w:rsid w:val="00274F38"/>
    <w:rsid w:val="00274F47"/>
    <w:rsid w:val="00275152"/>
    <w:rsid w:val="00275212"/>
    <w:rsid w:val="00275230"/>
    <w:rsid w:val="00275286"/>
    <w:rsid w:val="002752B8"/>
    <w:rsid w:val="00275310"/>
    <w:rsid w:val="0027532A"/>
    <w:rsid w:val="0027533F"/>
    <w:rsid w:val="00275377"/>
    <w:rsid w:val="00275652"/>
    <w:rsid w:val="0027565B"/>
    <w:rsid w:val="0027566E"/>
    <w:rsid w:val="00275717"/>
    <w:rsid w:val="00275754"/>
    <w:rsid w:val="0027585E"/>
    <w:rsid w:val="00275885"/>
    <w:rsid w:val="00275897"/>
    <w:rsid w:val="002758DA"/>
    <w:rsid w:val="0027594A"/>
    <w:rsid w:val="002759C9"/>
    <w:rsid w:val="00275AA4"/>
    <w:rsid w:val="00275BA0"/>
    <w:rsid w:val="00275BEE"/>
    <w:rsid w:val="00275C09"/>
    <w:rsid w:val="00275C12"/>
    <w:rsid w:val="00275C13"/>
    <w:rsid w:val="00275E09"/>
    <w:rsid w:val="00275EDA"/>
    <w:rsid w:val="00275F3D"/>
    <w:rsid w:val="00275FBC"/>
    <w:rsid w:val="00275FCD"/>
    <w:rsid w:val="00276127"/>
    <w:rsid w:val="0027613C"/>
    <w:rsid w:val="002761BC"/>
    <w:rsid w:val="002762CC"/>
    <w:rsid w:val="002762E6"/>
    <w:rsid w:val="0027630D"/>
    <w:rsid w:val="0027634A"/>
    <w:rsid w:val="0027635E"/>
    <w:rsid w:val="002764A0"/>
    <w:rsid w:val="002764A8"/>
    <w:rsid w:val="00276538"/>
    <w:rsid w:val="002765A8"/>
    <w:rsid w:val="00276673"/>
    <w:rsid w:val="002766B5"/>
    <w:rsid w:val="002767F7"/>
    <w:rsid w:val="0027684A"/>
    <w:rsid w:val="002768BB"/>
    <w:rsid w:val="00276927"/>
    <w:rsid w:val="00276937"/>
    <w:rsid w:val="00276AE9"/>
    <w:rsid w:val="00276BE4"/>
    <w:rsid w:val="00276CAC"/>
    <w:rsid w:val="00276CD2"/>
    <w:rsid w:val="00276CDF"/>
    <w:rsid w:val="00276D5B"/>
    <w:rsid w:val="00276E4E"/>
    <w:rsid w:val="00276F09"/>
    <w:rsid w:val="00276F86"/>
    <w:rsid w:val="0027700F"/>
    <w:rsid w:val="00277014"/>
    <w:rsid w:val="002770F3"/>
    <w:rsid w:val="002770FB"/>
    <w:rsid w:val="00277135"/>
    <w:rsid w:val="00277180"/>
    <w:rsid w:val="00277216"/>
    <w:rsid w:val="00277223"/>
    <w:rsid w:val="0027732F"/>
    <w:rsid w:val="002774A0"/>
    <w:rsid w:val="002775AB"/>
    <w:rsid w:val="002776E4"/>
    <w:rsid w:val="00277767"/>
    <w:rsid w:val="0027776E"/>
    <w:rsid w:val="0027778E"/>
    <w:rsid w:val="002778C3"/>
    <w:rsid w:val="00277A2D"/>
    <w:rsid w:val="00277A58"/>
    <w:rsid w:val="00277B00"/>
    <w:rsid w:val="00277B4E"/>
    <w:rsid w:val="00277B6A"/>
    <w:rsid w:val="00277BAE"/>
    <w:rsid w:val="00277E4E"/>
    <w:rsid w:val="00277EFF"/>
    <w:rsid w:val="00277F14"/>
    <w:rsid w:val="00277F4D"/>
    <w:rsid w:val="00277F96"/>
    <w:rsid w:val="0028005A"/>
    <w:rsid w:val="00280078"/>
    <w:rsid w:val="0028007B"/>
    <w:rsid w:val="00280100"/>
    <w:rsid w:val="00280184"/>
    <w:rsid w:val="00280290"/>
    <w:rsid w:val="0028030D"/>
    <w:rsid w:val="00280356"/>
    <w:rsid w:val="0028040B"/>
    <w:rsid w:val="00280462"/>
    <w:rsid w:val="002805B8"/>
    <w:rsid w:val="00280674"/>
    <w:rsid w:val="0028074A"/>
    <w:rsid w:val="00280756"/>
    <w:rsid w:val="002807C4"/>
    <w:rsid w:val="002807CF"/>
    <w:rsid w:val="00280C55"/>
    <w:rsid w:val="00280C99"/>
    <w:rsid w:val="00280D15"/>
    <w:rsid w:val="00280D8A"/>
    <w:rsid w:val="00280DF3"/>
    <w:rsid w:val="00280E1E"/>
    <w:rsid w:val="00280E64"/>
    <w:rsid w:val="00280E87"/>
    <w:rsid w:val="00280F0F"/>
    <w:rsid w:val="00281036"/>
    <w:rsid w:val="002810BA"/>
    <w:rsid w:val="0028117A"/>
    <w:rsid w:val="00281329"/>
    <w:rsid w:val="002813F3"/>
    <w:rsid w:val="0028141E"/>
    <w:rsid w:val="00281447"/>
    <w:rsid w:val="0028147D"/>
    <w:rsid w:val="00281483"/>
    <w:rsid w:val="00281495"/>
    <w:rsid w:val="00281497"/>
    <w:rsid w:val="002815BC"/>
    <w:rsid w:val="00281687"/>
    <w:rsid w:val="00281795"/>
    <w:rsid w:val="002817FE"/>
    <w:rsid w:val="002818A0"/>
    <w:rsid w:val="002818E4"/>
    <w:rsid w:val="00281A49"/>
    <w:rsid w:val="00281B5B"/>
    <w:rsid w:val="00281C64"/>
    <w:rsid w:val="00281C98"/>
    <w:rsid w:val="00281E49"/>
    <w:rsid w:val="00281E90"/>
    <w:rsid w:val="00281FA0"/>
    <w:rsid w:val="00282003"/>
    <w:rsid w:val="00282077"/>
    <w:rsid w:val="00282096"/>
    <w:rsid w:val="00282131"/>
    <w:rsid w:val="002821DC"/>
    <w:rsid w:val="00282220"/>
    <w:rsid w:val="0028223D"/>
    <w:rsid w:val="00282311"/>
    <w:rsid w:val="0028233F"/>
    <w:rsid w:val="0028234D"/>
    <w:rsid w:val="00282388"/>
    <w:rsid w:val="002823C0"/>
    <w:rsid w:val="00282401"/>
    <w:rsid w:val="00282511"/>
    <w:rsid w:val="002825AB"/>
    <w:rsid w:val="002825E9"/>
    <w:rsid w:val="002825F5"/>
    <w:rsid w:val="0028271A"/>
    <w:rsid w:val="00282790"/>
    <w:rsid w:val="0028282D"/>
    <w:rsid w:val="00282902"/>
    <w:rsid w:val="00282971"/>
    <w:rsid w:val="002829B7"/>
    <w:rsid w:val="002829D0"/>
    <w:rsid w:val="00282AB9"/>
    <w:rsid w:val="00282C9B"/>
    <w:rsid w:val="00282D00"/>
    <w:rsid w:val="00282D58"/>
    <w:rsid w:val="00282D5A"/>
    <w:rsid w:val="00282D80"/>
    <w:rsid w:val="00282DFD"/>
    <w:rsid w:val="00282E6B"/>
    <w:rsid w:val="00282F52"/>
    <w:rsid w:val="00282F71"/>
    <w:rsid w:val="00283147"/>
    <w:rsid w:val="00283175"/>
    <w:rsid w:val="0028317B"/>
    <w:rsid w:val="002831B3"/>
    <w:rsid w:val="00283250"/>
    <w:rsid w:val="00283323"/>
    <w:rsid w:val="002833BD"/>
    <w:rsid w:val="0028340A"/>
    <w:rsid w:val="002834C3"/>
    <w:rsid w:val="002834EB"/>
    <w:rsid w:val="00283696"/>
    <w:rsid w:val="0028369A"/>
    <w:rsid w:val="0028371F"/>
    <w:rsid w:val="00283857"/>
    <w:rsid w:val="002838D6"/>
    <w:rsid w:val="00283922"/>
    <w:rsid w:val="00283C67"/>
    <w:rsid w:val="00283C6A"/>
    <w:rsid w:val="00283CE3"/>
    <w:rsid w:val="00283D63"/>
    <w:rsid w:val="00283D84"/>
    <w:rsid w:val="00283E11"/>
    <w:rsid w:val="00283E22"/>
    <w:rsid w:val="00283F03"/>
    <w:rsid w:val="00283F26"/>
    <w:rsid w:val="00283FAC"/>
    <w:rsid w:val="002840BE"/>
    <w:rsid w:val="002840CF"/>
    <w:rsid w:val="00284119"/>
    <w:rsid w:val="00284186"/>
    <w:rsid w:val="0028419E"/>
    <w:rsid w:val="002841F0"/>
    <w:rsid w:val="002841FD"/>
    <w:rsid w:val="002842A1"/>
    <w:rsid w:val="002842B4"/>
    <w:rsid w:val="00284465"/>
    <w:rsid w:val="00284477"/>
    <w:rsid w:val="00284512"/>
    <w:rsid w:val="00284534"/>
    <w:rsid w:val="00284535"/>
    <w:rsid w:val="0028456F"/>
    <w:rsid w:val="00284634"/>
    <w:rsid w:val="00284688"/>
    <w:rsid w:val="002846D9"/>
    <w:rsid w:val="0028470F"/>
    <w:rsid w:val="002848A0"/>
    <w:rsid w:val="00284944"/>
    <w:rsid w:val="0028498C"/>
    <w:rsid w:val="002849DA"/>
    <w:rsid w:val="002849E0"/>
    <w:rsid w:val="002849E3"/>
    <w:rsid w:val="00284B2C"/>
    <w:rsid w:val="00284BB0"/>
    <w:rsid w:val="00284D51"/>
    <w:rsid w:val="00284D7B"/>
    <w:rsid w:val="00284DF0"/>
    <w:rsid w:val="00284FB5"/>
    <w:rsid w:val="00284FFB"/>
    <w:rsid w:val="00285080"/>
    <w:rsid w:val="002851A8"/>
    <w:rsid w:val="002852B2"/>
    <w:rsid w:val="0028537C"/>
    <w:rsid w:val="002853ED"/>
    <w:rsid w:val="0028548A"/>
    <w:rsid w:val="002854B4"/>
    <w:rsid w:val="0028554B"/>
    <w:rsid w:val="00285588"/>
    <w:rsid w:val="0028563C"/>
    <w:rsid w:val="00285776"/>
    <w:rsid w:val="0028578F"/>
    <w:rsid w:val="002857F5"/>
    <w:rsid w:val="00285854"/>
    <w:rsid w:val="0028592B"/>
    <w:rsid w:val="00285981"/>
    <w:rsid w:val="002859B0"/>
    <w:rsid w:val="002859B4"/>
    <w:rsid w:val="00285A84"/>
    <w:rsid w:val="00285AE0"/>
    <w:rsid w:val="00285B64"/>
    <w:rsid w:val="00285B8C"/>
    <w:rsid w:val="00285C95"/>
    <w:rsid w:val="00285D07"/>
    <w:rsid w:val="00285D43"/>
    <w:rsid w:val="00285D74"/>
    <w:rsid w:val="00285DC0"/>
    <w:rsid w:val="00285E0C"/>
    <w:rsid w:val="00285E6C"/>
    <w:rsid w:val="00285E7C"/>
    <w:rsid w:val="0028606D"/>
    <w:rsid w:val="002861E1"/>
    <w:rsid w:val="002862AC"/>
    <w:rsid w:val="00286305"/>
    <w:rsid w:val="0028635D"/>
    <w:rsid w:val="00286365"/>
    <w:rsid w:val="002863A9"/>
    <w:rsid w:val="002863FB"/>
    <w:rsid w:val="0028643D"/>
    <w:rsid w:val="002864F0"/>
    <w:rsid w:val="0028655B"/>
    <w:rsid w:val="00286611"/>
    <w:rsid w:val="0028661A"/>
    <w:rsid w:val="002866A5"/>
    <w:rsid w:val="002866D2"/>
    <w:rsid w:val="002867A9"/>
    <w:rsid w:val="00286835"/>
    <w:rsid w:val="0028686B"/>
    <w:rsid w:val="002868A8"/>
    <w:rsid w:val="002868EB"/>
    <w:rsid w:val="002868F2"/>
    <w:rsid w:val="0028697E"/>
    <w:rsid w:val="002869C9"/>
    <w:rsid w:val="002869DD"/>
    <w:rsid w:val="00286A2D"/>
    <w:rsid w:val="00286B13"/>
    <w:rsid w:val="00286C40"/>
    <w:rsid w:val="00286C69"/>
    <w:rsid w:val="00286CCB"/>
    <w:rsid w:val="00286CD9"/>
    <w:rsid w:val="00286D3D"/>
    <w:rsid w:val="00286D72"/>
    <w:rsid w:val="00286D8B"/>
    <w:rsid w:val="00286DA3"/>
    <w:rsid w:val="00286DBB"/>
    <w:rsid w:val="00286E6A"/>
    <w:rsid w:val="00286E80"/>
    <w:rsid w:val="00286F9B"/>
    <w:rsid w:val="00286FA0"/>
    <w:rsid w:val="00286FE1"/>
    <w:rsid w:val="0028700B"/>
    <w:rsid w:val="00287013"/>
    <w:rsid w:val="00287036"/>
    <w:rsid w:val="002870AA"/>
    <w:rsid w:val="002870B7"/>
    <w:rsid w:val="0028713C"/>
    <w:rsid w:val="00287157"/>
    <w:rsid w:val="00287201"/>
    <w:rsid w:val="0028721E"/>
    <w:rsid w:val="00287266"/>
    <w:rsid w:val="0028730C"/>
    <w:rsid w:val="002873B8"/>
    <w:rsid w:val="002873EF"/>
    <w:rsid w:val="002873F2"/>
    <w:rsid w:val="00287415"/>
    <w:rsid w:val="0028741C"/>
    <w:rsid w:val="0028742E"/>
    <w:rsid w:val="002874A3"/>
    <w:rsid w:val="0028782C"/>
    <w:rsid w:val="00287959"/>
    <w:rsid w:val="0028797D"/>
    <w:rsid w:val="002879DF"/>
    <w:rsid w:val="00287A8A"/>
    <w:rsid w:val="00287B17"/>
    <w:rsid w:val="00287BED"/>
    <w:rsid w:val="00287C68"/>
    <w:rsid w:val="00287E2F"/>
    <w:rsid w:val="00290082"/>
    <w:rsid w:val="00290359"/>
    <w:rsid w:val="00290391"/>
    <w:rsid w:val="002904B6"/>
    <w:rsid w:val="00290542"/>
    <w:rsid w:val="0029055F"/>
    <w:rsid w:val="002905F0"/>
    <w:rsid w:val="002906D8"/>
    <w:rsid w:val="00290753"/>
    <w:rsid w:val="0029077F"/>
    <w:rsid w:val="002907C0"/>
    <w:rsid w:val="002908D9"/>
    <w:rsid w:val="00290A3D"/>
    <w:rsid w:val="00290A69"/>
    <w:rsid w:val="00290A90"/>
    <w:rsid w:val="00290B9B"/>
    <w:rsid w:val="00290DC6"/>
    <w:rsid w:val="00290DC8"/>
    <w:rsid w:val="00290EE6"/>
    <w:rsid w:val="00291005"/>
    <w:rsid w:val="00291015"/>
    <w:rsid w:val="0029105B"/>
    <w:rsid w:val="0029108B"/>
    <w:rsid w:val="00291104"/>
    <w:rsid w:val="00291143"/>
    <w:rsid w:val="00291157"/>
    <w:rsid w:val="0029116A"/>
    <w:rsid w:val="002912CE"/>
    <w:rsid w:val="00291305"/>
    <w:rsid w:val="00291315"/>
    <w:rsid w:val="0029135D"/>
    <w:rsid w:val="00291379"/>
    <w:rsid w:val="002913B6"/>
    <w:rsid w:val="00291461"/>
    <w:rsid w:val="002914E1"/>
    <w:rsid w:val="002914E9"/>
    <w:rsid w:val="00291605"/>
    <w:rsid w:val="00291628"/>
    <w:rsid w:val="002916E3"/>
    <w:rsid w:val="00291795"/>
    <w:rsid w:val="002917E1"/>
    <w:rsid w:val="0029182F"/>
    <w:rsid w:val="002918EF"/>
    <w:rsid w:val="00291A25"/>
    <w:rsid w:val="00291A52"/>
    <w:rsid w:val="00291C9F"/>
    <w:rsid w:val="00291CBA"/>
    <w:rsid w:val="00291D24"/>
    <w:rsid w:val="00291D2F"/>
    <w:rsid w:val="00291D4D"/>
    <w:rsid w:val="00291DCA"/>
    <w:rsid w:val="00291DFF"/>
    <w:rsid w:val="00291E73"/>
    <w:rsid w:val="00291E9E"/>
    <w:rsid w:val="00291EDB"/>
    <w:rsid w:val="00291F34"/>
    <w:rsid w:val="00291F8D"/>
    <w:rsid w:val="002920AE"/>
    <w:rsid w:val="00292163"/>
    <w:rsid w:val="00292174"/>
    <w:rsid w:val="0029217B"/>
    <w:rsid w:val="00292195"/>
    <w:rsid w:val="00292216"/>
    <w:rsid w:val="00292395"/>
    <w:rsid w:val="00292447"/>
    <w:rsid w:val="0029249D"/>
    <w:rsid w:val="002924F3"/>
    <w:rsid w:val="002924FD"/>
    <w:rsid w:val="00292511"/>
    <w:rsid w:val="00292524"/>
    <w:rsid w:val="0029265F"/>
    <w:rsid w:val="00292735"/>
    <w:rsid w:val="00292760"/>
    <w:rsid w:val="00292795"/>
    <w:rsid w:val="002927FC"/>
    <w:rsid w:val="0029281E"/>
    <w:rsid w:val="002928C7"/>
    <w:rsid w:val="002928F8"/>
    <w:rsid w:val="00292A43"/>
    <w:rsid w:val="00292B8C"/>
    <w:rsid w:val="00292B96"/>
    <w:rsid w:val="00292BDD"/>
    <w:rsid w:val="00292C56"/>
    <w:rsid w:val="00292C91"/>
    <w:rsid w:val="00292CE7"/>
    <w:rsid w:val="00292DAD"/>
    <w:rsid w:val="00292DD7"/>
    <w:rsid w:val="00292E0D"/>
    <w:rsid w:val="00292E55"/>
    <w:rsid w:val="00292EEA"/>
    <w:rsid w:val="00292FBB"/>
    <w:rsid w:val="00293217"/>
    <w:rsid w:val="00293238"/>
    <w:rsid w:val="002932FF"/>
    <w:rsid w:val="00293414"/>
    <w:rsid w:val="002934A4"/>
    <w:rsid w:val="002934F0"/>
    <w:rsid w:val="002935C3"/>
    <w:rsid w:val="002935F5"/>
    <w:rsid w:val="0029368F"/>
    <w:rsid w:val="0029369B"/>
    <w:rsid w:val="002936A0"/>
    <w:rsid w:val="002936AA"/>
    <w:rsid w:val="00293788"/>
    <w:rsid w:val="002937E0"/>
    <w:rsid w:val="002938FB"/>
    <w:rsid w:val="00293916"/>
    <w:rsid w:val="0029398A"/>
    <w:rsid w:val="002939B5"/>
    <w:rsid w:val="002939E0"/>
    <w:rsid w:val="002939F3"/>
    <w:rsid w:val="00293A51"/>
    <w:rsid w:val="00293A55"/>
    <w:rsid w:val="00293B30"/>
    <w:rsid w:val="00293B5F"/>
    <w:rsid w:val="00293BE3"/>
    <w:rsid w:val="00293C07"/>
    <w:rsid w:val="00293C20"/>
    <w:rsid w:val="00293CC4"/>
    <w:rsid w:val="00293D78"/>
    <w:rsid w:val="00293E7B"/>
    <w:rsid w:val="00293E81"/>
    <w:rsid w:val="00293E8D"/>
    <w:rsid w:val="00293EA3"/>
    <w:rsid w:val="00293F5C"/>
    <w:rsid w:val="00293F6E"/>
    <w:rsid w:val="00293FE0"/>
    <w:rsid w:val="00294042"/>
    <w:rsid w:val="00294114"/>
    <w:rsid w:val="0029415A"/>
    <w:rsid w:val="00294174"/>
    <w:rsid w:val="002941E4"/>
    <w:rsid w:val="0029433A"/>
    <w:rsid w:val="00294412"/>
    <w:rsid w:val="00294535"/>
    <w:rsid w:val="0029455D"/>
    <w:rsid w:val="002945A4"/>
    <w:rsid w:val="002946F2"/>
    <w:rsid w:val="0029474A"/>
    <w:rsid w:val="0029480B"/>
    <w:rsid w:val="00294840"/>
    <w:rsid w:val="002948DF"/>
    <w:rsid w:val="002949A3"/>
    <w:rsid w:val="002949B2"/>
    <w:rsid w:val="00294C6C"/>
    <w:rsid w:val="00294CA7"/>
    <w:rsid w:val="00294CB1"/>
    <w:rsid w:val="00294D07"/>
    <w:rsid w:val="00294DD7"/>
    <w:rsid w:val="00294EDB"/>
    <w:rsid w:val="00294FFA"/>
    <w:rsid w:val="00295064"/>
    <w:rsid w:val="002950B6"/>
    <w:rsid w:val="002951C4"/>
    <w:rsid w:val="00295295"/>
    <w:rsid w:val="00295305"/>
    <w:rsid w:val="00295387"/>
    <w:rsid w:val="0029550A"/>
    <w:rsid w:val="0029551B"/>
    <w:rsid w:val="002955CB"/>
    <w:rsid w:val="00295745"/>
    <w:rsid w:val="002957A3"/>
    <w:rsid w:val="00295841"/>
    <w:rsid w:val="00295860"/>
    <w:rsid w:val="00295878"/>
    <w:rsid w:val="0029588A"/>
    <w:rsid w:val="002958CB"/>
    <w:rsid w:val="002959EF"/>
    <w:rsid w:val="00295B81"/>
    <w:rsid w:val="00295BB5"/>
    <w:rsid w:val="00295BF7"/>
    <w:rsid w:val="00295C00"/>
    <w:rsid w:val="00295C4F"/>
    <w:rsid w:val="00295D9C"/>
    <w:rsid w:val="00295E35"/>
    <w:rsid w:val="00295EC6"/>
    <w:rsid w:val="00295EFC"/>
    <w:rsid w:val="00295EFF"/>
    <w:rsid w:val="00295F04"/>
    <w:rsid w:val="00295FA3"/>
    <w:rsid w:val="00296066"/>
    <w:rsid w:val="002960E9"/>
    <w:rsid w:val="00296139"/>
    <w:rsid w:val="00296148"/>
    <w:rsid w:val="002961F7"/>
    <w:rsid w:val="002962DB"/>
    <w:rsid w:val="00296315"/>
    <w:rsid w:val="002963EA"/>
    <w:rsid w:val="00296402"/>
    <w:rsid w:val="00296422"/>
    <w:rsid w:val="00296455"/>
    <w:rsid w:val="0029645A"/>
    <w:rsid w:val="002964D0"/>
    <w:rsid w:val="002965B6"/>
    <w:rsid w:val="002965CF"/>
    <w:rsid w:val="00296602"/>
    <w:rsid w:val="00296633"/>
    <w:rsid w:val="002966BE"/>
    <w:rsid w:val="00296770"/>
    <w:rsid w:val="0029682B"/>
    <w:rsid w:val="00296849"/>
    <w:rsid w:val="002968D5"/>
    <w:rsid w:val="002969A1"/>
    <w:rsid w:val="00296A46"/>
    <w:rsid w:val="00296B1A"/>
    <w:rsid w:val="00296C70"/>
    <w:rsid w:val="00296CD6"/>
    <w:rsid w:val="00296D4C"/>
    <w:rsid w:val="00296E4B"/>
    <w:rsid w:val="00296E4E"/>
    <w:rsid w:val="00296E5A"/>
    <w:rsid w:val="00296F5C"/>
    <w:rsid w:val="00297041"/>
    <w:rsid w:val="00297047"/>
    <w:rsid w:val="0029711F"/>
    <w:rsid w:val="0029719B"/>
    <w:rsid w:val="002971B9"/>
    <w:rsid w:val="00297281"/>
    <w:rsid w:val="00297423"/>
    <w:rsid w:val="002974F9"/>
    <w:rsid w:val="00297504"/>
    <w:rsid w:val="0029751F"/>
    <w:rsid w:val="0029758C"/>
    <w:rsid w:val="002975C1"/>
    <w:rsid w:val="002975F8"/>
    <w:rsid w:val="0029760A"/>
    <w:rsid w:val="00297613"/>
    <w:rsid w:val="00297682"/>
    <w:rsid w:val="002976BC"/>
    <w:rsid w:val="00297745"/>
    <w:rsid w:val="0029782E"/>
    <w:rsid w:val="00297868"/>
    <w:rsid w:val="002978D8"/>
    <w:rsid w:val="00297917"/>
    <w:rsid w:val="0029791F"/>
    <w:rsid w:val="0029797D"/>
    <w:rsid w:val="0029798F"/>
    <w:rsid w:val="002979B5"/>
    <w:rsid w:val="002979BB"/>
    <w:rsid w:val="002979E9"/>
    <w:rsid w:val="002979F0"/>
    <w:rsid w:val="002979FA"/>
    <w:rsid w:val="00297A94"/>
    <w:rsid w:val="00297B18"/>
    <w:rsid w:val="00297B33"/>
    <w:rsid w:val="00297B37"/>
    <w:rsid w:val="00297B3E"/>
    <w:rsid w:val="00297B65"/>
    <w:rsid w:val="00297B9A"/>
    <w:rsid w:val="00297BB0"/>
    <w:rsid w:val="00297C35"/>
    <w:rsid w:val="00297C38"/>
    <w:rsid w:val="00297C9F"/>
    <w:rsid w:val="00297CB6"/>
    <w:rsid w:val="00297DC4"/>
    <w:rsid w:val="00297E99"/>
    <w:rsid w:val="00297E9E"/>
    <w:rsid w:val="00297ED5"/>
    <w:rsid w:val="00297EFF"/>
    <w:rsid w:val="00297F00"/>
    <w:rsid w:val="00297F02"/>
    <w:rsid w:val="00297F5C"/>
    <w:rsid w:val="00297F73"/>
    <w:rsid w:val="002A0047"/>
    <w:rsid w:val="002A00E5"/>
    <w:rsid w:val="002A00FD"/>
    <w:rsid w:val="002A0195"/>
    <w:rsid w:val="002A01E3"/>
    <w:rsid w:val="002A0200"/>
    <w:rsid w:val="002A0278"/>
    <w:rsid w:val="002A02A8"/>
    <w:rsid w:val="002A02B0"/>
    <w:rsid w:val="002A02DA"/>
    <w:rsid w:val="002A0317"/>
    <w:rsid w:val="002A0319"/>
    <w:rsid w:val="002A0392"/>
    <w:rsid w:val="002A0410"/>
    <w:rsid w:val="002A0449"/>
    <w:rsid w:val="002A059E"/>
    <w:rsid w:val="002A05FD"/>
    <w:rsid w:val="002A068D"/>
    <w:rsid w:val="002A06B4"/>
    <w:rsid w:val="002A0772"/>
    <w:rsid w:val="002A07AB"/>
    <w:rsid w:val="002A07AF"/>
    <w:rsid w:val="002A07E0"/>
    <w:rsid w:val="002A0833"/>
    <w:rsid w:val="002A083F"/>
    <w:rsid w:val="002A0851"/>
    <w:rsid w:val="002A09CE"/>
    <w:rsid w:val="002A0A1A"/>
    <w:rsid w:val="002A0A95"/>
    <w:rsid w:val="002A0ADF"/>
    <w:rsid w:val="002A0B6E"/>
    <w:rsid w:val="002A0BCB"/>
    <w:rsid w:val="002A0C4E"/>
    <w:rsid w:val="002A0CA7"/>
    <w:rsid w:val="002A0CCA"/>
    <w:rsid w:val="002A0D59"/>
    <w:rsid w:val="002A0D6C"/>
    <w:rsid w:val="002A0E3D"/>
    <w:rsid w:val="002A0ECA"/>
    <w:rsid w:val="002A0EFF"/>
    <w:rsid w:val="002A0F41"/>
    <w:rsid w:val="002A0FE1"/>
    <w:rsid w:val="002A1068"/>
    <w:rsid w:val="002A108D"/>
    <w:rsid w:val="002A11A2"/>
    <w:rsid w:val="002A1286"/>
    <w:rsid w:val="002A12AC"/>
    <w:rsid w:val="002A12AD"/>
    <w:rsid w:val="002A138A"/>
    <w:rsid w:val="002A1451"/>
    <w:rsid w:val="002A14EB"/>
    <w:rsid w:val="002A1546"/>
    <w:rsid w:val="002A16E6"/>
    <w:rsid w:val="002A16FB"/>
    <w:rsid w:val="002A1837"/>
    <w:rsid w:val="002A18E0"/>
    <w:rsid w:val="002A193B"/>
    <w:rsid w:val="002A1A33"/>
    <w:rsid w:val="002A1A4D"/>
    <w:rsid w:val="002A1A74"/>
    <w:rsid w:val="002A1B22"/>
    <w:rsid w:val="002A1B66"/>
    <w:rsid w:val="002A1DCD"/>
    <w:rsid w:val="002A1EE4"/>
    <w:rsid w:val="002A1F0B"/>
    <w:rsid w:val="002A1F21"/>
    <w:rsid w:val="002A1F41"/>
    <w:rsid w:val="002A1F5D"/>
    <w:rsid w:val="002A1FC1"/>
    <w:rsid w:val="002A2024"/>
    <w:rsid w:val="002A202C"/>
    <w:rsid w:val="002A2053"/>
    <w:rsid w:val="002A2099"/>
    <w:rsid w:val="002A20A8"/>
    <w:rsid w:val="002A21BE"/>
    <w:rsid w:val="002A2376"/>
    <w:rsid w:val="002A23F4"/>
    <w:rsid w:val="002A24A4"/>
    <w:rsid w:val="002A2583"/>
    <w:rsid w:val="002A25CD"/>
    <w:rsid w:val="002A25FC"/>
    <w:rsid w:val="002A266D"/>
    <w:rsid w:val="002A27C2"/>
    <w:rsid w:val="002A27F3"/>
    <w:rsid w:val="002A28D9"/>
    <w:rsid w:val="002A2961"/>
    <w:rsid w:val="002A2990"/>
    <w:rsid w:val="002A2A13"/>
    <w:rsid w:val="002A2A8D"/>
    <w:rsid w:val="002A2AC5"/>
    <w:rsid w:val="002A2DE0"/>
    <w:rsid w:val="002A2E6C"/>
    <w:rsid w:val="002A2E75"/>
    <w:rsid w:val="002A2F02"/>
    <w:rsid w:val="002A2F6E"/>
    <w:rsid w:val="002A2FB8"/>
    <w:rsid w:val="002A306E"/>
    <w:rsid w:val="002A3147"/>
    <w:rsid w:val="002A316F"/>
    <w:rsid w:val="002A3192"/>
    <w:rsid w:val="002A31E7"/>
    <w:rsid w:val="002A3246"/>
    <w:rsid w:val="002A3457"/>
    <w:rsid w:val="002A35AA"/>
    <w:rsid w:val="002A35C8"/>
    <w:rsid w:val="002A362C"/>
    <w:rsid w:val="002A3642"/>
    <w:rsid w:val="002A3822"/>
    <w:rsid w:val="002A39B4"/>
    <w:rsid w:val="002A3A2A"/>
    <w:rsid w:val="002A3B93"/>
    <w:rsid w:val="002A3C5A"/>
    <w:rsid w:val="002A3E13"/>
    <w:rsid w:val="002A3E4F"/>
    <w:rsid w:val="002A3EEE"/>
    <w:rsid w:val="002A3EF2"/>
    <w:rsid w:val="002A3F3A"/>
    <w:rsid w:val="002A3F73"/>
    <w:rsid w:val="002A3FD9"/>
    <w:rsid w:val="002A4049"/>
    <w:rsid w:val="002A40E4"/>
    <w:rsid w:val="002A416C"/>
    <w:rsid w:val="002A418E"/>
    <w:rsid w:val="002A41B6"/>
    <w:rsid w:val="002A41EA"/>
    <w:rsid w:val="002A4274"/>
    <w:rsid w:val="002A42A5"/>
    <w:rsid w:val="002A42A9"/>
    <w:rsid w:val="002A42EC"/>
    <w:rsid w:val="002A4333"/>
    <w:rsid w:val="002A433D"/>
    <w:rsid w:val="002A440B"/>
    <w:rsid w:val="002A457F"/>
    <w:rsid w:val="002A46C0"/>
    <w:rsid w:val="002A470A"/>
    <w:rsid w:val="002A471D"/>
    <w:rsid w:val="002A4740"/>
    <w:rsid w:val="002A474A"/>
    <w:rsid w:val="002A47BA"/>
    <w:rsid w:val="002A47C3"/>
    <w:rsid w:val="002A4858"/>
    <w:rsid w:val="002A48C3"/>
    <w:rsid w:val="002A48F1"/>
    <w:rsid w:val="002A490E"/>
    <w:rsid w:val="002A4945"/>
    <w:rsid w:val="002A4979"/>
    <w:rsid w:val="002A49BA"/>
    <w:rsid w:val="002A49C0"/>
    <w:rsid w:val="002A4A1C"/>
    <w:rsid w:val="002A4A43"/>
    <w:rsid w:val="002A4B7B"/>
    <w:rsid w:val="002A4C0C"/>
    <w:rsid w:val="002A4DC0"/>
    <w:rsid w:val="002A4E2D"/>
    <w:rsid w:val="002A4E8D"/>
    <w:rsid w:val="002A4F70"/>
    <w:rsid w:val="002A4FB6"/>
    <w:rsid w:val="002A4FE2"/>
    <w:rsid w:val="002A51BC"/>
    <w:rsid w:val="002A5265"/>
    <w:rsid w:val="002A52DF"/>
    <w:rsid w:val="002A5348"/>
    <w:rsid w:val="002A5443"/>
    <w:rsid w:val="002A54FC"/>
    <w:rsid w:val="002A5539"/>
    <w:rsid w:val="002A5585"/>
    <w:rsid w:val="002A55F8"/>
    <w:rsid w:val="002A5695"/>
    <w:rsid w:val="002A576C"/>
    <w:rsid w:val="002A57F2"/>
    <w:rsid w:val="002A5887"/>
    <w:rsid w:val="002A5896"/>
    <w:rsid w:val="002A5897"/>
    <w:rsid w:val="002A5AD0"/>
    <w:rsid w:val="002A5AD6"/>
    <w:rsid w:val="002A5B0C"/>
    <w:rsid w:val="002A5C90"/>
    <w:rsid w:val="002A5CEC"/>
    <w:rsid w:val="002A5DA3"/>
    <w:rsid w:val="002A5F22"/>
    <w:rsid w:val="002A5F7A"/>
    <w:rsid w:val="002A5FB4"/>
    <w:rsid w:val="002A6023"/>
    <w:rsid w:val="002A603F"/>
    <w:rsid w:val="002A60B7"/>
    <w:rsid w:val="002A60F8"/>
    <w:rsid w:val="002A6103"/>
    <w:rsid w:val="002A6141"/>
    <w:rsid w:val="002A62C4"/>
    <w:rsid w:val="002A637B"/>
    <w:rsid w:val="002A6429"/>
    <w:rsid w:val="002A6439"/>
    <w:rsid w:val="002A6489"/>
    <w:rsid w:val="002A656F"/>
    <w:rsid w:val="002A658E"/>
    <w:rsid w:val="002A6667"/>
    <w:rsid w:val="002A66BC"/>
    <w:rsid w:val="002A6749"/>
    <w:rsid w:val="002A67A0"/>
    <w:rsid w:val="002A67D8"/>
    <w:rsid w:val="002A68E8"/>
    <w:rsid w:val="002A6A90"/>
    <w:rsid w:val="002A6C3C"/>
    <w:rsid w:val="002A6C6A"/>
    <w:rsid w:val="002A6DD0"/>
    <w:rsid w:val="002A6E7F"/>
    <w:rsid w:val="002A6F30"/>
    <w:rsid w:val="002A6FA1"/>
    <w:rsid w:val="002A7117"/>
    <w:rsid w:val="002A71E3"/>
    <w:rsid w:val="002A722A"/>
    <w:rsid w:val="002A7257"/>
    <w:rsid w:val="002A728F"/>
    <w:rsid w:val="002A72AF"/>
    <w:rsid w:val="002A7345"/>
    <w:rsid w:val="002A73DA"/>
    <w:rsid w:val="002A74B9"/>
    <w:rsid w:val="002A751A"/>
    <w:rsid w:val="002A752A"/>
    <w:rsid w:val="002A75A2"/>
    <w:rsid w:val="002A75F1"/>
    <w:rsid w:val="002A7638"/>
    <w:rsid w:val="002A7808"/>
    <w:rsid w:val="002A785B"/>
    <w:rsid w:val="002A79E6"/>
    <w:rsid w:val="002A7A95"/>
    <w:rsid w:val="002A7A9F"/>
    <w:rsid w:val="002A7BB2"/>
    <w:rsid w:val="002A7BEA"/>
    <w:rsid w:val="002A7C42"/>
    <w:rsid w:val="002A7C54"/>
    <w:rsid w:val="002A7D19"/>
    <w:rsid w:val="002A7D48"/>
    <w:rsid w:val="002A7D84"/>
    <w:rsid w:val="002A7DFD"/>
    <w:rsid w:val="002A7E95"/>
    <w:rsid w:val="002A7F60"/>
    <w:rsid w:val="002A7F7B"/>
    <w:rsid w:val="002A7F8A"/>
    <w:rsid w:val="002B0090"/>
    <w:rsid w:val="002B0268"/>
    <w:rsid w:val="002B029A"/>
    <w:rsid w:val="002B02A6"/>
    <w:rsid w:val="002B0360"/>
    <w:rsid w:val="002B0371"/>
    <w:rsid w:val="002B037B"/>
    <w:rsid w:val="002B0397"/>
    <w:rsid w:val="002B03EA"/>
    <w:rsid w:val="002B03FE"/>
    <w:rsid w:val="002B0403"/>
    <w:rsid w:val="002B052F"/>
    <w:rsid w:val="002B0548"/>
    <w:rsid w:val="002B059B"/>
    <w:rsid w:val="002B05F2"/>
    <w:rsid w:val="002B0636"/>
    <w:rsid w:val="002B0646"/>
    <w:rsid w:val="002B0653"/>
    <w:rsid w:val="002B067E"/>
    <w:rsid w:val="002B06AA"/>
    <w:rsid w:val="002B06E1"/>
    <w:rsid w:val="002B087A"/>
    <w:rsid w:val="002B0881"/>
    <w:rsid w:val="002B08F7"/>
    <w:rsid w:val="002B0A51"/>
    <w:rsid w:val="002B0A8D"/>
    <w:rsid w:val="002B0B28"/>
    <w:rsid w:val="002B0B7C"/>
    <w:rsid w:val="002B0CAC"/>
    <w:rsid w:val="002B0CD3"/>
    <w:rsid w:val="002B0D2C"/>
    <w:rsid w:val="002B0D31"/>
    <w:rsid w:val="002B0DD2"/>
    <w:rsid w:val="002B0E01"/>
    <w:rsid w:val="002B0F3F"/>
    <w:rsid w:val="002B0FC3"/>
    <w:rsid w:val="002B1137"/>
    <w:rsid w:val="002B11DF"/>
    <w:rsid w:val="002B135A"/>
    <w:rsid w:val="002B1379"/>
    <w:rsid w:val="002B14C6"/>
    <w:rsid w:val="002B1560"/>
    <w:rsid w:val="002B15B0"/>
    <w:rsid w:val="002B15DC"/>
    <w:rsid w:val="002B1649"/>
    <w:rsid w:val="002B16FE"/>
    <w:rsid w:val="002B1708"/>
    <w:rsid w:val="002B1728"/>
    <w:rsid w:val="002B17C9"/>
    <w:rsid w:val="002B17FC"/>
    <w:rsid w:val="002B184B"/>
    <w:rsid w:val="002B18A6"/>
    <w:rsid w:val="002B1A0D"/>
    <w:rsid w:val="002B1BB5"/>
    <w:rsid w:val="002B1BC3"/>
    <w:rsid w:val="002B1BC7"/>
    <w:rsid w:val="002B1C03"/>
    <w:rsid w:val="002B1CA8"/>
    <w:rsid w:val="002B1E53"/>
    <w:rsid w:val="002B1EC4"/>
    <w:rsid w:val="002B1EC7"/>
    <w:rsid w:val="002B1ED0"/>
    <w:rsid w:val="002B1FBE"/>
    <w:rsid w:val="002B20E4"/>
    <w:rsid w:val="002B21EB"/>
    <w:rsid w:val="002B2252"/>
    <w:rsid w:val="002B22A5"/>
    <w:rsid w:val="002B230F"/>
    <w:rsid w:val="002B2360"/>
    <w:rsid w:val="002B23EF"/>
    <w:rsid w:val="002B246C"/>
    <w:rsid w:val="002B246E"/>
    <w:rsid w:val="002B25BB"/>
    <w:rsid w:val="002B2623"/>
    <w:rsid w:val="002B270C"/>
    <w:rsid w:val="002B2721"/>
    <w:rsid w:val="002B2786"/>
    <w:rsid w:val="002B27EE"/>
    <w:rsid w:val="002B299E"/>
    <w:rsid w:val="002B29C2"/>
    <w:rsid w:val="002B29CB"/>
    <w:rsid w:val="002B29E5"/>
    <w:rsid w:val="002B2A80"/>
    <w:rsid w:val="002B2B70"/>
    <w:rsid w:val="002B2B8A"/>
    <w:rsid w:val="002B2BC3"/>
    <w:rsid w:val="002B2BEF"/>
    <w:rsid w:val="002B2BF8"/>
    <w:rsid w:val="002B2C00"/>
    <w:rsid w:val="002B2C19"/>
    <w:rsid w:val="002B2C1A"/>
    <w:rsid w:val="002B2C28"/>
    <w:rsid w:val="002B2CA2"/>
    <w:rsid w:val="002B2CB8"/>
    <w:rsid w:val="002B2CC3"/>
    <w:rsid w:val="002B2CFF"/>
    <w:rsid w:val="002B2D2B"/>
    <w:rsid w:val="002B2DC5"/>
    <w:rsid w:val="002B2E4E"/>
    <w:rsid w:val="002B2EB3"/>
    <w:rsid w:val="002B2EE2"/>
    <w:rsid w:val="002B2F3D"/>
    <w:rsid w:val="002B304C"/>
    <w:rsid w:val="002B3094"/>
    <w:rsid w:val="002B317A"/>
    <w:rsid w:val="002B31ED"/>
    <w:rsid w:val="002B322C"/>
    <w:rsid w:val="002B328F"/>
    <w:rsid w:val="002B32A0"/>
    <w:rsid w:val="002B3402"/>
    <w:rsid w:val="002B3494"/>
    <w:rsid w:val="002B34FF"/>
    <w:rsid w:val="002B3558"/>
    <w:rsid w:val="002B3661"/>
    <w:rsid w:val="002B366A"/>
    <w:rsid w:val="002B3711"/>
    <w:rsid w:val="002B3763"/>
    <w:rsid w:val="002B381D"/>
    <w:rsid w:val="002B392C"/>
    <w:rsid w:val="002B3999"/>
    <w:rsid w:val="002B39C6"/>
    <w:rsid w:val="002B3A48"/>
    <w:rsid w:val="002B3A55"/>
    <w:rsid w:val="002B3AE0"/>
    <w:rsid w:val="002B3C6E"/>
    <w:rsid w:val="002B3D20"/>
    <w:rsid w:val="002B3D4C"/>
    <w:rsid w:val="002B3D5C"/>
    <w:rsid w:val="002B3D64"/>
    <w:rsid w:val="002B3E21"/>
    <w:rsid w:val="002B3F07"/>
    <w:rsid w:val="002B3FAB"/>
    <w:rsid w:val="002B3FDE"/>
    <w:rsid w:val="002B4019"/>
    <w:rsid w:val="002B4279"/>
    <w:rsid w:val="002B4429"/>
    <w:rsid w:val="002B446B"/>
    <w:rsid w:val="002B449C"/>
    <w:rsid w:val="002B44A7"/>
    <w:rsid w:val="002B451C"/>
    <w:rsid w:val="002B4528"/>
    <w:rsid w:val="002B453F"/>
    <w:rsid w:val="002B4625"/>
    <w:rsid w:val="002B466C"/>
    <w:rsid w:val="002B46F3"/>
    <w:rsid w:val="002B473D"/>
    <w:rsid w:val="002B47D8"/>
    <w:rsid w:val="002B47D9"/>
    <w:rsid w:val="002B498F"/>
    <w:rsid w:val="002B49AC"/>
    <w:rsid w:val="002B4AB9"/>
    <w:rsid w:val="002B4BCA"/>
    <w:rsid w:val="002B4CA0"/>
    <w:rsid w:val="002B4CA6"/>
    <w:rsid w:val="002B4CE1"/>
    <w:rsid w:val="002B4D5D"/>
    <w:rsid w:val="002B4E15"/>
    <w:rsid w:val="002B4E19"/>
    <w:rsid w:val="002B4E50"/>
    <w:rsid w:val="002B4E69"/>
    <w:rsid w:val="002B4EBE"/>
    <w:rsid w:val="002B4F7C"/>
    <w:rsid w:val="002B4FF7"/>
    <w:rsid w:val="002B500A"/>
    <w:rsid w:val="002B508B"/>
    <w:rsid w:val="002B50B2"/>
    <w:rsid w:val="002B5152"/>
    <w:rsid w:val="002B517D"/>
    <w:rsid w:val="002B51A9"/>
    <w:rsid w:val="002B520F"/>
    <w:rsid w:val="002B528E"/>
    <w:rsid w:val="002B5324"/>
    <w:rsid w:val="002B53DB"/>
    <w:rsid w:val="002B53F9"/>
    <w:rsid w:val="002B5418"/>
    <w:rsid w:val="002B54D7"/>
    <w:rsid w:val="002B5513"/>
    <w:rsid w:val="002B5570"/>
    <w:rsid w:val="002B56A7"/>
    <w:rsid w:val="002B56C1"/>
    <w:rsid w:val="002B57E2"/>
    <w:rsid w:val="002B581E"/>
    <w:rsid w:val="002B5878"/>
    <w:rsid w:val="002B591A"/>
    <w:rsid w:val="002B5970"/>
    <w:rsid w:val="002B59F5"/>
    <w:rsid w:val="002B5A22"/>
    <w:rsid w:val="002B5A88"/>
    <w:rsid w:val="002B5A93"/>
    <w:rsid w:val="002B5CFD"/>
    <w:rsid w:val="002B5D6A"/>
    <w:rsid w:val="002B5D81"/>
    <w:rsid w:val="002B5DD0"/>
    <w:rsid w:val="002B60EC"/>
    <w:rsid w:val="002B60FD"/>
    <w:rsid w:val="002B61A2"/>
    <w:rsid w:val="002B61BF"/>
    <w:rsid w:val="002B621A"/>
    <w:rsid w:val="002B6323"/>
    <w:rsid w:val="002B641E"/>
    <w:rsid w:val="002B6495"/>
    <w:rsid w:val="002B649F"/>
    <w:rsid w:val="002B64E9"/>
    <w:rsid w:val="002B64F2"/>
    <w:rsid w:val="002B6537"/>
    <w:rsid w:val="002B6569"/>
    <w:rsid w:val="002B6578"/>
    <w:rsid w:val="002B6608"/>
    <w:rsid w:val="002B66A0"/>
    <w:rsid w:val="002B6799"/>
    <w:rsid w:val="002B67C2"/>
    <w:rsid w:val="002B67FB"/>
    <w:rsid w:val="002B684F"/>
    <w:rsid w:val="002B6949"/>
    <w:rsid w:val="002B6A0E"/>
    <w:rsid w:val="002B6A16"/>
    <w:rsid w:val="002B6B66"/>
    <w:rsid w:val="002B6C45"/>
    <w:rsid w:val="002B6C76"/>
    <w:rsid w:val="002B6CC5"/>
    <w:rsid w:val="002B6DA0"/>
    <w:rsid w:val="002B6E9E"/>
    <w:rsid w:val="002B70B9"/>
    <w:rsid w:val="002B70BF"/>
    <w:rsid w:val="002B728E"/>
    <w:rsid w:val="002B73DC"/>
    <w:rsid w:val="002B73E5"/>
    <w:rsid w:val="002B741A"/>
    <w:rsid w:val="002B74EE"/>
    <w:rsid w:val="002B758A"/>
    <w:rsid w:val="002B76F7"/>
    <w:rsid w:val="002B7766"/>
    <w:rsid w:val="002B780C"/>
    <w:rsid w:val="002B78C7"/>
    <w:rsid w:val="002B795A"/>
    <w:rsid w:val="002B7970"/>
    <w:rsid w:val="002B798F"/>
    <w:rsid w:val="002B79CA"/>
    <w:rsid w:val="002B79D3"/>
    <w:rsid w:val="002B7AD4"/>
    <w:rsid w:val="002B7AFA"/>
    <w:rsid w:val="002B7B10"/>
    <w:rsid w:val="002B7C12"/>
    <w:rsid w:val="002B7D3A"/>
    <w:rsid w:val="002B7E0F"/>
    <w:rsid w:val="002B7EBD"/>
    <w:rsid w:val="002B7ECF"/>
    <w:rsid w:val="002B7FD0"/>
    <w:rsid w:val="002C0001"/>
    <w:rsid w:val="002C0130"/>
    <w:rsid w:val="002C0158"/>
    <w:rsid w:val="002C0285"/>
    <w:rsid w:val="002C02FE"/>
    <w:rsid w:val="002C03B9"/>
    <w:rsid w:val="002C041B"/>
    <w:rsid w:val="002C042D"/>
    <w:rsid w:val="002C049B"/>
    <w:rsid w:val="002C0586"/>
    <w:rsid w:val="002C0665"/>
    <w:rsid w:val="002C06B4"/>
    <w:rsid w:val="002C07AB"/>
    <w:rsid w:val="002C07AD"/>
    <w:rsid w:val="002C082C"/>
    <w:rsid w:val="002C08C8"/>
    <w:rsid w:val="002C0943"/>
    <w:rsid w:val="002C0989"/>
    <w:rsid w:val="002C0996"/>
    <w:rsid w:val="002C0999"/>
    <w:rsid w:val="002C0A3E"/>
    <w:rsid w:val="002C0A63"/>
    <w:rsid w:val="002C0AE1"/>
    <w:rsid w:val="002C0C8A"/>
    <w:rsid w:val="002C0F8C"/>
    <w:rsid w:val="002C0FFE"/>
    <w:rsid w:val="002C10BD"/>
    <w:rsid w:val="002C1244"/>
    <w:rsid w:val="002C124A"/>
    <w:rsid w:val="002C1299"/>
    <w:rsid w:val="002C1344"/>
    <w:rsid w:val="002C137B"/>
    <w:rsid w:val="002C13B0"/>
    <w:rsid w:val="002C1503"/>
    <w:rsid w:val="002C154F"/>
    <w:rsid w:val="002C1565"/>
    <w:rsid w:val="002C15B3"/>
    <w:rsid w:val="002C165E"/>
    <w:rsid w:val="002C1705"/>
    <w:rsid w:val="002C177D"/>
    <w:rsid w:val="002C18C2"/>
    <w:rsid w:val="002C18D8"/>
    <w:rsid w:val="002C1A46"/>
    <w:rsid w:val="002C1C41"/>
    <w:rsid w:val="002C1D7D"/>
    <w:rsid w:val="002C1D92"/>
    <w:rsid w:val="002C1E1B"/>
    <w:rsid w:val="002C20F3"/>
    <w:rsid w:val="002C21E4"/>
    <w:rsid w:val="002C224F"/>
    <w:rsid w:val="002C22A0"/>
    <w:rsid w:val="002C233B"/>
    <w:rsid w:val="002C239A"/>
    <w:rsid w:val="002C257D"/>
    <w:rsid w:val="002C2690"/>
    <w:rsid w:val="002C27E0"/>
    <w:rsid w:val="002C27F3"/>
    <w:rsid w:val="002C286A"/>
    <w:rsid w:val="002C2894"/>
    <w:rsid w:val="002C28BA"/>
    <w:rsid w:val="002C28C9"/>
    <w:rsid w:val="002C29AB"/>
    <w:rsid w:val="002C2AC6"/>
    <w:rsid w:val="002C2BD5"/>
    <w:rsid w:val="002C2BF1"/>
    <w:rsid w:val="002C2C5B"/>
    <w:rsid w:val="002C2CF0"/>
    <w:rsid w:val="002C2D3F"/>
    <w:rsid w:val="002C2E6A"/>
    <w:rsid w:val="002C2EFA"/>
    <w:rsid w:val="002C2F62"/>
    <w:rsid w:val="002C300D"/>
    <w:rsid w:val="002C3109"/>
    <w:rsid w:val="002C331F"/>
    <w:rsid w:val="002C33AC"/>
    <w:rsid w:val="002C33EE"/>
    <w:rsid w:val="002C344D"/>
    <w:rsid w:val="002C3542"/>
    <w:rsid w:val="002C3574"/>
    <w:rsid w:val="002C35C5"/>
    <w:rsid w:val="002C35FE"/>
    <w:rsid w:val="002C3623"/>
    <w:rsid w:val="002C36D6"/>
    <w:rsid w:val="002C36F1"/>
    <w:rsid w:val="002C3891"/>
    <w:rsid w:val="002C3966"/>
    <w:rsid w:val="002C3988"/>
    <w:rsid w:val="002C399E"/>
    <w:rsid w:val="002C3B85"/>
    <w:rsid w:val="002C3C43"/>
    <w:rsid w:val="002C3CAA"/>
    <w:rsid w:val="002C3D4E"/>
    <w:rsid w:val="002C3D8A"/>
    <w:rsid w:val="002C3E98"/>
    <w:rsid w:val="002C3F3B"/>
    <w:rsid w:val="002C3F66"/>
    <w:rsid w:val="002C3FE7"/>
    <w:rsid w:val="002C3FF8"/>
    <w:rsid w:val="002C4006"/>
    <w:rsid w:val="002C41D5"/>
    <w:rsid w:val="002C427B"/>
    <w:rsid w:val="002C4289"/>
    <w:rsid w:val="002C42AC"/>
    <w:rsid w:val="002C4304"/>
    <w:rsid w:val="002C4333"/>
    <w:rsid w:val="002C43E9"/>
    <w:rsid w:val="002C440C"/>
    <w:rsid w:val="002C4448"/>
    <w:rsid w:val="002C4478"/>
    <w:rsid w:val="002C457A"/>
    <w:rsid w:val="002C45E4"/>
    <w:rsid w:val="002C4650"/>
    <w:rsid w:val="002C4663"/>
    <w:rsid w:val="002C469D"/>
    <w:rsid w:val="002C4790"/>
    <w:rsid w:val="002C482E"/>
    <w:rsid w:val="002C499A"/>
    <w:rsid w:val="002C49A6"/>
    <w:rsid w:val="002C49AF"/>
    <w:rsid w:val="002C49C0"/>
    <w:rsid w:val="002C49D7"/>
    <w:rsid w:val="002C4A11"/>
    <w:rsid w:val="002C4AB2"/>
    <w:rsid w:val="002C4BA2"/>
    <w:rsid w:val="002C4BC7"/>
    <w:rsid w:val="002C4C70"/>
    <w:rsid w:val="002C4C9B"/>
    <w:rsid w:val="002C4CCC"/>
    <w:rsid w:val="002C4D44"/>
    <w:rsid w:val="002C4D47"/>
    <w:rsid w:val="002C4D7E"/>
    <w:rsid w:val="002C4EB3"/>
    <w:rsid w:val="002C51B9"/>
    <w:rsid w:val="002C5239"/>
    <w:rsid w:val="002C5262"/>
    <w:rsid w:val="002C5283"/>
    <w:rsid w:val="002C53AA"/>
    <w:rsid w:val="002C53FA"/>
    <w:rsid w:val="002C5404"/>
    <w:rsid w:val="002C54A4"/>
    <w:rsid w:val="002C5605"/>
    <w:rsid w:val="002C56D9"/>
    <w:rsid w:val="002C5761"/>
    <w:rsid w:val="002C5797"/>
    <w:rsid w:val="002C57C0"/>
    <w:rsid w:val="002C57C1"/>
    <w:rsid w:val="002C57C2"/>
    <w:rsid w:val="002C57ED"/>
    <w:rsid w:val="002C596B"/>
    <w:rsid w:val="002C5994"/>
    <w:rsid w:val="002C5BC0"/>
    <w:rsid w:val="002C5BF3"/>
    <w:rsid w:val="002C5CE3"/>
    <w:rsid w:val="002C5F06"/>
    <w:rsid w:val="002C5F1C"/>
    <w:rsid w:val="002C5F9D"/>
    <w:rsid w:val="002C5FB1"/>
    <w:rsid w:val="002C6006"/>
    <w:rsid w:val="002C6130"/>
    <w:rsid w:val="002C6155"/>
    <w:rsid w:val="002C6166"/>
    <w:rsid w:val="002C62A2"/>
    <w:rsid w:val="002C6441"/>
    <w:rsid w:val="002C6445"/>
    <w:rsid w:val="002C64C0"/>
    <w:rsid w:val="002C6534"/>
    <w:rsid w:val="002C666B"/>
    <w:rsid w:val="002C684E"/>
    <w:rsid w:val="002C68EC"/>
    <w:rsid w:val="002C6918"/>
    <w:rsid w:val="002C6924"/>
    <w:rsid w:val="002C6963"/>
    <w:rsid w:val="002C69A7"/>
    <w:rsid w:val="002C69C5"/>
    <w:rsid w:val="002C6A59"/>
    <w:rsid w:val="002C6BAD"/>
    <w:rsid w:val="002C6BCF"/>
    <w:rsid w:val="002C6CCC"/>
    <w:rsid w:val="002C6D9E"/>
    <w:rsid w:val="002C6F69"/>
    <w:rsid w:val="002C6F6F"/>
    <w:rsid w:val="002C6F8F"/>
    <w:rsid w:val="002C7046"/>
    <w:rsid w:val="002C708E"/>
    <w:rsid w:val="002C7194"/>
    <w:rsid w:val="002C71A0"/>
    <w:rsid w:val="002C72AD"/>
    <w:rsid w:val="002C738E"/>
    <w:rsid w:val="002C73D4"/>
    <w:rsid w:val="002C7416"/>
    <w:rsid w:val="002C7442"/>
    <w:rsid w:val="002C757D"/>
    <w:rsid w:val="002C7776"/>
    <w:rsid w:val="002C7783"/>
    <w:rsid w:val="002C7876"/>
    <w:rsid w:val="002C78AA"/>
    <w:rsid w:val="002C78F1"/>
    <w:rsid w:val="002C78F2"/>
    <w:rsid w:val="002C7A57"/>
    <w:rsid w:val="002C7A65"/>
    <w:rsid w:val="002C7ABB"/>
    <w:rsid w:val="002C7BEB"/>
    <w:rsid w:val="002C7CC0"/>
    <w:rsid w:val="002C7DD4"/>
    <w:rsid w:val="002C7DF4"/>
    <w:rsid w:val="002C7E9A"/>
    <w:rsid w:val="002C7F1B"/>
    <w:rsid w:val="002C7F36"/>
    <w:rsid w:val="002C7F46"/>
    <w:rsid w:val="002C7F94"/>
    <w:rsid w:val="002D003A"/>
    <w:rsid w:val="002D0099"/>
    <w:rsid w:val="002D024E"/>
    <w:rsid w:val="002D0365"/>
    <w:rsid w:val="002D0378"/>
    <w:rsid w:val="002D03BB"/>
    <w:rsid w:val="002D0434"/>
    <w:rsid w:val="002D0443"/>
    <w:rsid w:val="002D049F"/>
    <w:rsid w:val="002D04A2"/>
    <w:rsid w:val="002D0531"/>
    <w:rsid w:val="002D057D"/>
    <w:rsid w:val="002D057E"/>
    <w:rsid w:val="002D0604"/>
    <w:rsid w:val="002D0673"/>
    <w:rsid w:val="002D06DB"/>
    <w:rsid w:val="002D06EC"/>
    <w:rsid w:val="002D0726"/>
    <w:rsid w:val="002D08E7"/>
    <w:rsid w:val="002D0951"/>
    <w:rsid w:val="002D09DA"/>
    <w:rsid w:val="002D09F6"/>
    <w:rsid w:val="002D0AC4"/>
    <w:rsid w:val="002D0BB8"/>
    <w:rsid w:val="002D0CC6"/>
    <w:rsid w:val="002D0CF6"/>
    <w:rsid w:val="002D0D68"/>
    <w:rsid w:val="002D0DCA"/>
    <w:rsid w:val="002D0DFB"/>
    <w:rsid w:val="002D0E20"/>
    <w:rsid w:val="002D0E22"/>
    <w:rsid w:val="002D0EE9"/>
    <w:rsid w:val="002D0F93"/>
    <w:rsid w:val="002D0F94"/>
    <w:rsid w:val="002D0F98"/>
    <w:rsid w:val="002D0FFD"/>
    <w:rsid w:val="002D100B"/>
    <w:rsid w:val="002D10CD"/>
    <w:rsid w:val="002D111D"/>
    <w:rsid w:val="002D1192"/>
    <w:rsid w:val="002D125E"/>
    <w:rsid w:val="002D136C"/>
    <w:rsid w:val="002D1593"/>
    <w:rsid w:val="002D1649"/>
    <w:rsid w:val="002D16BA"/>
    <w:rsid w:val="002D16F7"/>
    <w:rsid w:val="002D1AAF"/>
    <w:rsid w:val="002D1C16"/>
    <w:rsid w:val="002D1C40"/>
    <w:rsid w:val="002D1D03"/>
    <w:rsid w:val="002D1D81"/>
    <w:rsid w:val="002D1EB0"/>
    <w:rsid w:val="002D1EF5"/>
    <w:rsid w:val="002D1FF6"/>
    <w:rsid w:val="002D2090"/>
    <w:rsid w:val="002D2130"/>
    <w:rsid w:val="002D21DB"/>
    <w:rsid w:val="002D226E"/>
    <w:rsid w:val="002D22E0"/>
    <w:rsid w:val="002D2317"/>
    <w:rsid w:val="002D232B"/>
    <w:rsid w:val="002D23C0"/>
    <w:rsid w:val="002D23FE"/>
    <w:rsid w:val="002D248D"/>
    <w:rsid w:val="002D258E"/>
    <w:rsid w:val="002D2693"/>
    <w:rsid w:val="002D2728"/>
    <w:rsid w:val="002D27B7"/>
    <w:rsid w:val="002D27C1"/>
    <w:rsid w:val="002D27EB"/>
    <w:rsid w:val="002D280B"/>
    <w:rsid w:val="002D289B"/>
    <w:rsid w:val="002D28BF"/>
    <w:rsid w:val="002D28C9"/>
    <w:rsid w:val="002D296B"/>
    <w:rsid w:val="002D2A77"/>
    <w:rsid w:val="002D2AB1"/>
    <w:rsid w:val="002D2AB4"/>
    <w:rsid w:val="002D2C2A"/>
    <w:rsid w:val="002D2CB0"/>
    <w:rsid w:val="002D2CBD"/>
    <w:rsid w:val="002D2CFE"/>
    <w:rsid w:val="002D2D50"/>
    <w:rsid w:val="002D2D90"/>
    <w:rsid w:val="002D2DAB"/>
    <w:rsid w:val="002D2E62"/>
    <w:rsid w:val="002D2EC4"/>
    <w:rsid w:val="002D2EEB"/>
    <w:rsid w:val="002D2EEE"/>
    <w:rsid w:val="002D2F5C"/>
    <w:rsid w:val="002D2F87"/>
    <w:rsid w:val="002D2FF7"/>
    <w:rsid w:val="002D304F"/>
    <w:rsid w:val="002D308A"/>
    <w:rsid w:val="002D312D"/>
    <w:rsid w:val="002D31A9"/>
    <w:rsid w:val="002D32E2"/>
    <w:rsid w:val="002D333B"/>
    <w:rsid w:val="002D33A0"/>
    <w:rsid w:val="002D340B"/>
    <w:rsid w:val="002D3579"/>
    <w:rsid w:val="002D358A"/>
    <w:rsid w:val="002D35F2"/>
    <w:rsid w:val="002D38AA"/>
    <w:rsid w:val="002D392D"/>
    <w:rsid w:val="002D3980"/>
    <w:rsid w:val="002D3A52"/>
    <w:rsid w:val="002D3A6D"/>
    <w:rsid w:val="002D3C43"/>
    <w:rsid w:val="002D3CB3"/>
    <w:rsid w:val="002D3D7B"/>
    <w:rsid w:val="002D3D8D"/>
    <w:rsid w:val="002D3DB0"/>
    <w:rsid w:val="002D3E24"/>
    <w:rsid w:val="002D3E82"/>
    <w:rsid w:val="002D3EA5"/>
    <w:rsid w:val="002D3F57"/>
    <w:rsid w:val="002D4005"/>
    <w:rsid w:val="002D4059"/>
    <w:rsid w:val="002D406F"/>
    <w:rsid w:val="002D4083"/>
    <w:rsid w:val="002D40A2"/>
    <w:rsid w:val="002D40A9"/>
    <w:rsid w:val="002D40AA"/>
    <w:rsid w:val="002D40B5"/>
    <w:rsid w:val="002D40C8"/>
    <w:rsid w:val="002D4144"/>
    <w:rsid w:val="002D4148"/>
    <w:rsid w:val="002D41E0"/>
    <w:rsid w:val="002D425D"/>
    <w:rsid w:val="002D4265"/>
    <w:rsid w:val="002D42A1"/>
    <w:rsid w:val="002D4350"/>
    <w:rsid w:val="002D4471"/>
    <w:rsid w:val="002D453C"/>
    <w:rsid w:val="002D47FA"/>
    <w:rsid w:val="002D4812"/>
    <w:rsid w:val="002D48C8"/>
    <w:rsid w:val="002D48E6"/>
    <w:rsid w:val="002D49B0"/>
    <w:rsid w:val="002D49B1"/>
    <w:rsid w:val="002D4AD0"/>
    <w:rsid w:val="002D4C49"/>
    <w:rsid w:val="002D4D18"/>
    <w:rsid w:val="002D4D80"/>
    <w:rsid w:val="002D4E80"/>
    <w:rsid w:val="002D4E89"/>
    <w:rsid w:val="002D4EBD"/>
    <w:rsid w:val="002D4EBF"/>
    <w:rsid w:val="002D4EED"/>
    <w:rsid w:val="002D4F05"/>
    <w:rsid w:val="002D4FB3"/>
    <w:rsid w:val="002D4FB7"/>
    <w:rsid w:val="002D4FDD"/>
    <w:rsid w:val="002D4FF6"/>
    <w:rsid w:val="002D50A6"/>
    <w:rsid w:val="002D50AB"/>
    <w:rsid w:val="002D50E2"/>
    <w:rsid w:val="002D5187"/>
    <w:rsid w:val="002D51A7"/>
    <w:rsid w:val="002D532A"/>
    <w:rsid w:val="002D5378"/>
    <w:rsid w:val="002D53A1"/>
    <w:rsid w:val="002D5445"/>
    <w:rsid w:val="002D546A"/>
    <w:rsid w:val="002D550D"/>
    <w:rsid w:val="002D5601"/>
    <w:rsid w:val="002D560A"/>
    <w:rsid w:val="002D5645"/>
    <w:rsid w:val="002D573F"/>
    <w:rsid w:val="002D57E9"/>
    <w:rsid w:val="002D58B7"/>
    <w:rsid w:val="002D590A"/>
    <w:rsid w:val="002D5980"/>
    <w:rsid w:val="002D59AF"/>
    <w:rsid w:val="002D59BB"/>
    <w:rsid w:val="002D59D0"/>
    <w:rsid w:val="002D5A02"/>
    <w:rsid w:val="002D5A7B"/>
    <w:rsid w:val="002D5AAE"/>
    <w:rsid w:val="002D5C71"/>
    <w:rsid w:val="002D5C7E"/>
    <w:rsid w:val="002D5C87"/>
    <w:rsid w:val="002D5D02"/>
    <w:rsid w:val="002D5D83"/>
    <w:rsid w:val="002D5DD5"/>
    <w:rsid w:val="002D5E05"/>
    <w:rsid w:val="002D5E2F"/>
    <w:rsid w:val="002D5E92"/>
    <w:rsid w:val="002D5E94"/>
    <w:rsid w:val="002D5F04"/>
    <w:rsid w:val="002D5F20"/>
    <w:rsid w:val="002D6032"/>
    <w:rsid w:val="002D60B5"/>
    <w:rsid w:val="002D60D0"/>
    <w:rsid w:val="002D60EA"/>
    <w:rsid w:val="002D61EB"/>
    <w:rsid w:val="002D61EF"/>
    <w:rsid w:val="002D6271"/>
    <w:rsid w:val="002D6281"/>
    <w:rsid w:val="002D6308"/>
    <w:rsid w:val="002D6352"/>
    <w:rsid w:val="002D642E"/>
    <w:rsid w:val="002D6646"/>
    <w:rsid w:val="002D664E"/>
    <w:rsid w:val="002D6739"/>
    <w:rsid w:val="002D6781"/>
    <w:rsid w:val="002D686F"/>
    <w:rsid w:val="002D6943"/>
    <w:rsid w:val="002D6BB9"/>
    <w:rsid w:val="002D6C0B"/>
    <w:rsid w:val="002D6C91"/>
    <w:rsid w:val="002D6DA6"/>
    <w:rsid w:val="002D6DC2"/>
    <w:rsid w:val="002D6DFA"/>
    <w:rsid w:val="002D6E45"/>
    <w:rsid w:val="002D6ED5"/>
    <w:rsid w:val="002D7040"/>
    <w:rsid w:val="002D7125"/>
    <w:rsid w:val="002D7187"/>
    <w:rsid w:val="002D71ED"/>
    <w:rsid w:val="002D7371"/>
    <w:rsid w:val="002D73D1"/>
    <w:rsid w:val="002D7405"/>
    <w:rsid w:val="002D748A"/>
    <w:rsid w:val="002D74E3"/>
    <w:rsid w:val="002D74F8"/>
    <w:rsid w:val="002D7531"/>
    <w:rsid w:val="002D76FC"/>
    <w:rsid w:val="002D7748"/>
    <w:rsid w:val="002D77FF"/>
    <w:rsid w:val="002D7854"/>
    <w:rsid w:val="002D7860"/>
    <w:rsid w:val="002D7869"/>
    <w:rsid w:val="002D7878"/>
    <w:rsid w:val="002D78F9"/>
    <w:rsid w:val="002D7944"/>
    <w:rsid w:val="002D7954"/>
    <w:rsid w:val="002D79BD"/>
    <w:rsid w:val="002D79F1"/>
    <w:rsid w:val="002D79F7"/>
    <w:rsid w:val="002D7A71"/>
    <w:rsid w:val="002D7BCF"/>
    <w:rsid w:val="002D7CE0"/>
    <w:rsid w:val="002D7D63"/>
    <w:rsid w:val="002D7DB2"/>
    <w:rsid w:val="002D7E5A"/>
    <w:rsid w:val="002D7FE6"/>
    <w:rsid w:val="002E00A5"/>
    <w:rsid w:val="002E00E3"/>
    <w:rsid w:val="002E0124"/>
    <w:rsid w:val="002E0245"/>
    <w:rsid w:val="002E0294"/>
    <w:rsid w:val="002E0312"/>
    <w:rsid w:val="002E0337"/>
    <w:rsid w:val="002E0356"/>
    <w:rsid w:val="002E03DD"/>
    <w:rsid w:val="002E0447"/>
    <w:rsid w:val="002E04D4"/>
    <w:rsid w:val="002E05ED"/>
    <w:rsid w:val="002E0726"/>
    <w:rsid w:val="002E07AA"/>
    <w:rsid w:val="002E07CE"/>
    <w:rsid w:val="002E085E"/>
    <w:rsid w:val="002E0879"/>
    <w:rsid w:val="002E088E"/>
    <w:rsid w:val="002E0967"/>
    <w:rsid w:val="002E0A77"/>
    <w:rsid w:val="002E0AD4"/>
    <w:rsid w:val="002E0BF0"/>
    <w:rsid w:val="002E0C0C"/>
    <w:rsid w:val="002E0C7A"/>
    <w:rsid w:val="002E0C8D"/>
    <w:rsid w:val="002E0CC6"/>
    <w:rsid w:val="002E0D09"/>
    <w:rsid w:val="002E0D45"/>
    <w:rsid w:val="002E0DC2"/>
    <w:rsid w:val="002E0E80"/>
    <w:rsid w:val="002E0E99"/>
    <w:rsid w:val="002E0EC1"/>
    <w:rsid w:val="002E0F3B"/>
    <w:rsid w:val="002E0F77"/>
    <w:rsid w:val="002E0FEB"/>
    <w:rsid w:val="002E0FF6"/>
    <w:rsid w:val="002E10B3"/>
    <w:rsid w:val="002E1138"/>
    <w:rsid w:val="002E130D"/>
    <w:rsid w:val="002E138A"/>
    <w:rsid w:val="002E143C"/>
    <w:rsid w:val="002E14B9"/>
    <w:rsid w:val="002E14E4"/>
    <w:rsid w:val="002E14FE"/>
    <w:rsid w:val="002E1528"/>
    <w:rsid w:val="002E1537"/>
    <w:rsid w:val="002E158A"/>
    <w:rsid w:val="002E16AA"/>
    <w:rsid w:val="002E1770"/>
    <w:rsid w:val="002E17C3"/>
    <w:rsid w:val="002E1812"/>
    <w:rsid w:val="002E1920"/>
    <w:rsid w:val="002E1977"/>
    <w:rsid w:val="002E19CC"/>
    <w:rsid w:val="002E19DF"/>
    <w:rsid w:val="002E1A00"/>
    <w:rsid w:val="002E1A08"/>
    <w:rsid w:val="002E1A3C"/>
    <w:rsid w:val="002E1A60"/>
    <w:rsid w:val="002E1AA3"/>
    <w:rsid w:val="002E1BC6"/>
    <w:rsid w:val="002E1C0D"/>
    <w:rsid w:val="002E1C13"/>
    <w:rsid w:val="002E1CB0"/>
    <w:rsid w:val="002E1CD7"/>
    <w:rsid w:val="002E1D6C"/>
    <w:rsid w:val="002E1D76"/>
    <w:rsid w:val="002E1E3F"/>
    <w:rsid w:val="002E1F62"/>
    <w:rsid w:val="002E1F9E"/>
    <w:rsid w:val="002E20C9"/>
    <w:rsid w:val="002E20FE"/>
    <w:rsid w:val="002E2134"/>
    <w:rsid w:val="002E2160"/>
    <w:rsid w:val="002E2419"/>
    <w:rsid w:val="002E251F"/>
    <w:rsid w:val="002E2525"/>
    <w:rsid w:val="002E2600"/>
    <w:rsid w:val="002E2657"/>
    <w:rsid w:val="002E26DF"/>
    <w:rsid w:val="002E26F5"/>
    <w:rsid w:val="002E2703"/>
    <w:rsid w:val="002E271F"/>
    <w:rsid w:val="002E2740"/>
    <w:rsid w:val="002E28EC"/>
    <w:rsid w:val="002E2924"/>
    <w:rsid w:val="002E2988"/>
    <w:rsid w:val="002E2A55"/>
    <w:rsid w:val="002E2ADE"/>
    <w:rsid w:val="002E2B67"/>
    <w:rsid w:val="002E2B7E"/>
    <w:rsid w:val="002E2C0D"/>
    <w:rsid w:val="002E2C27"/>
    <w:rsid w:val="002E2C6D"/>
    <w:rsid w:val="002E2D53"/>
    <w:rsid w:val="002E2E3C"/>
    <w:rsid w:val="002E2F69"/>
    <w:rsid w:val="002E2F77"/>
    <w:rsid w:val="002E302E"/>
    <w:rsid w:val="002E3058"/>
    <w:rsid w:val="002E3098"/>
    <w:rsid w:val="002E311E"/>
    <w:rsid w:val="002E316D"/>
    <w:rsid w:val="002E31A9"/>
    <w:rsid w:val="002E31C2"/>
    <w:rsid w:val="002E334D"/>
    <w:rsid w:val="002E336F"/>
    <w:rsid w:val="002E3435"/>
    <w:rsid w:val="002E346A"/>
    <w:rsid w:val="002E355D"/>
    <w:rsid w:val="002E35E2"/>
    <w:rsid w:val="002E3796"/>
    <w:rsid w:val="002E383E"/>
    <w:rsid w:val="002E3A7A"/>
    <w:rsid w:val="002E3AAC"/>
    <w:rsid w:val="002E3B92"/>
    <w:rsid w:val="002E3C8C"/>
    <w:rsid w:val="002E3E02"/>
    <w:rsid w:val="002E409F"/>
    <w:rsid w:val="002E40D1"/>
    <w:rsid w:val="002E40E7"/>
    <w:rsid w:val="002E4149"/>
    <w:rsid w:val="002E41DE"/>
    <w:rsid w:val="002E41E6"/>
    <w:rsid w:val="002E425C"/>
    <w:rsid w:val="002E427C"/>
    <w:rsid w:val="002E432E"/>
    <w:rsid w:val="002E43B8"/>
    <w:rsid w:val="002E4465"/>
    <w:rsid w:val="002E4517"/>
    <w:rsid w:val="002E4549"/>
    <w:rsid w:val="002E4557"/>
    <w:rsid w:val="002E45D3"/>
    <w:rsid w:val="002E45DB"/>
    <w:rsid w:val="002E45E1"/>
    <w:rsid w:val="002E4644"/>
    <w:rsid w:val="002E464A"/>
    <w:rsid w:val="002E465E"/>
    <w:rsid w:val="002E4666"/>
    <w:rsid w:val="002E4669"/>
    <w:rsid w:val="002E46EA"/>
    <w:rsid w:val="002E4707"/>
    <w:rsid w:val="002E4735"/>
    <w:rsid w:val="002E475E"/>
    <w:rsid w:val="002E47C6"/>
    <w:rsid w:val="002E47E9"/>
    <w:rsid w:val="002E4805"/>
    <w:rsid w:val="002E48DE"/>
    <w:rsid w:val="002E4908"/>
    <w:rsid w:val="002E4926"/>
    <w:rsid w:val="002E4A29"/>
    <w:rsid w:val="002E4B3F"/>
    <w:rsid w:val="002E4C26"/>
    <w:rsid w:val="002E4C49"/>
    <w:rsid w:val="002E4CE6"/>
    <w:rsid w:val="002E4DE6"/>
    <w:rsid w:val="002E4E70"/>
    <w:rsid w:val="002E4EA9"/>
    <w:rsid w:val="002E4F25"/>
    <w:rsid w:val="002E4F38"/>
    <w:rsid w:val="002E4FE2"/>
    <w:rsid w:val="002E4FEA"/>
    <w:rsid w:val="002E5088"/>
    <w:rsid w:val="002E50AD"/>
    <w:rsid w:val="002E5186"/>
    <w:rsid w:val="002E5363"/>
    <w:rsid w:val="002E5375"/>
    <w:rsid w:val="002E549B"/>
    <w:rsid w:val="002E55AF"/>
    <w:rsid w:val="002E55F9"/>
    <w:rsid w:val="002E56F5"/>
    <w:rsid w:val="002E575C"/>
    <w:rsid w:val="002E5789"/>
    <w:rsid w:val="002E57C2"/>
    <w:rsid w:val="002E5809"/>
    <w:rsid w:val="002E58AD"/>
    <w:rsid w:val="002E5B40"/>
    <w:rsid w:val="002E5C24"/>
    <w:rsid w:val="002E5DE7"/>
    <w:rsid w:val="002E5E15"/>
    <w:rsid w:val="002E5E23"/>
    <w:rsid w:val="002E5EC5"/>
    <w:rsid w:val="002E5F20"/>
    <w:rsid w:val="002E6045"/>
    <w:rsid w:val="002E60B3"/>
    <w:rsid w:val="002E61D4"/>
    <w:rsid w:val="002E61EB"/>
    <w:rsid w:val="002E6211"/>
    <w:rsid w:val="002E6223"/>
    <w:rsid w:val="002E6258"/>
    <w:rsid w:val="002E6270"/>
    <w:rsid w:val="002E6272"/>
    <w:rsid w:val="002E62D1"/>
    <w:rsid w:val="002E6355"/>
    <w:rsid w:val="002E63AA"/>
    <w:rsid w:val="002E63E4"/>
    <w:rsid w:val="002E64F5"/>
    <w:rsid w:val="002E65F9"/>
    <w:rsid w:val="002E664A"/>
    <w:rsid w:val="002E69CD"/>
    <w:rsid w:val="002E69E6"/>
    <w:rsid w:val="002E6A1E"/>
    <w:rsid w:val="002E6A75"/>
    <w:rsid w:val="002E6AD8"/>
    <w:rsid w:val="002E6B4E"/>
    <w:rsid w:val="002E6C2C"/>
    <w:rsid w:val="002E6C76"/>
    <w:rsid w:val="002E6CBB"/>
    <w:rsid w:val="002E6D4F"/>
    <w:rsid w:val="002E6DA2"/>
    <w:rsid w:val="002E6EC2"/>
    <w:rsid w:val="002E7007"/>
    <w:rsid w:val="002E70F1"/>
    <w:rsid w:val="002E7102"/>
    <w:rsid w:val="002E7123"/>
    <w:rsid w:val="002E7152"/>
    <w:rsid w:val="002E720E"/>
    <w:rsid w:val="002E725C"/>
    <w:rsid w:val="002E7294"/>
    <w:rsid w:val="002E73B0"/>
    <w:rsid w:val="002E745F"/>
    <w:rsid w:val="002E75B4"/>
    <w:rsid w:val="002E75D7"/>
    <w:rsid w:val="002E75FD"/>
    <w:rsid w:val="002E7766"/>
    <w:rsid w:val="002E78A4"/>
    <w:rsid w:val="002E7986"/>
    <w:rsid w:val="002E7AB7"/>
    <w:rsid w:val="002E7AC0"/>
    <w:rsid w:val="002E7BCC"/>
    <w:rsid w:val="002E7D98"/>
    <w:rsid w:val="002E7E57"/>
    <w:rsid w:val="002E7E61"/>
    <w:rsid w:val="002E7F54"/>
    <w:rsid w:val="002F0085"/>
    <w:rsid w:val="002F02BD"/>
    <w:rsid w:val="002F02FC"/>
    <w:rsid w:val="002F0359"/>
    <w:rsid w:val="002F0383"/>
    <w:rsid w:val="002F03B0"/>
    <w:rsid w:val="002F03D5"/>
    <w:rsid w:val="002F0430"/>
    <w:rsid w:val="002F0679"/>
    <w:rsid w:val="002F06A6"/>
    <w:rsid w:val="002F0899"/>
    <w:rsid w:val="002F08ED"/>
    <w:rsid w:val="002F0999"/>
    <w:rsid w:val="002F09D7"/>
    <w:rsid w:val="002F0B21"/>
    <w:rsid w:val="002F0B57"/>
    <w:rsid w:val="002F0B9C"/>
    <w:rsid w:val="002F0BDC"/>
    <w:rsid w:val="002F0C0F"/>
    <w:rsid w:val="002F0C76"/>
    <w:rsid w:val="002F0D17"/>
    <w:rsid w:val="002F0D9A"/>
    <w:rsid w:val="002F0F3C"/>
    <w:rsid w:val="002F0F4C"/>
    <w:rsid w:val="002F0F8D"/>
    <w:rsid w:val="002F107A"/>
    <w:rsid w:val="002F11D8"/>
    <w:rsid w:val="002F11E2"/>
    <w:rsid w:val="002F1223"/>
    <w:rsid w:val="002F122E"/>
    <w:rsid w:val="002F13BF"/>
    <w:rsid w:val="002F13F3"/>
    <w:rsid w:val="002F1525"/>
    <w:rsid w:val="002F15E3"/>
    <w:rsid w:val="002F1627"/>
    <w:rsid w:val="002F1666"/>
    <w:rsid w:val="002F1741"/>
    <w:rsid w:val="002F1744"/>
    <w:rsid w:val="002F184F"/>
    <w:rsid w:val="002F187D"/>
    <w:rsid w:val="002F195D"/>
    <w:rsid w:val="002F1960"/>
    <w:rsid w:val="002F1962"/>
    <w:rsid w:val="002F1972"/>
    <w:rsid w:val="002F1997"/>
    <w:rsid w:val="002F19AA"/>
    <w:rsid w:val="002F19C2"/>
    <w:rsid w:val="002F1A41"/>
    <w:rsid w:val="002F1ADE"/>
    <w:rsid w:val="002F1B00"/>
    <w:rsid w:val="002F1B27"/>
    <w:rsid w:val="002F1B2A"/>
    <w:rsid w:val="002F1BD2"/>
    <w:rsid w:val="002F1CBE"/>
    <w:rsid w:val="002F1CE9"/>
    <w:rsid w:val="002F1D28"/>
    <w:rsid w:val="002F1D35"/>
    <w:rsid w:val="002F1D55"/>
    <w:rsid w:val="002F1D69"/>
    <w:rsid w:val="002F1DEA"/>
    <w:rsid w:val="002F1E4E"/>
    <w:rsid w:val="002F1EA8"/>
    <w:rsid w:val="002F1EE8"/>
    <w:rsid w:val="002F1F73"/>
    <w:rsid w:val="002F2178"/>
    <w:rsid w:val="002F21E5"/>
    <w:rsid w:val="002F2250"/>
    <w:rsid w:val="002F2272"/>
    <w:rsid w:val="002F2341"/>
    <w:rsid w:val="002F2388"/>
    <w:rsid w:val="002F2487"/>
    <w:rsid w:val="002F24C9"/>
    <w:rsid w:val="002F253E"/>
    <w:rsid w:val="002F25E2"/>
    <w:rsid w:val="002F261A"/>
    <w:rsid w:val="002F2650"/>
    <w:rsid w:val="002F2667"/>
    <w:rsid w:val="002F266D"/>
    <w:rsid w:val="002F2685"/>
    <w:rsid w:val="002F26B3"/>
    <w:rsid w:val="002F280A"/>
    <w:rsid w:val="002F28F9"/>
    <w:rsid w:val="002F2B05"/>
    <w:rsid w:val="002F2B40"/>
    <w:rsid w:val="002F2CF5"/>
    <w:rsid w:val="002F2D2F"/>
    <w:rsid w:val="002F2DA3"/>
    <w:rsid w:val="002F2DE1"/>
    <w:rsid w:val="002F2DF6"/>
    <w:rsid w:val="002F2E18"/>
    <w:rsid w:val="002F2E7A"/>
    <w:rsid w:val="002F2EBD"/>
    <w:rsid w:val="002F2ED0"/>
    <w:rsid w:val="002F2FAC"/>
    <w:rsid w:val="002F3186"/>
    <w:rsid w:val="002F325C"/>
    <w:rsid w:val="002F3303"/>
    <w:rsid w:val="002F3430"/>
    <w:rsid w:val="002F345C"/>
    <w:rsid w:val="002F3513"/>
    <w:rsid w:val="002F3535"/>
    <w:rsid w:val="002F3609"/>
    <w:rsid w:val="002F36FE"/>
    <w:rsid w:val="002F3707"/>
    <w:rsid w:val="002F3726"/>
    <w:rsid w:val="002F3735"/>
    <w:rsid w:val="002F3782"/>
    <w:rsid w:val="002F3830"/>
    <w:rsid w:val="002F385D"/>
    <w:rsid w:val="002F387D"/>
    <w:rsid w:val="002F394D"/>
    <w:rsid w:val="002F3AC0"/>
    <w:rsid w:val="002F3BBC"/>
    <w:rsid w:val="002F3CCC"/>
    <w:rsid w:val="002F3D1F"/>
    <w:rsid w:val="002F3DA1"/>
    <w:rsid w:val="002F3E10"/>
    <w:rsid w:val="002F3E26"/>
    <w:rsid w:val="002F3E3F"/>
    <w:rsid w:val="002F3E53"/>
    <w:rsid w:val="002F3FDE"/>
    <w:rsid w:val="002F4015"/>
    <w:rsid w:val="002F4027"/>
    <w:rsid w:val="002F4040"/>
    <w:rsid w:val="002F40FE"/>
    <w:rsid w:val="002F4111"/>
    <w:rsid w:val="002F43AA"/>
    <w:rsid w:val="002F445A"/>
    <w:rsid w:val="002F4742"/>
    <w:rsid w:val="002F478B"/>
    <w:rsid w:val="002F4821"/>
    <w:rsid w:val="002F48D7"/>
    <w:rsid w:val="002F48ED"/>
    <w:rsid w:val="002F4938"/>
    <w:rsid w:val="002F4976"/>
    <w:rsid w:val="002F4A58"/>
    <w:rsid w:val="002F4AE1"/>
    <w:rsid w:val="002F4C21"/>
    <w:rsid w:val="002F4C94"/>
    <w:rsid w:val="002F4D42"/>
    <w:rsid w:val="002F4DC3"/>
    <w:rsid w:val="002F4DDA"/>
    <w:rsid w:val="002F4E85"/>
    <w:rsid w:val="002F4EAA"/>
    <w:rsid w:val="002F4EB8"/>
    <w:rsid w:val="002F4ECA"/>
    <w:rsid w:val="002F4EE1"/>
    <w:rsid w:val="002F505C"/>
    <w:rsid w:val="002F5065"/>
    <w:rsid w:val="002F5068"/>
    <w:rsid w:val="002F507B"/>
    <w:rsid w:val="002F513A"/>
    <w:rsid w:val="002F5188"/>
    <w:rsid w:val="002F51E6"/>
    <w:rsid w:val="002F532A"/>
    <w:rsid w:val="002F5421"/>
    <w:rsid w:val="002F5450"/>
    <w:rsid w:val="002F5566"/>
    <w:rsid w:val="002F556F"/>
    <w:rsid w:val="002F55F9"/>
    <w:rsid w:val="002F5675"/>
    <w:rsid w:val="002F576E"/>
    <w:rsid w:val="002F57C8"/>
    <w:rsid w:val="002F57D4"/>
    <w:rsid w:val="002F5942"/>
    <w:rsid w:val="002F5974"/>
    <w:rsid w:val="002F597C"/>
    <w:rsid w:val="002F59C0"/>
    <w:rsid w:val="002F5AB6"/>
    <w:rsid w:val="002F5BC6"/>
    <w:rsid w:val="002F5C9D"/>
    <w:rsid w:val="002F5CCC"/>
    <w:rsid w:val="002F5D1E"/>
    <w:rsid w:val="002F5DDB"/>
    <w:rsid w:val="002F5ECE"/>
    <w:rsid w:val="002F60BC"/>
    <w:rsid w:val="002F60EA"/>
    <w:rsid w:val="002F610A"/>
    <w:rsid w:val="002F6151"/>
    <w:rsid w:val="002F6197"/>
    <w:rsid w:val="002F638D"/>
    <w:rsid w:val="002F639D"/>
    <w:rsid w:val="002F63B0"/>
    <w:rsid w:val="002F63BF"/>
    <w:rsid w:val="002F649B"/>
    <w:rsid w:val="002F651C"/>
    <w:rsid w:val="002F652B"/>
    <w:rsid w:val="002F6591"/>
    <w:rsid w:val="002F65D2"/>
    <w:rsid w:val="002F65FD"/>
    <w:rsid w:val="002F68F8"/>
    <w:rsid w:val="002F692E"/>
    <w:rsid w:val="002F6942"/>
    <w:rsid w:val="002F6A02"/>
    <w:rsid w:val="002F6AC7"/>
    <w:rsid w:val="002F6ADA"/>
    <w:rsid w:val="002F6B79"/>
    <w:rsid w:val="002F6DD1"/>
    <w:rsid w:val="002F6E17"/>
    <w:rsid w:val="002F6E30"/>
    <w:rsid w:val="002F6ED1"/>
    <w:rsid w:val="002F6F48"/>
    <w:rsid w:val="002F6FE8"/>
    <w:rsid w:val="002F71BB"/>
    <w:rsid w:val="002F7237"/>
    <w:rsid w:val="002F739F"/>
    <w:rsid w:val="002F75F7"/>
    <w:rsid w:val="002F7614"/>
    <w:rsid w:val="002F7733"/>
    <w:rsid w:val="002F77A9"/>
    <w:rsid w:val="002F7820"/>
    <w:rsid w:val="002F7861"/>
    <w:rsid w:val="002F7878"/>
    <w:rsid w:val="002F78D5"/>
    <w:rsid w:val="002F78DD"/>
    <w:rsid w:val="002F798F"/>
    <w:rsid w:val="002F7A44"/>
    <w:rsid w:val="002F7AA2"/>
    <w:rsid w:val="002F7AAF"/>
    <w:rsid w:val="002F7AC1"/>
    <w:rsid w:val="002F7B0E"/>
    <w:rsid w:val="002F7B5C"/>
    <w:rsid w:val="002F7B61"/>
    <w:rsid w:val="002F7B67"/>
    <w:rsid w:val="002F7E2E"/>
    <w:rsid w:val="002F7EEB"/>
    <w:rsid w:val="002F7EF0"/>
    <w:rsid w:val="002F7F23"/>
    <w:rsid w:val="00300041"/>
    <w:rsid w:val="0030005B"/>
    <w:rsid w:val="0030008F"/>
    <w:rsid w:val="0030012A"/>
    <w:rsid w:val="0030014B"/>
    <w:rsid w:val="0030014C"/>
    <w:rsid w:val="00300189"/>
    <w:rsid w:val="00300194"/>
    <w:rsid w:val="00300257"/>
    <w:rsid w:val="00300362"/>
    <w:rsid w:val="003003C5"/>
    <w:rsid w:val="003003F8"/>
    <w:rsid w:val="0030041B"/>
    <w:rsid w:val="00300422"/>
    <w:rsid w:val="003004D7"/>
    <w:rsid w:val="0030050D"/>
    <w:rsid w:val="00300540"/>
    <w:rsid w:val="003005E7"/>
    <w:rsid w:val="00300606"/>
    <w:rsid w:val="003006EA"/>
    <w:rsid w:val="0030089C"/>
    <w:rsid w:val="003009CD"/>
    <w:rsid w:val="003009D5"/>
    <w:rsid w:val="00300A54"/>
    <w:rsid w:val="00300AC1"/>
    <w:rsid w:val="00300ADE"/>
    <w:rsid w:val="00300B2C"/>
    <w:rsid w:val="00300B5F"/>
    <w:rsid w:val="00300C9B"/>
    <w:rsid w:val="00300D13"/>
    <w:rsid w:val="00300D2D"/>
    <w:rsid w:val="00300D55"/>
    <w:rsid w:val="00300D5F"/>
    <w:rsid w:val="00300F30"/>
    <w:rsid w:val="00300F4E"/>
    <w:rsid w:val="00301011"/>
    <w:rsid w:val="0030104C"/>
    <w:rsid w:val="003010BB"/>
    <w:rsid w:val="00301164"/>
    <w:rsid w:val="0030119F"/>
    <w:rsid w:val="0030125D"/>
    <w:rsid w:val="003012F1"/>
    <w:rsid w:val="0030133D"/>
    <w:rsid w:val="003013BC"/>
    <w:rsid w:val="00301434"/>
    <w:rsid w:val="003014BC"/>
    <w:rsid w:val="003015D0"/>
    <w:rsid w:val="00301661"/>
    <w:rsid w:val="00301715"/>
    <w:rsid w:val="00301732"/>
    <w:rsid w:val="00301755"/>
    <w:rsid w:val="00301777"/>
    <w:rsid w:val="0030181E"/>
    <w:rsid w:val="00301854"/>
    <w:rsid w:val="003018BB"/>
    <w:rsid w:val="00301918"/>
    <w:rsid w:val="003019DB"/>
    <w:rsid w:val="003019E4"/>
    <w:rsid w:val="00301A17"/>
    <w:rsid w:val="00301B0B"/>
    <w:rsid w:val="00301BEB"/>
    <w:rsid w:val="00301BEC"/>
    <w:rsid w:val="00301C1A"/>
    <w:rsid w:val="00301C45"/>
    <w:rsid w:val="00301C7A"/>
    <w:rsid w:val="00301C83"/>
    <w:rsid w:val="00301C9B"/>
    <w:rsid w:val="00301D79"/>
    <w:rsid w:val="00301E2A"/>
    <w:rsid w:val="00301F03"/>
    <w:rsid w:val="0030201F"/>
    <w:rsid w:val="003021D7"/>
    <w:rsid w:val="003022CA"/>
    <w:rsid w:val="003022CD"/>
    <w:rsid w:val="0030235C"/>
    <w:rsid w:val="003024EE"/>
    <w:rsid w:val="003025D0"/>
    <w:rsid w:val="00302619"/>
    <w:rsid w:val="0030270F"/>
    <w:rsid w:val="00302728"/>
    <w:rsid w:val="0030275B"/>
    <w:rsid w:val="003027B7"/>
    <w:rsid w:val="0030280A"/>
    <w:rsid w:val="0030289C"/>
    <w:rsid w:val="003029D9"/>
    <w:rsid w:val="003029E7"/>
    <w:rsid w:val="00302A15"/>
    <w:rsid w:val="00302B22"/>
    <w:rsid w:val="00302C65"/>
    <w:rsid w:val="00302CBB"/>
    <w:rsid w:val="00302D48"/>
    <w:rsid w:val="00302DD6"/>
    <w:rsid w:val="00302DEC"/>
    <w:rsid w:val="00302DF8"/>
    <w:rsid w:val="00302E7D"/>
    <w:rsid w:val="00302F2C"/>
    <w:rsid w:val="00302FBB"/>
    <w:rsid w:val="0030305C"/>
    <w:rsid w:val="00303116"/>
    <w:rsid w:val="00303197"/>
    <w:rsid w:val="003031F3"/>
    <w:rsid w:val="00303209"/>
    <w:rsid w:val="0030324B"/>
    <w:rsid w:val="0030326A"/>
    <w:rsid w:val="0030334A"/>
    <w:rsid w:val="0030343A"/>
    <w:rsid w:val="0030343E"/>
    <w:rsid w:val="0030351B"/>
    <w:rsid w:val="003035AB"/>
    <w:rsid w:val="00303794"/>
    <w:rsid w:val="003037BF"/>
    <w:rsid w:val="003037FA"/>
    <w:rsid w:val="0030386F"/>
    <w:rsid w:val="0030389E"/>
    <w:rsid w:val="003038A8"/>
    <w:rsid w:val="00303935"/>
    <w:rsid w:val="003039C4"/>
    <w:rsid w:val="003039C7"/>
    <w:rsid w:val="003039E8"/>
    <w:rsid w:val="00303A0D"/>
    <w:rsid w:val="00303B1B"/>
    <w:rsid w:val="00303B42"/>
    <w:rsid w:val="00303BDD"/>
    <w:rsid w:val="00303C21"/>
    <w:rsid w:val="00303C91"/>
    <w:rsid w:val="00303CB5"/>
    <w:rsid w:val="00303D25"/>
    <w:rsid w:val="00303D5E"/>
    <w:rsid w:val="00303EED"/>
    <w:rsid w:val="00303F09"/>
    <w:rsid w:val="00303F66"/>
    <w:rsid w:val="00303F71"/>
    <w:rsid w:val="00303F8C"/>
    <w:rsid w:val="0030409B"/>
    <w:rsid w:val="003040E3"/>
    <w:rsid w:val="0030427F"/>
    <w:rsid w:val="003042A0"/>
    <w:rsid w:val="003042A2"/>
    <w:rsid w:val="003042A9"/>
    <w:rsid w:val="003042B5"/>
    <w:rsid w:val="00304372"/>
    <w:rsid w:val="00304398"/>
    <w:rsid w:val="003043D1"/>
    <w:rsid w:val="00304501"/>
    <w:rsid w:val="00304536"/>
    <w:rsid w:val="003045FB"/>
    <w:rsid w:val="00304651"/>
    <w:rsid w:val="003046C3"/>
    <w:rsid w:val="00304783"/>
    <w:rsid w:val="003048D6"/>
    <w:rsid w:val="00304920"/>
    <w:rsid w:val="00304C19"/>
    <w:rsid w:val="00304C47"/>
    <w:rsid w:val="00304C87"/>
    <w:rsid w:val="00304CB0"/>
    <w:rsid w:val="00304D23"/>
    <w:rsid w:val="00304D7A"/>
    <w:rsid w:val="00304DFF"/>
    <w:rsid w:val="00304E37"/>
    <w:rsid w:val="00304E8F"/>
    <w:rsid w:val="00304EAD"/>
    <w:rsid w:val="00304EB6"/>
    <w:rsid w:val="00304F43"/>
    <w:rsid w:val="00304F8D"/>
    <w:rsid w:val="003050A0"/>
    <w:rsid w:val="0030512B"/>
    <w:rsid w:val="003051C6"/>
    <w:rsid w:val="003051DF"/>
    <w:rsid w:val="00305256"/>
    <w:rsid w:val="00305369"/>
    <w:rsid w:val="0030539C"/>
    <w:rsid w:val="00305406"/>
    <w:rsid w:val="00305430"/>
    <w:rsid w:val="00305456"/>
    <w:rsid w:val="003054E8"/>
    <w:rsid w:val="00305616"/>
    <w:rsid w:val="0030563A"/>
    <w:rsid w:val="003056E7"/>
    <w:rsid w:val="00305795"/>
    <w:rsid w:val="0030580D"/>
    <w:rsid w:val="00305891"/>
    <w:rsid w:val="003058F2"/>
    <w:rsid w:val="0030590D"/>
    <w:rsid w:val="00305965"/>
    <w:rsid w:val="003059BA"/>
    <w:rsid w:val="003059C3"/>
    <w:rsid w:val="00305A13"/>
    <w:rsid w:val="00305A7B"/>
    <w:rsid w:val="00305AD6"/>
    <w:rsid w:val="00305B4B"/>
    <w:rsid w:val="00305B53"/>
    <w:rsid w:val="00305BED"/>
    <w:rsid w:val="00305C09"/>
    <w:rsid w:val="00305C70"/>
    <w:rsid w:val="00305D84"/>
    <w:rsid w:val="00305DAD"/>
    <w:rsid w:val="00305E6E"/>
    <w:rsid w:val="00305F43"/>
    <w:rsid w:val="00306001"/>
    <w:rsid w:val="00306081"/>
    <w:rsid w:val="003060AD"/>
    <w:rsid w:val="003060F8"/>
    <w:rsid w:val="00306103"/>
    <w:rsid w:val="00306171"/>
    <w:rsid w:val="00306209"/>
    <w:rsid w:val="00306235"/>
    <w:rsid w:val="00306378"/>
    <w:rsid w:val="0030645B"/>
    <w:rsid w:val="0030648F"/>
    <w:rsid w:val="00306539"/>
    <w:rsid w:val="003065A8"/>
    <w:rsid w:val="003065AC"/>
    <w:rsid w:val="003066E2"/>
    <w:rsid w:val="003066ED"/>
    <w:rsid w:val="0030673D"/>
    <w:rsid w:val="0030676C"/>
    <w:rsid w:val="00306791"/>
    <w:rsid w:val="0030679F"/>
    <w:rsid w:val="003067F9"/>
    <w:rsid w:val="0030695F"/>
    <w:rsid w:val="003069E2"/>
    <w:rsid w:val="003069E8"/>
    <w:rsid w:val="00306B2A"/>
    <w:rsid w:val="00306C71"/>
    <w:rsid w:val="00306D25"/>
    <w:rsid w:val="00306E02"/>
    <w:rsid w:val="00306ECF"/>
    <w:rsid w:val="00306EFC"/>
    <w:rsid w:val="0030700B"/>
    <w:rsid w:val="003070F5"/>
    <w:rsid w:val="0030712C"/>
    <w:rsid w:val="003072C9"/>
    <w:rsid w:val="00307318"/>
    <w:rsid w:val="00307385"/>
    <w:rsid w:val="00307456"/>
    <w:rsid w:val="0030747E"/>
    <w:rsid w:val="003074D2"/>
    <w:rsid w:val="00307525"/>
    <w:rsid w:val="003075A8"/>
    <w:rsid w:val="003075B0"/>
    <w:rsid w:val="003076FE"/>
    <w:rsid w:val="0030771F"/>
    <w:rsid w:val="00307752"/>
    <w:rsid w:val="0030790B"/>
    <w:rsid w:val="00307ADC"/>
    <w:rsid w:val="00307B46"/>
    <w:rsid w:val="00307BA7"/>
    <w:rsid w:val="00307C8D"/>
    <w:rsid w:val="00307CCF"/>
    <w:rsid w:val="00307CE9"/>
    <w:rsid w:val="00307D7E"/>
    <w:rsid w:val="00307DD4"/>
    <w:rsid w:val="00307E52"/>
    <w:rsid w:val="00307E59"/>
    <w:rsid w:val="00307E9D"/>
    <w:rsid w:val="00307FBA"/>
    <w:rsid w:val="0031008B"/>
    <w:rsid w:val="003100A6"/>
    <w:rsid w:val="003100EA"/>
    <w:rsid w:val="00310146"/>
    <w:rsid w:val="00310196"/>
    <w:rsid w:val="003101B0"/>
    <w:rsid w:val="003101EB"/>
    <w:rsid w:val="0031025D"/>
    <w:rsid w:val="00310293"/>
    <w:rsid w:val="00310323"/>
    <w:rsid w:val="00310358"/>
    <w:rsid w:val="00310499"/>
    <w:rsid w:val="003104A1"/>
    <w:rsid w:val="003104D5"/>
    <w:rsid w:val="003104FC"/>
    <w:rsid w:val="0031058B"/>
    <w:rsid w:val="00310703"/>
    <w:rsid w:val="00310757"/>
    <w:rsid w:val="0031076F"/>
    <w:rsid w:val="003108A4"/>
    <w:rsid w:val="00310900"/>
    <w:rsid w:val="0031099B"/>
    <w:rsid w:val="00310A55"/>
    <w:rsid w:val="00310A6E"/>
    <w:rsid w:val="00310ACA"/>
    <w:rsid w:val="00310B26"/>
    <w:rsid w:val="00310BB7"/>
    <w:rsid w:val="00310BED"/>
    <w:rsid w:val="00310D33"/>
    <w:rsid w:val="00310DC3"/>
    <w:rsid w:val="00310E7A"/>
    <w:rsid w:val="00310E87"/>
    <w:rsid w:val="00310F81"/>
    <w:rsid w:val="00310FA1"/>
    <w:rsid w:val="0031108F"/>
    <w:rsid w:val="0031112B"/>
    <w:rsid w:val="0031114E"/>
    <w:rsid w:val="003111FE"/>
    <w:rsid w:val="0031121F"/>
    <w:rsid w:val="00311291"/>
    <w:rsid w:val="00311477"/>
    <w:rsid w:val="003114C1"/>
    <w:rsid w:val="00311566"/>
    <w:rsid w:val="00311585"/>
    <w:rsid w:val="00311610"/>
    <w:rsid w:val="00311676"/>
    <w:rsid w:val="00311745"/>
    <w:rsid w:val="003118F9"/>
    <w:rsid w:val="003119C7"/>
    <w:rsid w:val="00311A53"/>
    <w:rsid w:val="00311A76"/>
    <w:rsid w:val="00311A9B"/>
    <w:rsid w:val="00311AEE"/>
    <w:rsid w:val="00311BAE"/>
    <w:rsid w:val="00311D37"/>
    <w:rsid w:val="00311D45"/>
    <w:rsid w:val="00311DC8"/>
    <w:rsid w:val="00311DD9"/>
    <w:rsid w:val="00311ED2"/>
    <w:rsid w:val="00311ED5"/>
    <w:rsid w:val="003120E4"/>
    <w:rsid w:val="00312174"/>
    <w:rsid w:val="00312205"/>
    <w:rsid w:val="00312218"/>
    <w:rsid w:val="00312243"/>
    <w:rsid w:val="00312280"/>
    <w:rsid w:val="003123CA"/>
    <w:rsid w:val="0031241A"/>
    <w:rsid w:val="0031253A"/>
    <w:rsid w:val="00312615"/>
    <w:rsid w:val="00312635"/>
    <w:rsid w:val="00312650"/>
    <w:rsid w:val="00312749"/>
    <w:rsid w:val="0031276F"/>
    <w:rsid w:val="0031286A"/>
    <w:rsid w:val="00312871"/>
    <w:rsid w:val="003128AF"/>
    <w:rsid w:val="00312920"/>
    <w:rsid w:val="00312939"/>
    <w:rsid w:val="0031295F"/>
    <w:rsid w:val="003129E1"/>
    <w:rsid w:val="00312AF5"/>
    <w:rsid w:val="00312B00"/>
    <w:rsid w:val="00312BB2"/>
    <w:rsid w:val="00312CD0"/>
    <w:rsid w:val="00312E4E"/>
    <w:rsid w:val="00312EA8"/>
    <w:rsid w:val="00313001"/>
    <w:rsid w:val="00313015"/>
    <w:rsid w:val="0031306B"/>
    <w:rsid w:val="00313078"/>
    <w:rsid w:val="00313176"/>
    <w:rsid w:val="00313360"/>
    <w:rsid w:val="0031338C"/>
    <w:rsid w:val="003133D2"/>
    <w:rsid w:val="00313468"/>
    <w:rsid w:val="00313487"/>
    <w:rsid w:val="0031348D"/>
    <w:rsid w:val="003134CC"/>
    <w:rsid w:val="003135BD"/>
    <w:rsid w:val="003135FF"/>
    <w:rsid w:val="00313602"/>
    <w:rsid w:val="00313609"/>
    <w:rsid w:val="00313614"/>
    <w:rsid w:val="00313618"/>
    <w:rsid w:val="003136F6"/>
    <w:rsid w:val="00313700"/>
    <w:rsid w:val="00313741"/>
    <w:rsid w:val="00313839"/>
    <w:rsid w:val="0031385F"/>
    <w:rsid w:val="003138B0"/>
    <w:rsid w:val="003139C0"/>
    <w:rsid w:val="00313A14"/>
    <w:rsid w:val="00313B47"/>
    <w:rsid w:val="00313BA6"/>
    <w:rsid w:val="00313C58"/>
    <w:rsid w:val="00313CA1"/>
    <w:rsid w:val="00313CE9"/>
    <w:rsid w:val="00313D31"/>
    <w:rsid w:val="00313E77"/>
    <w:rsid w:val="00313F28"/>
    <w:rsid w:val="00313F2A"/>
    <w:rsid w:val="00313F2C"/>
    <w:rsid w:val="00313FFA"/>
    <w:rsid w:val="00314006"/>
    <w:rsid w:val="003140C6"/>
    <w:rsid w:val="003140D4"/>
    <w:rsid w:val="00314127"/>
    <w:rsid w:val="0031414C"/>
    <w:rsid w:val="003142F5"/>
    <w:rsid w:val="0031432D"/>
    <w:rsid w:val="003143A7"/>
    <w:rsid w:val="003144C7"/>
    <w:rsid w:val="0031453C"/>
    <w:rsid w:val="0031457B"/>
    <w:rsid w:val="003145D6"/>
    <w:rsid w:val="0031460C"/>
    <w:rsid w:val="00314675"/>
    <w:rsid w:val="003146F0"/>
    <w:rsid w:val="00314831"/>
    <w:rsid w:val="00314958"/>
    <w:rsid w:val="00314C53"/>
    <w:rsid w:val="00314C77"/>
    <w:rsid w:val="00314D4F"/>
    <w:rsid w:val="00314D6B"/>
    <w:rsid w:val="00314D77"/>
    <w:rsid w:val="00314E1B"/>
    <w:rsid w:val="00314E5A"/>
    <w:rsid w:val="00314F4F"/>
    <w:rsid w:val="00314FD3"/>
    <w:rsid w:val="00314FDA"/>
    <w:rsid w:val="0031508B"/>
    <w:rsid w:val="003150F0"/>
    <w:rsid w:val="00315172"/>
    <w:rsid w:val="003151C9"/>
    <w:rsid w:val="0031522A"/>
    <w:rsid w:val="00315236"/>
    <w:rsid w:val="003152A1"/>
    <w:rsid w:val="0031532D"/>
    <w:rsid w:val="00315368"/>
    <w:rsid w:val="0031539C"/>
    <w:rsid w:val="0031555D"/>
    <w:rsid w:val="003155E5"/>
    <w:rsid w:val="003155F2"/>
    <w:rsid w:val="003155FC"/>
    <w:rsid w:val="0031564F"/>
    <w:rsid w:val="003156FE"/>
    <w:rsid w:val="00315843"/>
    <w:rsid w:val="00315880"/>
    <w:rsid w:val="00315909"/>
    <w:rsid w:val="00315A48"/>
    <w:rsid w:val="00315A79"/>
    <w:rsid w:val="00315ACC"/>
    <w:rsid w:val="00315B80"/>
    <w:rsid w:val="00315B90"/>
    <w:rsid w:val="00315BB3"/>
    <w:rsid w:val="00315BD8"/>
    <w:rsid w:val="00315CA3"/>
    <w:rsid w:val="00315CE3"/>
    <w:rsid w:val="00315DCE"/>
    <w:rsid w:val="00315E3A"/>
    <w:rsid w:val="00315F31"/>
    <w:rsid w:val="00315F45"/>
    <w:rsid w:val="00315FE7"/>
    <w:rsid w:val="0031604B"/>
    <w:rsid w:val="003160F9"/>
    <w:rsid w:val="003161C1"/>
    <w:rsid w:val="0031632E"/>
    <w:rsid w:val="003164AB"/>
    <w:rsid w:val="003164B7"/>
    <w:rsid w:val="003165B6"/>
    <w:rsid w:val="00316764"/>
    <w:rsid w:val="00316799"/>
    <w:rsid w:val="003167C3"/>
    <w:rsid w:val="003167DD"/>
    <w:rsid w:val="00316835"/>
    <w:rsid w:val="003168F4"/>
    <w:rsid w:val="00316918"/>
    <w:rsid w:val="00316973"/>
    <w:rsid w:val="003169D6"/>
    <w:rsid w:val="00316A02"/>
    <w:rsid w:val="00316A0C"/>
    <w:rsid w:val="00316AA4"/>
    <w:rsid w:val="00316B8C"/>
    <w:rsid w:val="00316BED"/>
    <w:rsid w:val="00316C82"/>
    <w:rsid w:val="00316CD7"/>
    <w:rsid w:val="00316D12"/>
    <w:rsid w:val="00316DA7"/>
    <w:rsid w:val="00316DC7"/>
    <w:rsid w:val="00316DDB"/>
    <w:rsid w:val="00316E37"/>
    <w:rsid w:val="00316E4E"/>
    <w:rsid w:val="00316F6F"/>
    <w:rsid w:val="00316F86"/>
    <w:rsid w:val="00316FED"/>
    <w:rsid w:val="00317081"/>
    <w:rsid w:val="00317127"/>
    <w:rsid w:val="003171EE"/>
    <w:rsid w:val="003171F5"/>
    <w:rsid w:val="00317269"/>
    <w:rsid w:val="00317290"/>
    <w:rsid w:val="00317357"/>
    <w:rsid w:val="0031738E"/>
    <w:rsid w:val="00317439"/>
    <w:rsid w:val="00317452"/>
    <w:rsid w:val="0031748C"/>
    <w:rsid w:val="003174BD"/>
    <w:rsid w:val="003174C5"/>
    <w:rsid w:val="003174DE"/>
    <w:rsid w:val="003174E2"/>
    <w:rsid w:val="00317585"/>
    <w:rsid w:val="003175B3"/>
    <w:rsid w:val="00317612"/>
    <w:rsid w:val="00317677"/>
    <w:rsid w:val="003176FA"/>
    <w:rsid w:val="0031771E"/>
    <w:rsid w:val="00317737"/>
    <w:rsid w:val="00317802"/>
    <w:rsid w:val="0031782B"/>
    <w:rsid w:val="003178B4"/>
    <w:rsid w:val="0031798D"/>
    <w:rsid w:val="00317A2D"/>
    <w:rsid w:val="00317B41"/>
    <w:rsid w:val="00317B47"/>
    <w:rsid w:val="00317B66"/>
    <w:rsid w:val="00317BD2"/>
    <w:rsid w:val="00317C2F"/>
    <w:rsid w:val="00317C3F"/>
    <w:rsid w:val="00317C4D"/>
    <w:rsid w:val="00317D31"/>
    <w:rsid w:val="00317D73"/>
    <w:rsid w:val="00317E20"/>
    <w:rsid w:val="003200DA"/>
    <w:rsid w:val="0032014F"/>
    <w:rsid w:val="003201D5"/>
    <w:rsid w:val="00320243"/>
    <w:rsid w:val="00320277"/>
    <w:rsid w:val="00320323"/>
    <w:rsid w:val="0032039A"/>
    <w:rsid w:val="003203AA"/>
    <w:rsid w:val="003203DF"/>
    <w:rsid w:val="00320436"/>
    <w:rsid w:val="00320575"/>
    <w:rsid w:val="003205B6"/>
    <w:rsid w:val="003206B3"/>
    <w:rsid w:val="0032074E"/>
    <w:rsid w:val="003207CE"/>
    <w:rsid w:val="00320880"/>
    <w:rsid w:val="0032088A"/>
    <w:rsid w:val="0032089B"/>
    <w:rsid w:val="00320A5D"/>
    <w:rsid w:val="00320AB0"/>
    <w:rsid w:val="00320AB6"/>
    <w:rsid w:val="00320B03"/>
    <w:rsid w:val="00320BD2"/>
    <w:rsid w:val="00320C10"/>
    <w:rsid w:val="00320C40"/>
    <w:rsid w:val="00320C50"/>
    <w:rsid w:val="00320CE6"/>
    <w:rsid w:val="00320D6F"/>
    <w:rsid w:val="00320DA8"/>
    <w:rsid w:val="00320E96"/>
    <w:rsid w:val="00320EEE"/>
    <w:rsid w:val="00320F53"/>
    <w:rsid w:val="0032103C"/>
    <w:rsid w:val="003210A8"/>
    <w:rsid w:val="0032134D"/>
    <w:rsid w:val="003213E8"/>
    <w:rsid w:val="00321443"/>
    <w:rsid w:val="003215AE"/>
    <w:rsid w:val="0032164A"/>
    <w:rsid w:val="0032170D"/>
    <w:rsid w:val="00321781"/>
    <w:rsid w:val="00321860"/>
    <w:rsid w:val="00321867"/>
    <w:rsid w:val="003218AB"/>
    <w:rsid w:val="0032194B"/>
    <w:rsid w:val="00321A01"/>
    <w:rsid w:val="00321B18"/>
    <w:rsid w:val="00321B4D"/>
    <w:rsid w:val="00321B76"/>
    <w:rsid w:val="00321C1F"/>
    <w:rsid w:val="00321C41"/>
    <w:rsid w:val="00321CE0"/>
    <w:rsid w:val="00321CF0"/>
    <w:rsid w:val="00321D81"/>
    <w:rsid w:val="00321DF6"/>
    <w:rsid w:val="00321E1F"/>
    <w:rsid w:val="00321F18"/>
    <w:rsid w:val="00321F4B"/>
    <w:rsid w:val="00321FAE"/>
    <w:rsid w:val="00321FBE"/>
    <w:rsid w:val="00321FF4"/>
    <w:rsid w:val="0032213D"/>
    <w:rsid w:val="00322172"/>
    <w:rsid w:val="00322199"/>
    <w:rsid w:val="003221F4"/>
    <w:rsid w:val="003222EA"/>
    <w:rsid w:val="003223C8"/>
    <w:rsid w:val="003223FD"/>
    <w:rsid w:val="0032240D"/>
    <w:rsid w:val="00322481"/>
    <w:rsid w:val="003224CC"/>
    <w:rsid w:val="003224F0"/>
    <w:rsid w:val="00322514"/>
    <w:rsid w:val="00322542"/>
    <w:rsid w:val="0032258F"/>
    <w:rsid w:val="0032262D"/>
    <w:rsid w:val="00322691"/>
    <w:rsid w:val="0032269D"/>
    <w:rsid w:val="003226F1"/>
    <w:rsid w:val="0032277F"/>
    <w:rsid w:val="0032289B"/>
    <w:rsid w:val="003228C1"/>
    <w:rsid w:val="00322993"/>
    <w:rsid w:val="003229F4"/>
    <w:rsid w:val="00322A09"/>
    <w:rsid w:val="00322A47"/>
    <w:rsid w:val="00322B05"/>
    <w:rsid w:val="00322B1E"/>
    <w:rsid w:val="00322D30"/>
    <w:rsid w:val="00322FEB"/>
    <w:rsid w:val="00323034"/>
    <w:rsid w:val="0032303A"/>
    <w:rsid w:val="003230C8"/>
    <w:rsid w:val="0032316D"/>
    <w:rsid w:val="00323267"/>
    <w:rsid w:val="00323335"/>
    <w:rsid w:val="003234C1"/>
    <w:rsid w:val="003234D7"/>
    <w:rsid w:val="003234FC"/>
    <w:rsid w:val="00323735"/>
    <w:rsid w:val="00323763"/>
    <w:rsid w:val="00323863"/>
    <w:rsid w:val="00323879"/>
    <w:rsid w:val="003238AA"/>
    <w:rsid w:val="0032394B"/>
    <w:rsid w:val="00323A47"/>
    <w:rsid w:val="00323A5D"/>
    <w:rsid w:val="00323AA1"/>
    <w:rsid w:val="00323B82"/>
    <w:rsid w:val="00323BC2"/>
    <w:rsid w:val="00323C06"/>
    <w:rsid w:val="00323C18"/>
    <w:rsid w:val="00323C28"/>
    <w:rsid w:val="00323D03"/>
    <w:rsid w:val="00323E0F"/>
    <w:rsid w:val="00323EA6"/>
    <w:rsid w:val="00323F0A"/>
    <w:rsid w:val="0032401D"/>
    <w:rsid w:val="0032414C"/>
    <w:rsid w:val="0032418B"/>
    <w:rsid w:val="00324233"/>
    <w:rsid w:val="0032423F"/>
    <w:rsid w:val="003242A8"/>
    <w:rsid w:val="003242ED"/>
    <w:rsid w:val="0032434C"/>
    <w:rsid w:val="00324374"/>
    <w:rsid w:val="003243C1"/>
    <w:rsid w:val="00324464"/>
    <w:rsid w:val="003244DB"/>
    <w:rsid w:val="00324577"/>
    <w:rsid w:val="003245D3"/>
    <w:rsid w:val="00324635"/>
    <w:rsid w:val="0032466A"/>
    <w:rsid w:val="00324811"/>
    <w:rsid w:val="0032486A"/>
    <w:rsid w:val="003248B9"/>
    <w:rsid w:val="003248EE"/>
    <w:rsid w:val="003249A1"/>
    <w:rsid w:val="00324A39"/>
    <w:rsid w:val="00324C36"/>
    <w:rsid w:val="00324CAA"/>
    <w:rsid w:val="00324D31"/>
    <w:rsid w:val="00324DD5"/>
    <w:rsid w:val="00324EEC"/>
    <w:rsid w:val="00324EF3"/>
    <w:rsid w:val="00324F3A"/>
    <w:rsid w:val="00324FDB"/>
    <w:rsid w:val="00324FE3"/>
    <w:rsid w:val="0032518C"/>
    <w:rsid w:val="00325206"/>
    <w:rsid w:val="0032534A"/>
    <w:rsid w:val="00325350"/>
    <w:rsid w:val="0032535A"/>
    <w:rsid w:val="003253E1"/>
    <w:rsid w:val="0032542A"/>
    <w:rsid w:val="00325455"/>
    <w:rsid w:val="00325490"/>
    <w:rsid w:val="00325506"/>
    <w:rsid w:val="00325532"/>
    <w:rsid w:val="0032575D"/>
    <w:rsid w:val="0032575E"/>
    <w:rsid w:val="003257EC"/>
    <w:rsid w:val="00325821"/>
    <w:rsid w:val="00325826"/>
    <w:rsid w:val="0032585E"/>
    <w:rsid w:val="003258C4"/>
    <w:rsid w:val="00325AA3"/>
    <w:rsid w:val="00325CA6"/>
    <w:rsid w:val="00325CD4"/>
    <w:rsid w:val="00325DFD"/>
    <w:rsid w:val="00325E45"/>
    <w:rsid w:val="00325F2D"/>
    <w:rsid w:val="00325F42"/>
    <w:rsid w:val="00325F4C"/>
    <w:rsid w:val="003260C9"/>
    <w:rsid w:val="003261F7"/>
    <w:rsid w:val="00326244"/>
    <w:rsid w:val="00326360"/>
    <w:rsid w:val="003263A4"/>
    <w:rsid w:val="003263D5"/>
    <w:rsid w:val="003263F8"/>
    <w:rsid w:val="0032645D"/>
    <w:rsid w:val="00326505"/>
    <w:rsid w:val="0032654E"/>
    <w:rsid w:val="00326610"/>
    <w:rsid w:val="003267FA"/>
    <w:rsid w:val="00326AA1"/>
    <w:rsid w:val="00326BD0"/>
    <w:rsid w:val="00326BE5"/>
    <w:rsid w:val="00326C05"/>
    <w:rsid w:val="00326D49"/>
    <w:rsid w:val="00326D4F"/>
    <w:rsid w:val="00326D6B"/>
    <w:rsid w:val="00326D8C"/>
    <w:rsid w:val="00326DAC"/>
    <w:rsid w:val="00326DEB"/>
    <w:rsid w:val="00326E6F"/>
    <w:rsid w:val="00326F3B"/>
    <w:rsid w:val="00326F78"/>
    <w:rsid w:val="00326FA4"/>
    <w:rsid w:val="003270F4"/>
    <w:rsid w:val="0032713A"/>
    <w:rsid w:val="00327190"/>
    <w:rsid w:val="003272E8"/>
    <w:rsid w:val="00327336"/>
    <w:rsid w:val="003273F9"/>
    <w:rsid w:val="0032740A"/>
    <w:rsid w:val="003274C6"/>
    <w:rsid w:val="00327647"/>
    <w:rsid w:val="00327680"/>
    <w:rsid w:val="003276CB"/>
    <w:rsid w:val="0032773E"/>
    <w:rsid w:val="0032797A"/>
    <w:rsid w:val="003279C1"/>
    <w:rsid w:val="00327A4B"/>
    <w:rsid w:val="00327A4D"/>
    <w:rsid w:val="00327A7D"/>
    <w:rsid w:val="00327B10"/>
    <w:rsid w:val="00327B3C"/>
    <w:rsid w:val="00327B62"/>
    <w:rsid w:val="00327CA4"/>
    <w:rsid w:val="00327DB0"/>
    <w:rsid w:val="0033002E"/>
    <w:rsid w:val="0033008C"/>
    <w:rsid w:val="003300E5"/>
    <w:rsid w:val="00330130"/>
    <w:rsid w:val="00330209"/>
    <w:rsid w:val="00330223"/>
    <w:rsid w:val="00330232"/>
    <w:rsid w:val="003302A2"/>
    <w:rsid w:val="00330380"/>
    <w:rsid w:val="0033054D"/>
    <w:rsid w:val="0033055C"/>
    <w:rsid w:val="0033058D"/>
    <w:rsid w:val="003305D6"/>
    <w:rsid w:val="00330650"/>
    <w:rsid w:val="003306A4"/>
    <w:rsid w:val="003306C5"/>
    <w:rsid w:val="0033075D"/>
    <w:rsid w:val="00330784"/>
    <w:rsid w:val="00330822"/>
    <w:rsid w:val="00330843"/>
    <w:rsid w:val="00330893"/>
    <w:rsid w:val="003308E4"/>
    <w:rsid w:val="003308E6"/>
    <w:rsid w:val="003309D0"/>
    <w:rsid w:val="00330A25"/>
    <w:rsid w:val="00330A47"/>
    <w:rsid w:val="00330A66"/>
    <w:rsid w:val="00330A91"/>
    <w:rsid w:val="00330AA3"/>
    <w:rsid w:val="00330AF6"/>
    <w:rsid w:val="00330CD3"/>
    <w:rsid w:val="00330D05"/>
    <w:rsid w:val="00330D1C"/>
    <w:rsid w:val="00330E5F"/>
    <w:rsid w:val="00330FE5"/>
    <w:rsid w:val="00330FF0"/>
    <w:rsid w:val="003310E4"/>
    <w:rsid w:val="0033110C"/>
    <w:rsid w:val="00331139"/>
    <w:rsid w:val="00331164"/>
    <w:rsid w:val="00331188"/>
    <w:rsid w:val="0033120A"/>
    <w:rsid w:val="00331227"/>
    <w:rsid w:val="00331229"/>
    <w:rsid w:val="003313AB"/>
    <w:rsid w:val="003313CC"/>
    <w:rsid w:val="003313F3"/>
    <w:rsid w:val="0033145D"/>
    <w:rsid w:val="003314AE"/>
    <w:rsid w:val="00331547"/>
    <w:rsid w:val="00331669"/>
    <w:rsid w:val="003316B1"/>
    <w:rsid w:val="003317CA"/>
    <w:rsid w:val="00331874"/>
    <w:rsid w:val="003318ED"/>
    <w:rsid w:val="003318F8"/>
    <w:rsid w:val="00331927"/>
    <w:rsid w:val="00331972"/>
    <w:rsid w:val="003319D7"/>
    <w:rsid w:val="00331A01"/>
    <w:rsid w:val="00331ACE"/>
    <w:rsid w:val="00331BAE"/>
    <w:rsid w:val="00331BAF"/>
    <w:rsid w:val="00331BDF"/>
    <w:rsid w:val="00331C2E"/>
    <w:rsid w:val="00331D7A"/>
    <w:rsid w:val="00331FC5"/>
    <w:rsid w:val="00331FDB"/>
    <w:rsid w:val="0033205B"/>
    <w:rsid w:val="00332069"/>
    <w:rsid w:val="0033218D"/>
    <w:rsid w:val="0033223C"/>
    <w:rsid w:val="0033226E"/>
    <w:rsid w:val="00332364"/>
    <w:rsid w:val="0033237D"/>
    <w:rsid w:val="003323EF"/>
    <w:rsid w:val="003324F0"/>
    <w:rsid w:val="0033250D"/>
    <w:rsid w:val="0033262F"/>
    <w:rsid w:val="003326B2"/>
    <w:rsid w:val="00332728"/>
    <w:rsid w:val="003327BD"/>
    <w:rsid w:val="003328AB"/>
    <w:rsid w:val="0033290C"/>
    <w:rsid w:val="003329B5"/>
    <w:rsid w:val="00332A65"/>
    <w:rsid w:val="00332B13"/>
    <w:rsid w:val="00332BD5"/>
    <w:rsid w:val="00332D13"/>
    <w:rsid w:val="00332D5E"/>
    <w:rsid w:val="00332DC6"/>
    <w:rsid w:val="00332E0E"/>
    <w:rsid w:val="00332E5D"/>
    <w:rsid w:val="00332EB5"/>
    <w:rsid w:val="00332F58"/>
    <w:rsid w:val="00332FAA"/>
    <w:rsid w:val="0033311B"/>
    <w:rsid w:val="003331D5"/>
    <w:rsid w:val="003331F9"/>
    <w:rsid w:val="00333269"/>
    <w:rsid w:val="00333360"/>
    <w:rsid w:val="00333397"/>
    <w:rsid w:val="003333D4"/>
    <w:rsid w:val="0033358B"/>
    <w:rsid w:val="00333591"/>
    <w:rsid w:val="00333629"/>
    <w:rsid w:val="00333670"/>
    <w:rsid w:val="0033368E"/>
    <w:rsid w:val="003336F6"/>
    <w:rsid w:val="00333711"/>
    <w:rsid w:val="00333766"/>
    <w:rsid w:val="00333850"/>
    <w:rsid w:val="0033397A"/>
    <w:rsid w:val="00333A6F"/>
    <w:rsid w:val="00333B02"/>
    <w:rsid w:val="00333C06"/>
    <w:rsid w:val="00333CBE"/>
    <w:rsid w:val="00333D0E"/>
    <w:rsid w:val="00333D57"/>
    <w:rsid w:val="00333DB5"/>
    <w:rsid w:val="00333E2A"/>
    <w:rsid w:val="00333EB6"/>
    <w:rsid w:val="00333EC9"/>
    <w:rsid w:val="00333F08"/>
    <w:rsid w:val="00333F8C"/>
    <w:rsid w:val="00333FC4"/>
    <w:rsid w:val="00334051"/>
    <w:rsid w:val="00334052"/>
    <w:rsid w:val="003340CF"/>
    <w:rsid w:val="003340EC"/>
    <w:rsid w:val="003340FB"/>
    <w:rsid w:val="00334114"/>
    <w:rsid w:val="00334190"/>
    <w:rsid w:val="003341A4"/>
    <w:rsid w:val="00334200"/>
    <w:rsid w:val="00334222"/>
    <w:rsid w:val="003342C7"/>
    <w:rsid w:val="00334331"/>
    <w:rsid w:val="0033436E"/>
    <w:rsid w:val="0033440C"/>
    <w:rsid w:val="0033442A"/>
    <w:rsid w:val="003344B7"/>
    <w:rsid w:val="00334603"/>
    <w:rsid w:val="003347E1"/>
    <w:rsid w:val="00334957"/>
    <w:rsid w:val="0033499E"/>
    <w:rsid w:val="00334A98"/>
    <w:rsid w:val="00334AD2"/>
    <w:rsid w:val="00334B10"/>
    <w:rsid w:val="00334B5B"/>
    <w:rsid w:val="00334CB2"/>
    <w:rsid w:val="00334CBD"/>
    <w:rsid w:val="00334D0E"/>
    <w:rsid w:val="00334DC3"/>
    <w:rsid w:val="00334E42"/>
    <w:rsid w:val="00334E6C"/>
    <w:rsid w:val="00334EAF"/>
    <w:rsid w:val="00334ECD"/>
    <w:rsid w:val="00334FAE"/>
    <w:rsid w:val="00334FCF"/>
    <w:rsid w:val="00335051"/>
    <w:rsid w:val="003350AB"/>
    <w:rsid w:val="003352CD"/>
    <w:rsid w:val="00335327"/>
    <w:rsid w:val="00335452"/>
    <w:rsid w:val="0033545F"/>
    <w:rsid w:val="003354B9"/>
    <w:rsid w:val="0033550D"/>
    <w:rsid w:val="0033552E"/>
    <w:rsid w:val="003355F2"/>
    <w:rsid w:val="003355F8"/>
    <w:rsid w:val="0033563C"/>
    <w:rsid w:val="003356FE"/>
    <w:rsid w:val="00335740"/>
    <w:rsid w:val="00335AC1"/>
    <w:rsid w:val="00335BED"/>
    <w:rsid w:val="00335C7E"/>
    <w:rsid w:val="00335CB4"/>
    <w:rsid w:val="00335CF2"/>
    <w:rsid w:val="00335E21"/>
    <w:rsid w:val="00335E46"/>
    <w:rsid w:val="00336020"/>
    <w:rsid w:val="003364DE"/>
    <w:rsid w:val="00336592"/>
    <w:rsid w:val="003365DA"/>
    <w:rsid w:val="003365F6"/>
    <w:rsid w:val="00336622"/>
    <w:rsid w:val="00336647"/>
    <w:rsid w:val="00336663"/>
    <w:rsid w:val="003366F0"/>
    <w:rsid w:val="00336848"/>
    <w:rsid w:val="00336A27"/>
    <w:rsid w:val="00336A29"/>
    <w:rsid w:val="00336A42"/>
    <w:rsid w:val="00336AFD"/>
    <w:rsid w:val="00336C81"/>
    <w:rsid w:val="00336CB3"/>
    <w:rsid w:val="00336D51"/>
    <w:rsid w:val="00336DD1"/>
    <w:rsid w:val="00336DF1"/>
    <w:rsid w:val="00336E15"/>
    <w:rsid w:val="003372C6"/>
    <w:rsid w:val="003373B4"/>
    <w:rsid w:val="00337453"/>
    <w:rsid w:val="003375E3"/>
    <w:rsid w:val="00337639"/>
    <w:rsid w:val="003376D2"/>
    <w:rsid w:val="00337716"/>
    <w:rsid w:val="00337753"/>
    <w:rsid w:val="00337764"/>
    <w:rsid w:val="00337777"/>
    <w:rsid w:val="003377CC"/>
    <w:rsid w:val="0033796F"/>
    <w:rsid w:val="003379A6"/>
    <w:rsid w:val="00337B01"/>
    <w:rsid w:val="00337B29"/>
    <w:rsid w:val="00337B45"/>
    <w:rsid w:val="00337C48"/>
    <w:rsid w:val="00337DA5"/>
    <w:rsid w:val="00337EEF"/>
    <w:rsid w:val="003400C1"/>
    <w:rsid w:val="00340107"/>
    <w:rsid w:val="00340240"/>
    <w:rsid w:val="003402A7"/>
    <w:rsid w:val="003403C1"/>
    <w:rsid w:val="00340413"/>
    <w:rsid w:val="0034042B"/>
    <w:rsid w:val="0034045C"/>
    <w:rsid w:val="003404CC"/>
    <w:rsid w:val="00340515"/>
    <w:rsid w:val="00340644"/>
    <w:rsid w:val="003406A8"/>
    <w:rsid w:val="0034072A"/>
    <w:rsid w:val="003407C2"/>
    <w:rsid w:val="0034097F"/>
    <w:rsid w:val="00340A42"/>
    <w:rsid w:val="00340AA9"/>
    <w:rsid w:val="00340B3D"/>
    <w:rsid w:val="00340B65"/>
    <w:rsid w:val="00340C61"/>
    <w:rsid w:val="00340CE0"/>
    <w:rsid w:val="00340CF9"/>
    <w:rsid w:val="00340DEB"/>
    <w:rsid w:val="00340E4C"/>
    <w:rsid w:val="00340FB5"/>
    <w:rsid w:val="00340FBE"/>
    <w:rsid w:val="00341009"/>
    <w:rsid w:val="0034114B"/>
    <w:rsid w:val="0034114C"/>
    <w:rsid w:val="00341378"/>
    <w:rsid w:val="00341473"/>
    <w:rsid w:val="0034152A"/>
    <w:rsid w:val="0034158E"/>
    <w:rsid w:val="00341645"/>
    <w:rsid w:val="0034166C"/>
    <w:rsid w:val="0034166F"/>
    <w:rsid w:val="003416CA"/>
    <w:rsid w:val="003416D6"/>
    <w:rsid w:val="00341748"/>
    <w:rsid w:val="003417D1"/>
    <w:rsid w:val="003418CB"/>
    <w:rsid w:val="00341960"/>
    <w:rsid w:val="00341971"/>
    <w:rsid w:val="0034198E"/>
    <w:rsid w:val="00341ADA"/>
    <w:rsid w:val="00341B0B"/>
    <w:rsid w:val="00341B51"/>
    <w:rsid w:val="00341CB3"/>
    <w:rsid w:val="00341CC7"/>
    <w:rsid w:val="00341D01"/>
    <w:rsid w:val="00341D6E"/>
    <w:rsid w:val="00341DCD"/>
    <w:rsid w:val="00341DFF"/>
    <w:rsid w:val="00341E8E"/>
    <w:rsid w:val="00341FDD"/>
    <w:rsid w:val="0034212D"/>
    <w:rsid w:val="00342162"/>
    <w:rsid w:val="003421BD"/>
    <w:rsid w:val="00342269"/>
    <w:rsid w:val="003422C0"/>
    <w:rsid w:val="003422DC"/>
    <w:rsid w:val="0034238E"/>
    <w:rsid w:val="00342441"/>
    <w:rsid w:val="00342653"/>
    <w:rsid w:val="00342673"/>
    <w:rsid w:val="0034270F"/>
    <w:rsid w:val="00342721"/>
    <w:rsid w:val="00342783"/>
    <w:rsid w:val="00342821"/>
    <w:rsid w:val="00342858"/>
    <w:rsid w:val="003428D6"/>
    <w:rsid w:val="003429AD"/>
    <w:rsid w:val="003429C0"/>
    <w:rsid w:val="00342AA5"/>
    <w:rsid w:val="00342AB3"/>
    <w:rsid w:val="00342BD1"/>
    <w:rsid w:val="00342CFC"/>
    <w:rsid w:val="00342D58"/>
    <w:rsid w:val="00342D7B"/>
    <w:rsid w:val="00342D8E"/>
    <w:rsid w:val="00342DF5"/>
    <w:rsid w:val="00342DFF"/>
    <w:rsid w:val="00342E77"/>
    <w:rsid w:val="00342F48"/>
    <w:rsid w:val="00342FA7"/>
    <w:rsid w:val="00342FC5"/>
    <w:rsid w:val="00343006"/>
    <w:rsid w:val="003431FA"/>
    <w:rsid w:val="003432DE"/>
    <w:rsid w:val="003432FE"/>
    <w:rsid w:val="0034336E"/>
    <w:rsid w:val="003433A4"/>
    <w:rsid w:val="003434BC"/>
    <w:rsid w:val="003434F8"/>
    <w:rsid w:val="00343548"/>
    <w:rsid w:val="0034357B"/>
    <w:rsid w:val="00343584"/>
    <w:rsid w:val="003436E7"/>
    <w:rsid w:val="003436E9"/>
    <w:rsid w:val="0034380D"/>
    <w:rsid w:val="0034385D"/>
    <w:rsid w:val="0034386A"/>
    <w:rsid w:val="00343980"/>
    <w:rsid w:val="0034399A"/>
    <w:rsid w:val="00343A59"/>
    <w:rsid w:val="00343A91"/>
    <w:rsid w:val="00343AFC"/>
    <w:rsid w:val="00343D49"/>
    <w:rsid w:val="00343E8B"/>
    <w:rsid w:val="00343ECD"/>
    <w:rsid w:val="00343F0F"/>
    <w:rsid w:val="00343F2E"/>
    <w:rsid w:val="00343F35"/>
    <w:rsid w:val="00343FF5"/>
    <w:rsid w:val="0034405F"/>
    <w:rsid w:val="00344088"/>
    <w:rsid w:val="003440DB"/>
    <w:rsid w:val="003440FB"/>
    <w:rsid w:val="00344215"/>
    <w:rsid w:val="0034421F"/>
    <w:rsid w:val="003443AD"/>
    <w:rsid w:val="003443C0"/>
    <w:rsid w:val="00344460"/>
    <w:rsid w:val="003444F9"/>
    <w:rsid w:val="00344536"/>
    <w:rsid w:val="003445C5"/>
    <w:rsid w:val="003445DF"/>
    <w:rsid w:val="003446AD"/>
    <w:rsid w:val="00344721"/>
    <w:rsid w:val="0034476E"/>
    <w:rsid w:val="003447EB"/>
    <w:rsid w:val="00344802"/>
    <w:rsid w:val="00344919"/>
    <w:rsid w:val="0034493B"/>
    <w:rsid w:val="003449B4"/>
    <w:rsid w:val="003449DD"/>
    <w:rsid w:val="00344A6E"/>
    <w:rsid w:val="00344AAF"/>
    <w:rsid w:val="00344AC2"/>
    <w:rsid w:val="00344AF5"/>
    <w:rsid w:val="00344B5F"/>
    <w:rsid w:val="00344B87"/>
    <w:rsid w:val="00344B91"/>
    <w:rsid w:val="00344C2B"/>
    <w:rsid w:val="00344C45"/>
    <w:rsid w:val="00344C9B"/>
    <w:rsid w:val="00344CBB"/>
    <w:rsid w:val="00344CD9"/>
    <w:rsid w:val="00344EE8"/>
    <w:rsid w:val="00344F19"/>
    <w:rsid w:val="00344FDC"/>
    <w:rsid w:val="00345079"/>
    <w:rsid w:val="00345150"/>
    <w:rsid w:val="0034515A"/>
    <w:rsid w:val="0034520D"/>
    <w:rsid w:val="0034523B"/>
    <w:rsid w:val="0034525F"/>
    <w:rsid w:val="00345320"/>
    <w:rsid w:val="003453BC"/>
    <w:rsid w:val="003453D7"/>
    <w:rsid w:val="00345432"/>
    <w:rsid w:val="00345479"/>
    <w:rsid w:val="003454BD"/>
    <w:rsid w:val="003455B5"/>
    <w:rsid w:val="00345736"/>
    <w:rsid w:val="00345742"/>
    <w:rsid w:val="00345747"/>
    <w:rsid w:val="00345781"/>
    <w:rsid w:val="0034579B"/>
    <w:rsid w:val="003457BD"/>
    <w:rsid w:val="003457E8"/>
    <w:rsid w:val="00345863"/>
    <w:rsid w:val="003458EE"/>
    <w:rsid w:val="00345A21"/>
    <w:rsid w:val="00345A44"/>
    <w:rsid w:val="00345AE7"/>
    <w:rsid w:val="00345C3A"/>
    <w:rsid w:val="00345C9C"/>
    <w:rsid w:val="00345D03"/>
    <w:rsid w:val="00345D19"/>
    <w:rsid w:val="00345DC1"/>
    <w:rsid w:val="00345E2B"/>
    <w:rsid w:val="00345F04"/>
    <w:rsid w:val="00345F0D"/>
    <w:rsid w:val="00345FB7"/>
    <w:rsid w:val="0034613E"/>
    <w:rsid w:val="00346144"/>
    <w:rsid w:val="003462F1"/>
    <w:rsid w:val="00346362"/>
    <w:rsid w:val="00346490"/>
    <w:rsid w:val="00346511"/>
    <w:rsid w:val="0034652E"/>
    <w:rsid w:val="00346530"/>
    <w:rsid w:val="00346546"/>
    <w:rsid w:val="0034655E"/>
    <w:rsid w:val="003465A2"/>
    <w:rsid w:val="0034670A"/>
    <w:rsid w:val="00346729"/>
    <w:rsid w:val="00346755"/>
    <w:rsid w:val="0034683B"/>
    <w:rsid w:val="00346906"/>
    <w:rsid w:val="00346907"/>
    <w:rsid w:val="00346966"/>
    <w:rsid w:val="003469D6"/>
    <w:rsid w:val="00346A18"/>
    <w:rsid w:val="00346AC3"/>
    <w:rsid w:val="00346BA3"/>
    <w:rsid w:val="00346C8F"/>
    <w:rsid w:val="00346CBE"/>
    <w:rsid w:val="00346D1C"/>
    <w:rsid w:val="00346D5D"/>
    <w:rsid w:val="00346DC8"/>
    <w:rsid w:val="00346E02"/>
    <w:rsid w:val="00346E10"/>
    <w:rsid w:val="00346E1E"/>
    <w:rsid w:val="00346E4D"/>
    <w:rsid w:val="00346E67"/>
    <w:rsid w:val="00346FBF"/>
    <w:rsid w:val="0034714B"/>
    <w:rsid w:val="003471EF"/>
    <w:rsid w:val="0034730D"/>
    <w:rsid w:val="003475EB"/>
    <w:rsid w:val="0034762B"/>
    <w:rsid w:val="00347663"/>
    <w:rsid w:val="00347669"/>
    <w:rsid w:val="003476C4"/>
    <w:rsid w:val="00347768"/>
    <w:rsid w:val="00347775"/>
    <w:rsid w:val="003477EB"/>
    <w:rsid w:val="00347832"/>
    <w:rsid w:val="0034787F"/>
    <w:rsid w:val="003478A3"/>
    <w:rsid w:val="003478BC"/>
    <w:rsid w:val="003479A6"/>
    <w:rsid w:val="003479A7"/>
    <w:rsid w:val="003479C5"/>
    <w:rsid w:val="00347BF2"/>
    <w:rsid w:val="00347E55"/>
    <w:rsid w:val="00347E64"/>
    <w:rsid w:val="00347E77"/>
    <w:rsid w:val="00347F16"/>
    <w:rsid w:val="00347F1F"/>
    <w:rsid w:val="00347FA0"/>
    <w:rsid w:val="00347FBC"/>
    <w:rsid w:val="00350100"/>
    <w:rsid w:val="00350114"/>
    <w:rsid w:val="00350259"/>
    <w:rsid w:val="003502A2"/>
    <w:rsid w:val="003502C7"/>
    <w:rsid w:val="003502E1"/>
    <w:rsid w:val="003502EB"/>
    <w:rsid w:val="00350365"/>
    <w:rsid w:val="003503E5"/>
    <w:rsid w:val="00350474"/>
    <w:rsid w:val="003504C9"/>
    <w:rsid w:val="0035050F"/>
    <w:rsid w:val="00350527"/>
    <w:rsid w:val="00350534"/>
    <w:rsid w:val="00350741"/>
    <w:rsid w:val="00350751"/>
    <w:rsid w:val="0035081A"/>
    <w:rsid w:val="00350836"/>
    <w:rsid w:val="003509BD"/>
    <w:rsid w:val="00350A88"/>
    <w:rsid w:val="00350A9B"/>
    <w:rsid w:val="00350ACC"/>
    <w:rsid w:val="00350BF4"/>
    <w:rsid w:val="00350D42"/>
    <w:rsid w:val="00350D9E"/>
    <w:rsid w:val="00350DA1"/>
    <w:rsid w:val="00350DE2"/>
    <w:rsid w:val="00350EE8"/>
    <w:rsid w:val="00350FA5"/>
    <w:rsid w:val="00350FB2"/>
    <w:rsid w:val="00351007"/>
    <w:rsid w:val="00351077"/>
    <w:rsid w:val="003510AF"/>
    <w:rsid w:val="003510CC"/>
    <w:rsid w:val="00351176"/>
    <w:rsid w:val="003513CF"/>
    <w:rsid w:val="003514A3"/>
    <w:rsid w:val="0035151A"/>
    <w:rsid w:val="003515D6"/>
    <w:rsid w:val="00351734"/>
    <w:rsid w:val="00351796"/>
    <w:rsid w:val="00351873"/>
    <w:rsid w:val="00351889"/>
    <w:rsid w:val="00351932"/>
    <w:rsid w:val="00351986"/>
    <w:rsid w:val="0035199A"/>
    <w:rsid w:val="00351A4B"/>
    <w:rsid w:val="00351AB9"/>
    <w:rsid w:val="00351ABE"/>
    <w:rsid w:val="00351B21"/>
    <w:rsid w:val="00351B50"/>
    <w:rsid w:val="00351B87"/>
    <w:rsid w:val="00351C05"/>
    <w:rsid w:val="00351C41"/>
    <w:rsid w:val="00351CF5"/>
    <w:rsid w:val="00351E24"/>
    <w:rsid w:val="00351E90"/>
    <w:rsid w:val="00351E9A"/>
    <w:rsid w:val="00351F36"/>
    <w:rsid w:val="00351F8C"/>
    <w:rsid w:val="00352062"/>
    <w:rsid w:val="00352104"/>
    <w:rsid w:val="0035213C"/>
    <w:rsid w:val="00352179"/>
    <w:rsid w:val="003523C2"/>
    <w:rsid w:val="0035246F"/>
    <w:rsid w:val="0035257C"/>
    <w:rsid w:val="003525C3"/>
    <w:rsid w:val="003525D9"/>
    <w:rsid w:val="003525E9"/>
    <w:rsid w:val="00352630"/>
    <w:rsid w:val="00352794"/>
    <w:rsid w:val="00352AB3"/>
    <w:rsid w:val="00352B36"/>
    <w:rsid w:val="00352B89"/>
    <w:rsid w:val="00352C36"/>
    <w:rsid w:val="00352D4A"/>
    <w:rsid w:val="00352DFB"/>
    <w:rsid w:val="00352E09"/>
    <w:rsid w:val="00352F44"/>
    <w:rsid w:val="00353013"/>
    <w:rsid w:val="003530DD"/>
    <w:rsid w:val="0035318E"/>
    <w:rsid w:val="00353287"/>
    <w:rsid w:val="003532F0"/>
    <w:rsid w:val="003532F3"/>
    <w:rsid w:val="003532F7"/>
    <w:rsid w:val="00353328"/>
    <w:rsid w:val="003533A7"/>
    <w:rsid w:val="003533E8"/>
    <w:rsid w:val="0035342E"/>
    <w:rsid w:val="003534CD"/>
    <w:rsid w:val="00353513"/>
    <w:rsid w:val="003535AE"/>
    <w:rsid w:val="003535CA"/>
    <w:rsid w:val="003535E3"/>
    <w:rsid w:val="00353623"/>
    <w:rsid w:val="0035365A"/>
    <w:rsid w:val="00353900"/>
    <w:rsid w:val="00353911"/>
    <w:rsid w:val="00353A12"/>
    <w:rsid w:val="00353A15"/>
    <w:rsid w:val="00353A52"/>
    <w:rsid w:val="00353A99"/>
    <w:rsid w:val="00353B9F"/>
    <w:rsid w:val="00353BCB"/>
    <w:rsid w:val="00353C07"/>
    <w:rsid w:val="00353C0D"/>
    <w:rsid w:val="00353CB1"/>
    <w:rsid w:val="00353D42"/>
    <w:rsid w:val="00353D9F"/>
    <w:rsid w:val="00353FF2"/>
    <w:rsid w:val="0035405D"/>
    <w:rsid w:val="003541AB"/>
    <w:rsid w:val="003541BB"/>
    <w:rsid w:val="0035422B"/>
    <w:rsid w:val="0035431B"/>
    <w:rsid w:val="003543C5"/>
    <w:rsid w:val="003543D8"/>
    <w:rsid w:val="0035442F"/>
    <w:rsid w:val="00354457"/>
    <w:rsid w:val="003544CA"/>
    <w:rsid w:val="0035450F"/>
    <w:rsid w:val="0035459C"/>
    <w:rsid w:val="00354792"/>
    <w:rsid w:val="003549C5"/>
    <w:rsid w:val="003549D8"/>
    <w:rsid w:val="00354A9D"/>
    <w:rsid w:val="00354AB4"/>
    <w:rsid w:val="00354AEA"/>
    <w:rsid w:val="00354C16"/>
    <w:rsid w:val="00354C23"/>
    <w:rsid w:val="00354C29"/>
    <w:rsid w:val="00354C30"/>
    <w:rsid w:val="00354D54"/>
    <w:rsid w:val="00354D74"/>
    <w:rsid w:val="00354D87"/>
    <w:rsid w:val="00354DA9"/>
    <w:rsid w:val="00354DAA"/>
    <w:rsid w:val="00354ECB"/>
    <w:rsid w:val="003550AF"/>
    <w:rsid w:val="003551BC"/>
    <w:rsid w:val="003552DA"/>
    <w:rsid w:val="003553CD"/>
    <w:rsid w:val="003553F0"/>
    <w:rsid w:val="0035554B"/>
    <w:rsid w:val="003555D6"/>
    <w:rsid w:val="00355667"/>
    <w:rsid w:val="003558EB"/>
    <w:rsid w:val="003559F3"/>
    <w:rsid w:val="00355AAE"/>
    <w:rsid w:val="00355C26"/>
    <w:rsid w:val="00355C3F"/>
    <w:rsid w:val="00355CBF"/>
    <w:rsid w:val="00355CD5"/>
    <w:rsid w:val="00355E49"/>
    <w:rsid w:val="00355E7D"/>
    <w:rsid w:val="00355EA6"/>
    <w:rsid w:val="00355EE5"/>
    <w:rsid w:val="00355F28"/>
    <w:rsid w:val="00355F61"/>
    <w:rsid w:val="00355F66"/>
    <w:rsid w:val="00356037"/>
    <w:rsid w:val="0035605C"/>
    <w:rsid w:val="00356079"/>
    <w:rsid w:val="0035615C"/>
    <w:rsid w:val="00356167"/>
    <w:rsid w:val="00356236"/>
    <w:rsid w:val="00356366"/>
    <w:rsid w:val="003563A2"/>
    <w:rsid w:val="003563C2"/>
    <w:rsid w:val="003563CB"/>
    <w:rsid w:val="003563FE"/>
    <w:rsid w:val="00356447"/>
    <w:rsid w:val="00356448"/>
    <w:rsid w:val="00356455"/>
    <w:rsid w:val="00356530"/>
    <w:rsid w:val="00356543"/>
    <w:rsid w:val="00356580"/>
    <w:rsid w:val="00356628"/>
    <w:rsid w:val="0035666C"/>
    <w:rsid w:val="00356720"/>
    <w:rsid w:val="00356769"/>
    <w:rsid w:val="0035688B"/>
    <w:rsid w:val="00356893"/>
    <w:rsid w:val="00356951"/>
    <w:rsid w:val="00356965"/>
    <w:rsid w:val="003569FB"/>
    <w:rsid w:val="00356A3F"/>
    <w:rsid w:val="00356C07"/>
    <w:rsid w:val="00356C14"/>
    <w:rsid w:val="00356CC0"/>
    <w:rsid w:val="00356DC5"/>
    <w:rsid w:val="00356E0C"/>
    <w:rsid w:val="00356E83"/>
    <w:rsid w:val="0035704E"/>
    <w:rsid w:val="003570E1"/>
    <w:rsid w:val="003570F8"/>
    <w:rsid w:val="0035714C"/>
    <w:rsid w:val="00357182"/>
    <w:rsid w:val="00357183"/>
    <w:rsid w:val="003572DF"/>
    <w:rsid w:val="0035730B"/>
    <w:rsid w:val="003574B6"/>
    <w:rsid w:val="003575E3"/>
    <w:rsid w:val="00357666"/>
    <w:rsid w:val="00357708"/>
    <w:rsid w:val="003577EC"/>
    <w:rsid w:val="003578C3"/>
    <w:rsid w:val="003578E3"/>
    <w:rsid w:val="00357948"/>
    <w:rsid w:val="00357AAA"/>
    <w:rsid w:val="00357AAF"/>
    <w:rsid w:val="00357AF0"/>
    <w:rsid w:val="00357BBB"/>
    <w:rsid w:val="00357C20"/>
    <w:rsid w:val="00357D9C"/>
    <w:rsid w:val="00357DCA"/>
    <w:rsid w:val="00357DEB"/>
    <w:rsid w:val="00357E1E"/>
    <w:rsid w:val="00357EA9"/>
    <w:rsid w:val="00357F58"/>
    <w:rsid w:val="00357F69"/>
    <w:rsid w:val="00357F80"/>
    <w:rsid w:val="00357FD4"/>
    <w:rsid w:val="003600D5"/>
    <w:rsid w:val="003600E6"/>
    <w:rsid w:val="003600E7"/>
    <w:rsid w:val="00360177"/>
    <w:rsid w:val="003602C6"/>
    <w:rsid w:val="00360354"/>
    <w:rsid w:val="003604D2"/>
    <w:rsid w:val="00360641"/>
    <w:rsid w:val="003606FD"/>
    <w:rsid w:val="0036073B"/>
    <w:rsid w:val="00360774"/>
    <w:rsid w:val="00360785"/>
    <w:rsid w:val="003607F8"/>
    <w:rsid w:val="00360800"/>
    <w:rsid w:val="003608C1"/>
    <w:rsid w:val="0036091F"/>
    <w:rsid w:val="00360C21"/>
    <w:rsid w:val="00360CD0"/>
    <w:rsid w:val="00360CF0"/>
    <w:rsid w:val="00360D18"/>
    <w:rsid w:val="00360DF8"/>
    <w:rsid w:val="00360E9E"/>
    <w:rsid w:val="00360EEC"/>
    <w:rsid w:val="00360F3F"/>
    <w:rsid w:val="00360F7A"/>
    <w:rsid w:val="00360FD3"/>
    <w:rsid w:val="00360FEF"/>
    <w:rsid w:val="0036104C"/>
    <w:rsid w:val="00361085"/>
    <w:rsid w:val="003610D9"/>
    <w:rsid w:val="00361195"/>
    <w:rsid w:val="00361258"/>
    <w:rsid w:val="00361274"/>
    <w:rsid w:val="0036138D"/>
    <w:rsid w:val="003613F9"/>
    <w:rsid w:val="0036152E"/>
    <w:rsid w:val="0036158E"/>
    <w:rsid w:val="003615A1"/>
    <w:rsid w:val="00361602"/>
    <w:rsid w:val="00361628"/>
    <w:rsid w:val="003616AA"/>
    <w:rsid w:val="003616C1"/>
    <w:rsid w:val="00361701"/>
    <w:rsid w:val="00361712"/>
    <w:rsid w:val="00361719"/>
    <w:rsid w:val="00361786"/>
    <w:rsid w:val="00361795"/>
    <w:rsid w:val="00361821"/>
    <w:rsid w:val="00361951"/>
    <w:rsid w:val="00361996"/>
    <w:rsid w:val="003619B3"/>
    <w:rsid w:val="00361A41"/>
    <w:rsid w:val="00361A5A"/>
    <w:rsid w:val="00361A91"/>
    <w:rsid w:val="00361AB4"/>
    <w:rsid w:val="00361AB6"/>
    <w:rsid w:val="00361B9B"/>
    <w:rsid w:val="00361C0B"/>
    <w:rsid w:val="00361CB6"/>
    <w:rsid w:val="00361CE6"/>
    <w:rsid w:val="00361D92"/>
    <w:rsid w:val="00361DBF"/>
    <w:rsid w:val="00361E4F"/>
    <w:rsid w:val="00361E56"/>
    <w:rsid w:val="0036203A"/>
    <w:rsid w:val="003620B0"/>
    <w:rsid w:val="0036215C"/>
    <w:rsid w:val="0036215D"/>
    <w:rsid w:val="00362247"/>
    <w:rsid w:val="0036228D"/>
    <w:rsid w:val="003622B7"/>
    <w:rsid w:val="00362331"/>
    <w:rsid w:val="0036247D"/>
    <w:rsid w:val="003624EC"/>
    <w:rsid w:val="00362595"/>
    <w:rsid w:val="003625A9"/>
    <w:rsid w:val="00362692"/>
    <w:rsid w:val="00362744"/>
    <w:rsid w:val="003627A8"/>
    <w:rsid w:val="003627B3"/>
    <w:rsid w:val="0036284A"/>
    <w:rsid w:val="003628A4"/>
    <w:rsid w:val="003628A7"/>
    <w:rsid w:val="003628F2"/>
    <w:rsid w:val="0036298C"/>
    <w:rsid w:val="00362A8D"/>
    <w:rsid w:val="00362D6E"/>
    <w:rsid w:val="00362F18"/>
    <w:rsid w:val="00362FA3"/>
    <w:rsid w:val="00362FB8"/>
    <w:rsid w:val="00362FD1"/>
    <w:rsid w:val="003630DE"/>
    <w:rsid w:val="0036324A"/>
    <w:rsid w:val="0036326C"/>
    <w:rsid w:val="0036331B"/>
    <w:rsid w:val="00363468"/>
    <w:rsid w:val="0036347D"/>
    <w:rsid w:val="003634AF"/>
    <w:rsid w:val="00363509"/>
    <w:rsid w:val="0036353A"/>
    <w:rsid w:val="003635B1"/>
    <w:rsid w:val="003635B5"/>
    <w:rsid w:val="003635E2"/>
    <w:rsid w:val="003637D9"/>
    <w:rsid w:val="0036384C"/>
    <w:rsid w:val="00363974"/>
    <w:rsid w:val="003639A0"/>
    <w:rsid w:val="003639EC"/>
    <w:rsid w:val="00363A31"/>
    <w:rsid w:val="00363B72"/>
    <w:rsid w:val="00363C26"/>
    <w:rsid w:val="00363C37"/>
    <w:rsid w:val="00363E65"/>
    <w:rsid w:val="00363FCC"/>
    <w:rsid w:val="003640AC"/>
    <w:rsid w:val="00364167"/>
    <w:rsid w:val="00364192"/>
    <w:rsid w:val="003641ED"/>
    <w:rsid w:val="00364279"/>
    <w:rsid w:val="00364287"/>
    <w:rsid w:val="003642F5"/>
    <w:rsid w:val="003643D6"/>
    <w:rsid w:val="003644B5"/>
    <w:rsid w:val="003645C6"/>
    <w:rsid w:val="00364726"/>
    <w:rsid w:val="00364800"/>
    <w:rsid w:val="00364815"/>
    <w:rsid w:val="0036484C"/>
    <w:rsid w:val="003648F9"/>
    <w:rsid w:val="0036493C"/>
    <w:rsid w:val="00364987"/>
    <w:rsid w:val="003649D8"/>
    <w:rsid w:val="00364AC2"/>
    <w:rsid w:val="00364B5E"/>
    <w:rsid w:val="00364BD5"/>
    <w:rsid w:val="00364C3F"/>
    <w:rsid w:val="00364D22"/>
    <w:rsid w:val="00364D4C"/>
    <w:rsid w:val="00364DCF"/>
    <w:rsid w:val="00364DE2"/>
    <w:rsid w:val="00364FDF"/>
    <w:rsid w:val="0036500B"/>
    <w:rsid w:val="00365010"/>
    <w:rsid w:val="00365072"/>
    <w:rsid w:val="003650E4"/>
    <w:rsid w:val="003651EF"/>
    <w:rsid w:val="00365209"/>
    <w:rsid w:val="0036533F"/>
    <w:rsid w:val="00365383"/>
    <w:rsid w:val="003653BA"/>
    <w:rsid w:val="003654A5"/>
    <w:rsid w:val="00365691"/>
    <w:rsid w:val="003656BB"/>
    <w:rsid w:val="003656FC"/>
    <w:rsid w:val="0036576D"/>
    <w:rsid w:val="003657E4"/>
    <w:rsid w:val="003658D6"/>
    <w:rsid w:val="00365943"/>
    <w:rsid w:val="0036598D"/>
    <w:rsid w:val="00365A75"/>
    <w:rsid w:val="00365B71"/>
    <w:rsid w:val="00365C4F"/>
    <w:rsid w:val="00365C69"/>
    <w:rsid w:val="00365C6D"/>
    <w:rsid w:val="00365CF4"/>
    <w:rsid w:val="00365E31"/>
    <w:rsid w:val="00365EA2"/>
    <w:rsid w:val="00365EAD"/>
    <w:rsid w:val="00365EBC"/>
    <w:rsid w:val="00366029"/>
    <w:rsid w:val="00366122"/>
    <w:rsid w:val="00366129"/>
    <w:rsid w:val="00366165"/>
    <w:rsid w:val="003661D0"/>
    <w:rsid w:val="00366213"/>
    <w:rsid w:val="00366226"/>
    <w:rsid w:val="0036624D"/>
    <w:rsid w:val="00366295"/>
    <w:rsid w:val="00366353"/>
    <w:rsid w:val="003663F3"/>
    <w:rsid w:val="00366413"/>
    <w:rsid w:val="00366481"/>
    <w:rsid w:val="0036649E"/>
    <w:rsid w:val="00366547"/>
    <w:rsid w:val="00366590"/>
    <w:rsid w:val="003665D7"/>
    <w:rsid w:val="0036661D"/>
    <w:rsid w:val="003666BB"/>
    <w:rsid w:val="00366726"/>
    <w:rsid w:val="0036672A"/>
    <w:rsid w:val="0036693A"/>
    <w:rsid w:val="00366965"/>
    <w:rsid w:val="00366976"/>
    <w:rsid w:val="00366979"/>
    <w:rsid w:val="00366A26"/>
    <w:rsid w:val="00366BB6"/>
    <w:rsid w:val="00366BD1"/>
    <w:rsid w:val="00366C66"/>
    <w:rsid w:val="00366DC3"/>
    <w:rsid w:val="00366DCC"/>
    <w:rsid w:val="00366E05"/>
    <w:rsid w:val="00366E26"/>
    <w:rsid w:val="00366E44"/>
    <w:rsid w:val="00366E6D"/>
    <w:rsid w:val="00366EC0"/>
    <w:rsid w:val="00366EE3"/>
    <w:rsid w:val="00366F01"/>
    <w:rsid w:val="00366F1A"/>
    <w:rsid w:val="0036703D"/>
    <w:rsid w:val="00367066"/>
    <w:rsid w:val="00367077"/>
    <w:rsid w:val="00367179"/>
    <w:rsid w:val="003671FA"/>
    <w:rsid w:val="00367216"/>
    <w:rsid w:val="00367272"/>
    <w:rsid w:val="00367292"/>
    <w:rsid w:val="0036729A"/>
    <w:rsid w:val="003673B8"/>
    <w:rsid w:val="00367469"/>
    <w:rsid w:val="0036759C"/>
    <w:rsid w:val="003675B9"/>
    <w:rsid w:val="003675E9"/>
    <w:rsid w:val="0036764D"/>
    <w:rsid w:val="00367679"/>
    <w:rsid w:val="003676D2"/>
    <w:rsid w:val="003676DF"/>
    <w:rsid w:val="003676E6"/>
    <w:rsid w:val="0036775E"/>
    <w:rsid w:val="0036779C"/>
    <w:rsid w:val="003677C5"/>
    <w:rsid w:val="0036780C"/>
    <w:rsid w:val="003678A5"/>
    <w:rsid w:val="003678CB"/>
    <w:rsid w:val="003679E1"/>
    <w:rsid w:val="00367A56"/>
    <w:rsid w:val="00367B94"/>
    <w:rsid w:val="00367B96"/>
    <w:rsid w:val="00367B9D"/>
    <w:rsid w:val="00367C40"/>
    <w:rsid w:val="00367CC5"/>
    <w:rsid w:val="00367E60"/>
    <w:rsid w:val="00367F04"/>
    <w:rsid w:val="00367F3E"/>
    <w:rsid w:val="00367F79"/>
    <w:rsid w:val="0037002E"/>
    <w:rsid w:val="0037010A"/>
    <w:rsid w:val="0037012C"/>
    <w:rsid w:val="0037017A"/>
    <w:rsid w:val="00370347"/>
    <w:rsid w:val="0037035F"/>
    <w:rsid w:val="00370440"/>
    <w:rsid w:val="00370472"/>
    <w:rsid w:val="003704B5"/>
    <w:rsid w:val="003704C6"/>
    <w:rsid w:val="00370515"/>
    <w:rsid w:val="003707D3"/>
    <w:rsid w:val="003707E5"/>
    <w:rsid w:val="00370862"/>
    <w:rsid w:val="003708A6"/>
    <w:rsid w:val="003708E8"/>
    <w:rsid w:val="003708FC"/>
    <w:rsid w:val="00370933"/>
    <w:rsid w:val="0037098E"/>
    <w:rsid w:val="00370A50"/>
    <w:rsid w:val="00370AD9"/>
    <w:rsid w:val="00370B14"/>
    <w:rsid w:val="00370BD8"/>
    <w:rsid w:val="00370C19"/>
    <w:rsid w:val="00370DD8"/>
    <w:rsid w:val="00370FEA"/>
    <w:rsid w:val="0037104D"/>
    <w:rsid w:val="00371066"/>
    <w:rsid w:val="003710C0"/>
    <w:rsid w:val="00371117"/>
    <w:rsid w:val="003711D4"/>
    <w:rsid w:val="00371292"/>
    <w:rsid w:val="003712D9"/>
    <w:rsid w:val="00371302"/>
    <w:rsid w:val="0037131B"/>
    <w:rsid w:val="00371335"/>
    <w:rsid w:val="003713C6"/>
    <w:rsid w:val="0037143C"/>
    <w:rsid w:val="00371452"/>
    <w:rsid w:val="00371494"/>
    <w:rsid w:val="003714D0"/>
    <w:rsid w:val="003717BA"/>
    <w:rsid w:val="003717C0"/>
    <w:rsid w:val="0037180D"/>
    <w:rsid w:val="00371846"/>
    <w:rsid w:val="00371902"/>
    <w:rsid w:val="00371A6B"/>
    <w:rsid w:val="00371AC9"/>
    <w:rsid w:val="00371B2E"/>
    <w:rsid w:val="00371CCC"/>
    <w:rsid w:val="00371CFB"/>
    <w:rsid w:val="00371D86"/>
    <w:rsid w:val="00371DBB"/>
    <w:rsid w:val="00371E52"/>
    <w:rsid w:val="00371E5D"/>
    <w:rsid w:val="00371F66"/>
    <w:rsid w:val="0037208D"/>
    <w:rsid w:val="003720BC"/>
    <w:rsid w:val="003721CB"/>
    <w:rsid w:val="003722E4"/>
    <w:rsid w:val="003722F7"/>
    <w:rsid w:val="00372314"/>
    <w:rsid w:val="00372329"/>
    <w:rsid w:val="00372332"/>
    <w:rsid w:val="00372421"/>
    <w:rsid w:val="0037243B"/>
    <w:rsid w:val="0037252D"/>
    <w:rsid w:val="00372585"/>
    <w:rsid w:val="0037258C"/>
    <w:rsid w:val="00372681"/>
    <w:rsid w:val="003726B2"/>
    <w:rsid w:val="003726B3"/>
    <w:rsid w:val="0037271D"/>
    <w:rsid w:val="00372781"/>
    <w:rsid w:val="003727A8"/>
    <w:rsid w:val="00372885"/>
    <w:rsid w:val="00372936"/>
    <w:rsid w:val="00372954"/>
    <w:rsid w:val="003729AF"/>
    <w:rsid w:val="00372A38"/>
    <w:rsid w:val="00372A39"/>
    <w:rsid w:val="00372B0A"/>
    <w:rsid w:val="00372B35"/>
    <w:rsid w:val="00372B4A"/>
    <w:rsid w:val="00372B87"/>
    <w:rsid w:val="00372C22"/>
    <w:rsid w:val="00372C26"/>
    <w:rsid w:val="00372C7F"/>
    <w:rsid w:val="00372C9F"/>
    <w:rsid w:val="00372D72"/>
    <w:rsid w:val="00372DDF"/>
    <w:rsid w:val="00372E24"/>
    <w:rsid w:val="00372EBC"/>
    <w:rsid w:val="00372F11"/>
    <w:rsid w:val="00372F27"/>
    <w:rsid w:val="00372FA0"/>
    <w:rsid w:val="0037309D"/>
    <w:rsid w:val="003730CC"/>
    <w:rsid w:val="00373120"/>
    <w:rsid w:val="00373215"/>
    <w:rsid w:val="0037327B"/>
    <w:rsid w:val="0037328E"/>
    <w:rsid w:val="00373360"/>
    <w:rsid w:val="003733E8"/>
    <w:rsid w:val="00373417"/>
    <w:rsid w:val="00373439"/>
    <w:rsid w:val="00373571"/>
    <w:rsid w:val="003735BF"/>
    <w:rsid w:val="003735EF"/>
    <w:rsid w:val="00373643"/>
    <w:rsid w:val="003736B4"/>
    <w:rsid w:val="00373768"/>
    <w:rsid w:val="0037387A"/>
    <w:rsid w:val="003738CB"/>
    <w:rsid w:val="0037391F"/>
    <w:rsid w:val="0037392F"/>
    <w:rsid w:val="00373AA2"/>
    <w:rsid w:val="00373BB8"/>
    <w:rsid w:val="00373DC4"/>
    <w:rsid w:val="00373DDD"/>
    <w:rsid w:val="00373E06"/>
    <w:rsid w:val="00373F28"/>
    <w:rsid w:val="00373F3B"/>
    <w:rsid w:val="00373FE0"/>
    <w:rsid w:val="003741A3"/>
    <w:rsid w:val="00374232"/>
    <w:rsid w:val="00374304"/>
    <w:rsid w:val="0037439B"/>
    <w:rsid w:val="003743C8"/>
    <w:rsid w:val="003743E2"/>
    <w:rsid w:val="003745A8"/>
    <w:rsid w:val="0037464D"/>
    <w:rsid w:val="003746B1"/>
    <w:rsid w:val="00374838"/>
    <w:rsid w:val="00374844"/>
    <w:rsid w:val="00374849"/>
    <w:rsid w:val="0037485F"/>
    <w:rsid w:val="00374940"/>
    <w:rsid w:val="00374941"/>
    <w:rsid w:val="00374A63"/>
    <w:rsid w:val="00374B3C"/>
    <w:rsid w:val="00374BAD"/>
    <w:rsid w:val="00374BD5"/>
    <w:rsid w:val="00374C74"/>
    <w:rsid w:val="00374F44"/>
    <w:rsid w:val="00375029"/>
    <w:rsid w:val="0037520A"/>
    <w:rsid w:val="003752AE"/>
    <w:rsid w:val="003752BA"/>
    <w:rsid w:val="003752BC"/>
    <w:rsid w:val="00375304"/>
    <w:rsid w:val="0037531D"/>
    <w:rsid w:val="0037531F"/>
    <w:rsid w:val="00375330"/>
    <w:rsid w:val="0037538D"/>
    <w:rsid w:val="00375395"/>
    <w:rsid w:val="00375452"/>
    <w:rsid w:val="0037547F"/>
    <w:rsid w:val="003754C7"/>
    <w:rsid w:val="003754FB"/>
    <w:rsid w:val="0037551B"/>
    <w:rsid w:val="00375555"/>
    <w:rsid w:val="0037556B"/>
    <w:rsid w:val="003755B7"/>
    <w:rsid w:val="003755C7"/>
    <w:rsid w:val="00375625"/>
    <w:rsid w:val="003756BF"/>
    <w:rsid w:val="003756E2"/>
    <w:rsid w:val="0037572E"/>
    <w:rsid w:val="0037578D"/>
    <w:rsid w:val="003757A6"/>
    <w:rsid w:val="003757C5"/>
    <w:rsid w:val="003757E7"/>
    <w:rsid w:val="0037588D"/>
    <w:rsid w:val="003759C8"/>
    <w:rsid w:val="00375A70"/>
    <w:rsid w:val="00375ACF"/>
    <w:rsid w:val="00375B92"/>
    <w:rsid w:val="00375C9C"/>
    <w:rsid w:val="00375D48"/>
    <w:rsid w:val="00375DFC"/>
    <w:rsid w:val="00375E06"/>
    <w:rsid w:val="00375E28"/>
    <w:rsid w:val="00375E86"/>
    <w:rsid w:val="00375ECF"/>
    <w:rsid w:val="003760D4"/>
    <w:rsid w:val="00376117"/>
    <w:rsid w:val="0037611D"/>
    <w:rsid w:val="00376220"/>
    <w:rsid w:val="00376221"/>
    <w:rsid w:val="00376273"/>
    <w:rsid w:val="00376370"/>
    <w:rsid w:val="00376383"/>
    <w:rsid w:val="003763D0"/>
    <w:rsid w:val="00376511"/>
    <w:rsid w:val="003765C3"/>
    <w:rsid w:val="00376642"/>
    <w:rsid w:val="00376686"/>
    <w:rsid w:val="003766E6"/>
    <w:rsid w:val="003766EB"/>
    <w:rsid w:val="0037685D"/>
    <w:rsid w:val="00376984"/>
    <w:rsid w:val="00376AEC"/>
    <w:rsid w:val="00376B15"/>
    <w:rsid w:val="00376B22"/>
    <w:rsid w:val="00376C70"/>
    <w:rsid w:val="00376DC1"/>
    <w:rsid w:val="00376DCE"/>
    <w:rsid w:val="00376E42"/>
    <w:rsid w:val="00376FDE"/>
    <w:rsid w:val="00377116"/>
    <w:rsid w:val="003771C0"/>
    <w:rsid w:val="003772A0"/>
    <w:rsid w:val="0037748A"/>
    <w:rsid w:val="0037755D"/>
    <w:rsid w:val="0037787F"/>
    <w:rsid w:val="0037788C"/>
    <w:rsid w:val="0037793A"/>
    <w:rsid w:val="00377949"/>
    <w:rsid w:val="00377ABC"/>
    <w:rsid w:val="00377B2F"/>
    <w:rsid w:val="00377C64"/>
    <w:rsid w:val="00377C92"/>
    <w:rsid w:val="00377D2E"/>
    <w:rsid w:val="00377DCC"/>
    <w:rsid w:val="00377FA2"/>
    <w:rsid w:val="00380084"/>
    <w:rsid w:val="00380152"/>
    <w:rsid w:val="003803D9"/>
    <w:rsid w:val="00380467"/>
    <w:rsid w:val="003804A8"/>
    <w:rsid w:val="003804F3"/>
    <w:rsid w:val="0038051E"/>
    <w:rsid w:val="0038074D"/>
    <w:rsid w:val="0038077F"/>
    <w:rsid w:val="00380796"/>
    <w:rsid w:val="003807C4"/>
    <w:rsid w:val="003807D8"/>
    <w:rsid w:val="00380959"/>
    <w:rsid w:val="00380971"/>
    <w:rsid w:val="00380982"/>
    <w:rsid w:val="00380A35"/>
    <w:rsid w:val="00380A81"/>
    <w:rsid w:val="00380AE2"/>
    <w:rsid w:val="00380BF6"/>
    <w:rsid w:val="00380BF8"/>
    <w:rsid w:val="00380C4E"/>
    <w:rsid w:val="00380E74"/>
    <w:rsid w:val="00380F4B"/>
    <w:rsid w:val="00380F75"/>
    <w:rsid w:val="00380FA7"/>
    <w:rsid w:val="00381052"/>
    <w:rsid w:val="0038105C"/>
    <w:rsid w:val="003810D9"/>
    <w:rsid w:val="00381110"/>
    <w:rsid w:val="00381117"/>
    <w:rsid w:val="0038122C"/>
    <w:rsid w:val="0038129A"/>
    <w:rsid w:val="003812D4"/>
    <w:rsid w:val="00381357"/>
    <w:rsid w:val="00381366"/>
    <w:rsid w:val="0038149C"/>
    <w:rsid w:val="003814EF"/>
    <w:rsid w:val="0038153A"/>
    <w:rsid w:val="00381553"/>
    <w:rsid w:val="003815B3"/>
    <w:rsid w:val="0038164F"/>
    <w:rsid w:val="003818AA"/>
    <w:rsid w:val="003818BD"/>
    <w:rsid w:val="00381946"/>
    <w:rsid w:val="0038194E"/>
    <w:rsid w:val="00381952"/>
    <w:rsid w:val="00381A51"/>
    <w:rsid w:val="00381AD3"/>
    <w:rsid w:val="00381ADD"/>
    <w:rsid w:val="00381B04"/>
    <w:rsid w:val="00381B0B"/>
    <w:rsid w:val="00381BA4"/>
    <w:rsid w:val="00381BDB"/>
    <w:rsid w:val="00381BE7"/>
    <w:rsid w:val="00381E12"/>
    <w:rsid w:val="00381E39"/>
    <w:rsid w:val="00381E65"/>
    <w:rsid w:val="00381E80"/>
    <w:rsid w:val="00381EDF"/>
    <w:rsid w:val="00381F51"/>
    <w:rsid w:val="00381FBE"/>
    <w:rsid w:val="0038206D"/>
    <w:rsid w:val="003821EC"/>
    <w:rsid w:val="00382266"/>
    <w:rsid w:val="00382388"/>
    <w:rsid w:val="003823C0"/>
    <w:rsid w:val="0038242E"/>
    <w:rsid w:val="003824D9"/>
    <w:rsid w:val="00382592"/>
    <w:rsid w:val="00382661"/>
    <w:rsid w:val="00382828"/>
    <w:rsid w:val="003828C1"/>
    <w:rsid w:val="00382AA9"/>
    <w:rsid w:val="00382D05"/>
    <w:rsid w:val="00382E08"/>
    <w:rsid w:val="00382E69"/>
    <w:rsid w:val="00382E84"/>
    <w:rsid w:val="00382E88"/>
    <w:rsid w:val="00382F69"/>
    <w:rsid w:val="00383033"/>
    <w:rsid w:val="00383099"/>
    <w:rsid w:val="003830CF"/>
    <w:rsid w:val="003830D6"/>
    <w:rsid w:val="0038332E"/>
    <w:rsid w:val="00383388"/>
    <w:rsid w:val="0038344E"/>
    <w:rsid w:val="003834F7"/>
    <w:rsid w:val="003836C2"/>
    <w:rsid w:val="00383789"/>
    <w:rsid w:val="0038382E"/>
    <w:rsid w:val="003838B0"/>
    <w:rsid w:val="003838EF"/>
    <w:rsid w:val="00383959"/>
    <w:rsid w:val="0038399F"/>
    <w:rsid w:val="003839FB"/>
    <w:rsid w:val="00383A02"/>
    <w:rsid w:val="00383BA7"/>
    <w:rsid w:val="00383BA8"/>
    <w:rsid w:val="00383BE8"/>
    <w:rsid w:val="00383C1F"/>
    <w:rsid w:val="00383C91"/>
    <w:rsid w:val="00383CCD"/>
    <w:rsid w:val="00383DA1"/>
    <w:rsid w:val="00383DD0"/>
    <w:rsid w:val="00383E49"/>
    <w:rsid w:val="00383EF0"/>
    <w:rsid w:val="00383F77"/>
    <w:rsid w:val="00384002"/>
    <w:rsid w:val="003840B9"/>
    <w:rsid w:val="003840D1"/>
    <w:rsid w:val="003841A0"/>
    <w:rsid w:val="0038429D"/>
    <w:rsid w:val="003842B4"/>
    <w:rsid w:val="00384407"/>
    <w:rsid w:val="0038442C"/>
    <w:rsid w:val="0038443A"/>
    <w:rsid w:val="003844C8"/>
    <w:rsid w:val="003844D4"/>
    <w:rsid w:val="003846F2"/>
    <w:rsid w:val="0038474B"/>
    <w:rsid w:val="003847C4"/>
    <w:rsid w:val="00384A12"/>
    <w:rsid w:val="00384B6E"/>
    <w:rsid w:val="00384C89"/>
    <w:rsid w:val="00384CC4"/>
    <w:rsid w:val="00384CDE"/>
    <w:rsid w:val="00384E03"/>
    <w:rsid w:val="00385003"/>
    <w:rsid w:val="00385044"/>
    <w:rsid w:val="0038510E"/>
    <w:rsid w:val="00385209"/>
    <w:rsid w:val="00385211"/>
    <w:rsid w:val="00385228"/>
    <w:rsid w:val="0038526F"/>
    <w:rsid w:val="003852EF"/>
    <w:rsid w:val="0038540F"/>
    <w:rsid w:val="00385589"/>
    <w:rsid w:val="003855EC"/>
    <w:rsid w:val="0038560B"/>
    <w:rsid w:val="00385617"/>
    <w:rsid w:val="0038564E"/>
    <w:rsid w:val="0038579F"/>
    <w:rsid w:val="0038580A"/>
    <w:rsid w:val="00385837"/>
    <w:rsid w:val="003858EA"/>
    <w:rsid w:val="003858FB"/>
    <w:rsid w:val="003858FF"/>
    <w:rsid w:val="00385906"/>
    <w:rsid w:val="003859FA"/>
    <w:rsid w:val="00385A5F"/>
    <w:rsid w:val="00385A8C"/>
    <w:rsid w:val="00385B89"/>
    <w:rsid w:val="00385BBB"/>
    <w:rsid w:val="00385C22"/>
    <w:rsid w:val="00385C2E"/>
    <w:rsid w:val="00385CDC"/>
    <w:rsid w:val="00385CE8"/>
    <w:rsid w:val="00385D62"/>
    <w:rsid w:val="00385D66"/>
    <w:rsid w:val="00385DA8"/>
    <w:rsid w:val="00385E1D"/>
    <w:rsid w:val="00385EA0"/>
    <w:rsid w:val="00385EB3"/>
    <w:rsid w:val="00385F2C"/>
    <w:rsid w:val="00385F93"/>
    <w:rsid w:val="00386008"/>
    <w:rsid w:val="00386051"/>
    <w:rsid w:val="003860A4"/>
    <w:rsid w:val="003860A7"/>
    <w:rsid w:val="003860D6"/>
    <w:rsid w:val="00386106"/>
    <w:rsid w:val="003862CF"/>
    <w:rsid w:val="00386313"/>
    <w:rsid w:val="0038639D"/>
    <w:rsid w:val="003863BA"/>
    <w:rsid w:val="003863BC"/>
    <w:rsid w:val="0038643F"/>
    <w:rsid w:val="0038646C"/>
    <w:rsid w:val="003864A8"/>
    <w:rsid w:val="00386675"/>
    <w:rsid w:val="0038676B"/>
    <w:rsid w:val="0038688D"/>
    <w:rsid w:val="003868BA"/>
    <w:rsid w:val="003868BB"/>
    <w:rsid w:val="003868F5"/>
    <w:rsid w:val="00386956"/>
    <w:rsid w:val="00386999"/>
    <w:rsid w:val="003869D9"/>
    <w:rsid w:val="00386ABB"/>
    <w:rsid w:val="00386AE3"/>
    <w:rsid w:val="00386CA5"/>
    <w:rsid w:val="00386D55"/>
    <w:rsid w:val="00386D71"/>
    <w:rsid w:val="00386DFA"/>
    <w:rsid w:val="00386E0E"/>
    <w:rsid w:val="00386E98"/>
    <w:rsid w:val="00386FE5"/>
    <w:rsid w:val="00386FF0"/>
    <w:rsid w:val="0038712C"/>
    <w:rsid w:val="003871C0"/>
    <w:rsid w:val="003871C7"/>
    <w:rsid w:val="0038727A"/>
    <w:rsid w:val="003872F1"/>
    <w:rsid w:val="0038741B"/>
    <w:rsid w:val="00387447"/>
    <w:rsid w:val="003874A0"/>
    <w:rsid w:val="0038760C"/>
    <w:rsid w:val="00387641"/>
    <w:rsid w:val="0038765A"/>
    <w:rsid w:val="00387662"/>
    <w:rsid w:val="0038772C"/>
    <w:rsid w:val="0038780E"/>
    <w:rsid w:val="0038787D"/>
    <w:rsid w:val="003878A6"/>
    <w:rsid w:val="003879D1"/>
    <w:rsid w:val="00387B30"/>
    <w:rsid w:val="00387B9A"/>
    <w:rsid w:val="00387BFE"/>
    <w:rsid w:val="00387C14"/>
    <w:rsid w:val="00387C6A"/>
    <w:rsid w:val="00387CA0"/>
    <w:rsid w:val="00387D57"/>
    <w:rsid w:val="00387D9B"/>
    <w:rsid w:val="00387DC7"/>
    <w:rsid w:val="00387DDE"/>
    <w:rsid w:val="00387E0E"/>
    <w:rsid w:val="00387E3E"/>
    <w:rsid w:val="00387EB5"/>
    <w:rsid w:val="00387ECD"/>
    <w:rsid w:val="00387EE0"/>
    <w:rsid w:val="00387F63"/>
    <w:rsid w:val="0039001E"/>
    <w:rsid w:val="003900C5"/>
    <w:rsid w:val="0039013D"/>
    <w:rsid w:val="00390148"/>
    <w:rsid w:val="0039034E"/>
    <w:rsid w:val="00390564"/>
    <w:rsid w:val="0039058C"/>
    <w:rsid w:val="00390595"/>
    <w:rsid w:val="00390615"/>
    <w:rsid w:val="003906B5"/>
    <w:rsid w:val="003906D6"/>
    <w:rsid w:val="00390725"/>
    <w:rsid w:val="003907A5"/>
    <w:rsid w:val="003907A8"/>
    <w:rsid w:val="00390813"/>
    <w:rsid w:val="003908DE"/>
    <w:rsid w:val="00390954"/>
    <w:rsid w:val="003909E0"/>
    <w:rsid w:val="00390A2B"/>
    <w:rsid w:val="00390B17"/>
    <w:rsid w:val="00390B5C"/>
    <w:rsid w:val="00390B88"/>
    <w:rsid w:val="00390B9D"/>
    <w:rsid w:val="00390BF1"/>
    <w:rsid w:val="00390C1F"/>
    <w:rsid w:val="00390CC2"/>
    <w:rsid w:val="00390F9D"/>
    <w:rsid w:val="0039102F"/>
    <w:rsid w:val="00391058"/>
    <w:rsid w:val="00391082"/>
    <w:rsid w:val="003910A7"/>
    <w:rsid w:val="003910E8"/>
    <w:rsid w:val="00391315"/>
    <w:rsid w:val="00391343"/>
    <w:rsid w:val="0039157B"/>
    <w:rsid w:val="00391620"/>
    <w:rsid w:val="00391621"/>
    <w:rsid w:val="003916C1"/>
    <w:rsid w:val="00391727"/>
    <w:rsid w:val="0039176F"/>
    <w:rsid w:val="003917AC"/>
    <w:rsid w:val="00391816"/>
    <w:rsid w:val="0039191C"/>
    <w:rsid w:val="003919C3"/>
    <w:rsid w:val="00391A15"/>
    <w:rsid w:val="00391A86"/>
    <w:rsid w:val="00391AF8"/>
    <w:rsid w:val="00391C4F"/>
    <w:rsid w:val="00391C99"/>
    <w:rsid w:val="00391CAC"/>
    <w:rsid w:val="00391E33"/>
    <w:rsid w:val="00392034"/>
    <w:rsid w:val="003920F8"/>
    <w:rsid w:val="003921C7"/>
    <w:rsid w:val="003922D4"/>
    <w:rsid w:val="003922E8"/>
    <w:rsid w:val="00392316"/>
    <w:rsid w:val="0039237B"/>
    <w:rsid w:val="003923A6"/>
    <w:rsid w:val="003923EF"/>
    <w:rsid w:val="00392421"/>
    <w:rsid w:val="003925B7"/>
    <w:rsid w:val="00392623"/>
    <w:rsid w:val="00392755"/>
    <w:rsid w:val="00392773"/>
    <w:rsid w:val="0039279D"/>
    <w:rsid w:val="003927E3"/>
    <w:rsid w:val="003927F9"/>
    <w:rsid w:val="00392855"/>
    <w:rsid w:val="0039295B"/>
    <w:rsid w:val="003929A5"/>
    <w:rsid w:val="00392B3F"/>
    <w:rsid w:val="00392B72"/>
    <w:rsid w:val="00392BDA"/>
    <w:rsid w:val="00392D23"/>
    <w:rsid w:val="00392E08"/>
    <w:rsid w:val="00392E09"/>
    <w:rsid w:val="00392E57"/>
    <w:rsid w:val="00392F15"/>
    <w:rsid w:val="003931D4"/>
    <w:rsid w:val="0039327C"/>
    <w:rsid w:val="003932EC"/>
    <w:rsid w:val="00393341"/>
    <w:rsid w:val="003934C6"/>
    <w:rsid w:val="003934D8"/>
    <w:rsid w:val="003934ED"/>
    <w:rsid w:val="0039368D"/>
    <w:rsid w:val="003936A5"/>
    <w:rsid w:val="00393767"/>
    <w:rsid w:val="003937BA"/>
    <w:rsid w:val="003937FE"/>
    <w:rsid w:val="00393829"/>
    <w:rsid w:val="0039383D"/>
    <w:rsid w:val="00393904"/>
    <w:rsid w:val="00393912"/>
    <w:rsid w:val="00393926"/>
    <w:rsid w:val="003939A9"/>
    <w:rsid w:val="00393ADA"/>
    <w:rsid w:val="00393BBC"/>
    <w:rsid w:val="00393C33"/>
    <w:rsid w:val="00393D7E"/>
    <w:rsid w:val="00393DAE"/>
    <w:rsid w:val="00393E33"/>
    <w:rsid w:val="00393E38"/>
    <w:rsid w:val="0039400F"/>
    <w:rsid w:val="003940AD"/>
    <w:rsid w:val="00394182"/>
    <w:rsid w:val="00394233"/>
    <w:rsid w:val="003943ED"/>
    <w:rsid w:val="00394438"/>
    <w:rsid w:val="00394481"/>
    <w:rsid w:val="003944C1"/>
    <w:rsid w:val="00394577"/>
    <w:rsid w:val="003945ED"/>
    <w:rsid w:val="003946F4"/>
    <w:rsid w:val="00394786"/>
    <w:rsid w:val="00394888"/>
    <w:rsid w:val="00394912"/>
    <w:rsid w:val="00394A21"/>
    <w:rsid w:val="00394A22"/>
    <w:rsid w:val="00394A27"/>
    <w:rsid w:val="00394A67"/>
    <w:rsid w:val="00394A6A"/>
    <w:rsid w:val="00394BCD"/>
    <w:rsid w:val="00394C86"/>
    <w:rsid w:val="00394C8E"/>
    <w:rsid w:val="00394DA4"/>
    <w:rsid w:val="00394DED"/>
    <w:rsid w:val="00394E05"/>
    <w:rsid w:val="00394E16"/>
    <w:rsid w:val="00394F2A"/>
    <w:rsid w:val="0039500C"/>
    <w:rsid w:val="00395028"/>
    <w:rsid w:val="00395035"/>
    <w:rsid w:val="003950A6"/>
    <w:rsid w:val="0039510D"/>
    <w:rsid w:val="003951B5"/>
    <w:rsid w:val="003952B7"/>
    <w:rsid w:val="00395386"/>
    <w:rsid w:val="003953AF"/>
    <w:rsid w:val="003955A7"/>
    <w:rsid w:val="003955A8"/>
    <w:rsid w:val="003955EF"/>
    <w:rsid w:val="00395648"/>
    <w:rsid w:val="0039566E"/>
    <w:rsid w:val="00395673"/>
    <w:rsid w:val="003956CF"/>
    <w:rsid w:val="00395798"/>
    <w:rsid w:val="003957E9"/>
    <w:rsid w:val="0039586F"/>
    <w:rsid w:val="00395977"/>
    <w:rsid w:val="00395A6A"/>
    <w:rsid w:val="00395AFF"/>
    <w:rsid w:val="00395B2C"/>
    <w:rsid w:val="00395B79"/>
    <w:rsid w:val="00395C21"/>
    <w:rsid w:val="00395D3A"/>
    <w:rsid w:val="00395E03"/>
    <w:rsid w:val="00395E4B"/>
    <w:rsid w:val="00395E96"/>
    <w:rsid w:val="00395F5C"/>
    <w:rsid w:val="00396052"/>
    <w:rsid w:val="00396109"/>
    <w:rsid w:val="00396153"/>
    <w:rsid w:val="003961C1"/>
    <w:rsid w:val="0039622E"/>
    <w:rsid w:val="00396268"/>
    <w:rsid w:val="0039629C"/>
    <w:rsid w:val="00396416"/>
    <w:rsid w:val="00396470"/>
    <w:rsid w:val="00396540"/>
    <w:rsid w:val="0039658A"/>
    <w:rsid w:val="003965EF"/>
    <w:rsid w:val="00396878"/>
    <w:rsid w:val="00396912"/>
    <w:rsid w:val="00396A6E"/>
    <w:rsid w:val="00396AB9"/>
    <w:rsid w:val="00396AFA"/>
    <w:rsid w:val="00396BD6"/>
    <w:rsid w:val="00396BD7"/>
    <w:rsid w:val="00396C0B"/>
    <w:rsid w:val="00396C20"/>
    <w:rsid w:val="00396CDF"/>
    <w:rsid w:val="00396D14"/>
    <w:rsid w:val="00396DFC"/>
    <w:rsid w:val="00396E76"/>
    <w:rsid w:val="00396F4D"/>
    <w:rsid w:val="00396FB7"/>
    <w:rsid w:val="00396FD2"/>
    <w:rsid w:val="00397043"/>
    <w:rsid w:val="0039710C"/>
    <w:rsid w:val="00397141"/>
    <w:rsid w:val="0039717E"/>
    <w:rsid w:val="003971C8"/>
    <w:rsid w:val="003971CB"/>
    <w:rsid w:val="00397290"/>
    <w:rsid w:val="003972AE"/>
    <w:rsid w:val="003972E8"/>
    <w:rsid w:val="0039738A"/>
    <w:rsid w:val="003974A3"/>
    <w:rsid w:val="003974F6"/>
    <w:rsid w:val="00397584"/>
    <w:rsid w:val="0039767B"/>
    <w:rsid w:val="003976DA"/>
    <w:rsid w:val="003977D9"/>
    <w:rsid w:val="003978EA"/>
    <w:rsid w:val="0039797D"/>
    <w:rsid w:val="0039799B"/>
    <w:rsid w:val="003979AC"/>
    <w:rsid w:val="00397A63"/>
    <w:rsid w:val="00397A78"/>
    <w:rsid w:val="00397AB5"/>
    <w:rsid w:val="00397B55"/>
    <w:rsid w:val="00397BCF"/>
    <w:rsid w:val="00397E38"/>
    <w:rsid w:val="00397FF9"/>
    <w:rsid w:val="003A00BC"/>
    <w:rsid w:val="003A00D7"/>
    <w:rsid w:val="003A016E"/>
    <w:rsid w:val="003A0212"/>
    <w:rsid w:val="003A0222"/>
    <w:rsid w:val="003A034B"/>
    <w:rsid w:val="003A03F3"/>
    <w:rsid w:val="003A04AB"/>
    <w:rsid w:val="003A04BB"/>
    <w:rsid w:val="003A051A"/>
    <w:rsid w:val="003A054C"/>
    <w:rsid w:val="003A05EA"/>
    <w:rsid w:val="003A06B9"/>
    <w:rsid w:val="003A0794"/>
    <w:rsid w:val="003A07BA"/>
    <w:rsid w:val="003A07E9"/>
    <w:rsid w:val="003A097E"/>
    <w:rsid w:val="003A0A01"/>
    <w:rsid w:val="003A0A69"/>
    <w:rsid w:val="003A0B4D"/>
    <w:rsid w:val="003A0B6D"/>
    <w:rsid w:val="003A0BA4"/>
    <w:rsid w:val="003A0C6C"/>
    <w:rsid w:val="003A0ECA"/>
    <w:rsid w:val="003A0F78"/>
    <w:rsid w:val="003A0F93"/>
    <w:rsid w:val="003A0FF6"/>
    <w:rsid w:val="003A10C1"/>
    <w:rsid w:val="003A10C2"/>
    <w:rsid w:val="003A1246"/>
    <w:rsid w:val="003A12C0"/>
    <w:rsid w:val="003A138A"/>
    <w:rsid w:val="003A141A"/>
    <w:rsid w:val="003A14CA"/>
    <w:rsid w:val="003A162D"/>
    <w:rsid w:val="003A1768"/>
    <w:rsid w:val="003A1779"/>
    <w:rsid w:val="003A17E6"/>
    <w:rsid w:val="003A185C"/>
    <w:rsid w:val="003A1874"/>
    <w:rsid w:val="003A188E"/>
    <w:rsid w:val="003A1A41"/>
    <w:rsid w:val="003A1A76"/>
    <w:rsid w:val="003A1BD4"/>
    <w:rsid w:val="003A1BE7"/>
    <w:rsid w:val="003A1C15"/>
    <w:rsid w:val="003A1C25"/>
    <w:rsid w:val="003A1CC5"/>
    <w:rsid w:val="003A1D23"/>
    <w:rsid w:val="003A1E04"/>
    <w:rsid w:val="003A1E08"/>
    <w:rsid w:val="003A1EEC"/>
    <w:rsid w:val="003A1FEB"/>
    <w:rsid w:val="003A201E"/>
    <w:rsid w:val="003A20CA"/>
    <w:rsid w:val="003A20EC"/>
    <w:rsid w:val="003A2199"/>
    <w:rsid w:val="003A2241"/>
    <w:rsid w:val="003A2304"/>
    <w:rsid w:val="003A234E"/>
    <w:rsid w:val="003A2377"/>
    <w:rsid w:val="003A240F"/>
    <w:rsid w:val="003A241C"/>
    <w:rsid w:val="003A2566"/>
    <w:rsid w:val="003A2630"/>
    <w:rsid w:val="003A263B"/>
    <w:rsid w:val="003A2661"/>
    <w:rsid w:val="003A275C"/>
    <w:rsid w:val="003A28D1"/>
    <w:rsid w:val="003A2BE9"/>
    <w:rsid w:val="003A2CCD"/>
    <w:rsid w:val="003A2D5E"/>
    <w:rsid w:val="003A2E9B"/>
    <w:rsid w:val="003A2F0D"/>
    <w:rsid w:val="003A2F54"/>
    <w:rsid w:val="003A2F55"/>
    <w:rsid w:val="003A30ED"/>
    <w:rsid w:val="003A30F0"/>
    <w:rsid w:val="003A3140"/>
    <w:rsid w:val="003A32D1"/>
    <w:rsid w:val="003A331F"/>
    <w:rsid w:val="003A342C"/>
    <w:rsid w:val="003A346C"/>
    <w:rsid w:val="003A3693"/>
    <w:rsid w:val="003A36A3"/>
    <w:rsid w:val="003A3776"/>
    <w:rsid w:val="003A3A2A"/>
    <w:rsid w:val="003A3AC8"/>
    <w:rsid w:val="003A3B5A"/>
    <w:rsid w:val="003A3BBF"/>
    <w:rsid w:val="003A3CCC"/>
    <w:rsid w:val="003A3EAB"/>
    <w:rsid w:val="003A3F56"/>
    <w:rsid w:val="003A3FAA"/>
    <w:rsid w:val="003A404E"/>
    <w:rsid w:val="003A4100"/>
    <w:rsid w:val="003A4158"/>
    <w:rsid w:val="003A4181"/>
    <w:rsid w:val="003A4198"/>
    <w:rsid w:val="003A41CF"/>
    <w:rsid w:val="003A41DD"/>
    <w:rsid w:val="003A41E0"/>
    <w:rsid w:val="003A4276"/>
    <w:rsid w:val="003A439C"/>
    <w:rsid w:val="003A43E6"/>
    <w:rsid w:val="003A44D2"/>
    <w:rsid w:val="003A44EE"/>
    <w:rsid w:val="003A44FB"/>
    <w:rsid w:val="003A4540"/>
    <w:rsid w:val="003A45E7"/>
    <w:rsid w:val="003A461B"/>
    <w:rsid w:val="003A46BE"/>
    <w:rsid w:val="003A4824"/>
    <w:rsid w:val="003A4896"/>
    <w:rsid w:val="003A4947"/>
    <w:rsid w:val="003A49EC"/>
    <w:rsid w:val="003A4A18"/>
    <w:rsid w:val="003A4A94"/>
    <w:rsid w:val="003A4B06"/>
    <w:rsid w:val="003A4B35"/>
    <w:rsid w:val="003A4B41"/>
    <w:rsid w:val="003A4B7D"/>
    <w:rsid w:val="003A4CFC"/>
    <w:rsid w:val="003A4D5E"/>
    <w:rsid w:val="003A4DF8"/>
    <w:rsid w:val="003A4FE9"/>
    <w:rsid w:val="003A5003"/>
    <w:rsid w:val="003A50E6"/>
    <w:rsid w:val="003A5105"/>
    <w:rsid w:val="003A517B"/>
    <w:rsid w:val="003A5310"/>
    <w:rsid w:val="003A5349"/>
    <w:rsid w:val="003A54F5"/>
    <w:rsid w:val="003A5627"/>
    <w:rsid w:val="003A56F1"/>
    <w:rsid w:val="003A580E"/>
    <w:rsid w:val="003A582C"/>
    <w:rsid w:val="003A585F"/>
    <w:rsid w:val="003A5874"/>
    <w:rsid w:val="003A58CE"/>
    <w:rsid w:val="003A5943"/>
    <w:rsid w:val="003A59C4"/>
    <w:rsid w:val="003A5A25"/>
    <w:rsid w:val="003A5A31"/>
    <w:rsid w:val="003A5A3D"/>
    <w:rsid w:val="003A5A94"/>
    <w:rsid w:val="003A5AA7"/>
    <w:rsid w:val="003A5ABD"/>
    <w:rsid w:val="003A5B72"/>
    <w:rsid w:val="003A5BF8"/>
    <w:rsid w:val="003A5C2A"/>
    <w:rsid w:val="003A5C5B"/>
    <w:rsid w:val="003A5CD4"/>
    <w:rsid w:val="003A5D90"/>
    <w:rsid w:val="003A5EDA"/>
    <w:rsid w:val="003A5F39"/>
    <w:rsid w:val="003A5F7C"/>
    <w:rsid w:val="003A5F85"/>
    <w:rsid w:val="003A606C"/>
    <w:rsid w:val="003A6138"/>
    <w:rsid w:val="003A61EE"/>
    <w:rsid w:val="003A636D"/>
    <w:rsid w:val="003A6554"/>
    <w:rsid w:val="003A65A6"/>
    <w:rsid w:val="003A65E0"/>
    <w:rsid w:val="003A66BD"/>
    <w:rsid w:val="003A66C1"/>
    <w:rsid w:val="003A6716"/>
    <w:rsid w:val="003A6784"/>
    <w:rsid w:val="003A6860"/>
    <w:rsid w:val="003A6883"/>
    <w:rsid w:val="003A6901"/>
    <w:rsid w:val="003A693D"/>
    <w:rsid w:val="003A69C9"/>
    <w:rsid w:val="003A6A05"/>
    <w:rsid w:val="003A6A97"/>
    <w:rsid w:val="003A6BE8"/>
    <w:rsid w:val="003A6C1F"/>
    <w:rsid w:val="003A6CF6"/>
    <w:rsid w:val="003A6D7E"/>
    <w:rsid w:val="003A6D9E"/>
    <w:rsid w:val="003A6DCB"/>
    <w:rsid w:val="003A6DEB"/>
    <w:rsid w:val="003A6DF6"/>
    <w:rsid w:val="003A6F89"/>
    <w:rsid w:val="003A7055"/>
    <w:rsid w:val="003A70CD"/>
    <w:rsid w:val="003A724A"/>
    <w:rsid w:val="003A7265"/>
    <w:rsid w:val="003A72E3"/>
    <w:rsid w:val="003A72FA"/>
    <w:rsid w:val="003A739D"/>
    <w:rsid w:val="003A73A5"/>
    <w:rsid w:val="003A7404"/>
    <w:rsid w:val="003A741B"/>
    <w:rsid w:val="003A74A3"/>
    <w:rsid w:val="003A74ED"/>
    <w:rsid w:val="003A7580"/>
    <w:rsid w:val="003A762F"/>
    <w:rsid w:val="003A77AB"/>
    <w:rsid w:val="003A77DE"/>
    <w:rsid w:val="003A7868"/>
    <w:rsid w:val="003A792A"/>
    <w:rsid w:val="003A7A0B"/>
    <w:rsid w:val="003A7AB2"/>
    <w:rsid w:val="003A7C17"/>
    <w:rsid w:val="003A7C30"/>
    <w:rsid w:val="003A7C49"/>
    <w:rsid w:val="003A7C69"/>
    <w:rsid w:val="003A7CD4"/>
    <w:rsid w:val="003A7D66"/>
    <w:rsid w:val="003A7DE8"/>
    <w:rsid w:val="003A7F46"/>
    <w:rsid w:val="003B003F"/>
    <w:rsid w:val="003B0071"/>
    <w:rsid w:val="003B011A"/>
    <w:rsid w:val="003B01C2"/>
    <w:rsid w:val="003B01F0"/>
    <w:rsid w:val="003B01F9"/>
    <w:rsid w:val="003B026C"/>
    <w:rsid w:val="003B0330"/>
    <w:rsid w:val="003B0358"/>
    <w:rsid w:val="003B049A"/>
    <w:rsid w:val="003B056C"/>
    <w:rsid w:val="003B05F0"/>
    <w:rsid w:val="003B0668"/>
    <w:rsid w:val="003B06AD"/>
    <w:rsid w:val="003B07A6"/>
    <w:rsid w:val="003B07C1"/>
    <w:rsid w:val="003B08DB"/>
    <w:rsid w:val="003B08FC"/>
    <w:rsid w:val="003B0934"/>
    <w:rsid w:val="003B0A50"/>
    <w:rsid w:val="003B0AD3"/>
    <w:rsid w:val="003B0AE1"/>
    <w:rsid w:val="003B0AE2"/>
    <w:rsid w:val="003B0B39"/>
    <w:rsid w:val="003B0BA1"/>
    <w:rsid w:val="003B0C12"/>
    <w:rsid w:val="003B0C3C"/>
    <w:rsid w:val="003B0C3E"/>
    <w:rsid w:val="003B0D8B"/>
    <w:rsid w:val="003B0E10"/>
    <w:rsid w:val="003B0E86"/>
    <w:rsid w:val="003B0EA4"/>
    <w:rsid w:val="003B0EE0"/>
    <w:rsid w:val="003B0F32"/>
    <w:rsid w:val="003B0FCF"/>
    <w:rsid w:val="003B10D5"/>
    <w:rsid w:val="003B10FA"/>
    <w:rsid w:val="003B1233"/>
    <w:rsid w:val="003B126D"/>
    <w:rsid w:val="003B134D"/>
    <w:rsid w:val="003B1373"/>
    <w:rsid w:val="003B141A"/>
    <w:rsid w:val="003B1427"/>
    <w:rsid w:val="003B1497"/>
    <w:rsid w:val="003B14C9"/>
    <w:rsid w:val="003B14ED"/>
    <w:rsid w:val="003B14F6"/>
    <w:rsid w:val="003B1507"/>
    <w:rsid w:val="003B1536"/>
    <w:rsid w:val="003B1781"/>
    <w:rsid w:val="003B17F2"/>
    <w:rsid w:val="003B180E"/>
    <w:rsid w:val="003B1965"/>
    <w:rsid w:val="003B1A49"/>
    <w:rsid w:val="003B1B1F"/>
    <w:rsid w:val="003B1B4A"/>
    <w:rsid w:val="003B1C3A"/>
    <w:rsid w:val="003B1C3F"/>
    <w:rsid w:val="003B1CA9"/>
    <w:rsid w:val="003B1CAC"/>
    <w:rsid w:val="003B1DCD"/>
    <w:rsid w:val="003B1E23"/>
    <w:rsid w:val="003B1EC8"/>
    <w:rsid w:val="003B1ECB"/>
    <w:rsid w:val="003B1F03"/>
    <w:rsid w:val="003B1F22"/>
    <w:rsid w:val="003B2018"/>
    <w:rsid w:val="003B20ED"/>
    <w:rsid w:val="003B20FC"/>
    <w:rsid w:val="003B210E"/>
    <w:rsid w:val="003B220B"/>
    <w:rsid w:val="003B2229"/>
    <w:rsid w:val="003B226E"/>
    <w:rsid w:val="003B22C0"/>
    <w:rsid w:val="003B232C"/>
    <w:rsid w:val="003B2432"/>
    <w:rsid w:val="003B2519"/>
    <w:rsid w:val="003B252B"/>
    <w:rsid w:val="003B260E"/>
    <w:rsid w:val="003B2642"/>
    <w:rsid w:val="003B2678"/>
    <w:rsid w:val="003B2687"/>
    <w:rsid w:val="003B2694"/>
    <w:rsid w:val="003B26EA"/>
    <w:rsid w:val="003B2747"/>
    <w:rsid w:val="003B2752"/>
    <w:rsid w:val="003B27DC"/>
    <w:rsid w:val="003B29E9"/>
    <w:rsid w:val="003B2A23"/>
    <w:rsid w:val="003B2A80"/>
    <w:rsid w:val="003B2A95"/>
    <w:rsid w:val="003B2AAD"/>
    <w:rsid w:val="003B2AD1"/>
    <w:rsid w:val="003B2C14"/>
    <w:rsid w:val="003B2C19"/>
    <w:rsid w:val="003B2C1E"/>
    <w:rsid w:val="003B2C28"/>
    <w:rsid w:val="003B2D19"/>
    <w:rsid w:val="003B2DE1"/>
    <w:rsid w:val="003B2DFA"/>
    <w:rsid w:val="003B2F86"/>
    <w:rsid w:val="003B2FD6"/>
    <w:rsid w:val="003B31AA"/>
    <w:rsid w:val="003B3317"/>
    <w:rsid w:val="003B33CA"/>
    <w:rsid w:val="003B345C"/>
    <w:rsid w:val="003B3472"/>
    <w:rsid w:val="003B34F8"/>
    <w:rsid w:val="003B35A9"/>
    <w:rsid w:val="003B3658"/>
    <w:rsid w:val="003B36FF"/>
    <w:rsid w:val="003B3783"/>
    <w:rsid w:val="003B38C9"/>
    <w:rsid w:val="003B38DF"/>
    <w:rsid w:val="003B3A22"/>
    <w:rsid w:val="003B3ADF"/>
    <w:rsid w:val="003B3B4F"/>
    <w:rsid w:val="003B3C05"/>
    <w:rsid w:val="003B3DF4"/>
    <w:rsid w:val="003B3E45"/>
    <w:rsid w:val="003B3F3E"/>
    <w:rsid w:val="003B3FE4"/>
    <w:rsid w:val="003B4008"/>
    <w:rsid w:val="003B4032"/>
    <w:rsid w:val="003B4046"/>
    <w:rsid w:val="003B41FD"/>
    <w:rsid w:val="003B4206"/>
    <w:rsid w:val="003B4248"/>
    <w:rsid w:val="003B42ED"/>
    <w:rsid w:val="003B4396"/>
    <w:rsid w:val="003B43E1"/>
    <w:rsid w:val="003B4562"/>
    <w:rsid w:val="003B45B6"/>
    <w:rsid w:val="003B4611"/>
    <w:rsid w:val="003B4616"/>
    <w:rsid w:val="003B4624"/>
    <w:rsid w:val="003B4655"/>
    <w:rsid w:val="003B4732"/>
    <w:rsid w:val="003B477F"/>
    <w:rsid w:val="003B488F"/>
    <w:rsid w:val="003B489E"/>
    <w:rsid w:val="003B48AB"/>
    <w:rsid w:val="003B48AE"/>
    <w:rsid w:val="003B48BD"/>
    <w:rsid w:val="003B491F"/>
    <w:rsid w:val="003B4944"/>
    <w:rsid w:val="003B4A47"/>
    <w:rsid w:val="003B4A99"/>
    <w:rsid w:val="003B4AC2"/>
    <w:rsid w:val="003B4C11"/>
    <w:rsid w:val="003B4D02"/>
    <w:rsid w:val="003B4E12"/>
    <w:rsid w:val="003B4F17"/>
    <w:rsid w:val="003B4FA2"/>
    <w:rsid w:val="003B50FC"/>
    <w:rsid w:val="003B516F"/>
    <w:rsid w:val="003B5247"/>
    <w:rsid w:val="003B5285"/>
    <w:rsid w:val="003B53E9"/>
    <w:rsid w:val="003B55F0"/>
    <w:rsid w:val="003B56A7"/>
    <w:rsid w:val="003B586D"/>
    <w:rsid w:val="003B5A9E"/>
    <w:rsid w:val="003B5AFF"/>
    <w:rsid w:val="003B5B7A"/>
    <w:rsid w:val="003B5BD7"/>
    <w:rsid w:val="003B5EAA"/>
    <w:rsid w:val="003B5EAC"/>
    <w:rsid w:val="003B627C"/>
    <w:rsid w:val="003B62A3"/>
    <w:rsid w:val="003B63C7"/>
    <w:rsid w:val="003B640B"/>
    <w:rsid w:val="003B647B"/>
    <w:rsid w:val="003B64FF"/>
    <w:rsid w:val="003B653E"/>
    <w:rsid w:val="003B6584"/>
    <w:rsid w:val="003B65B9"/>
    <w:rsid w:val="003B664C"/>
    <w:rsid w:val="003B672B"/>
    <w:rsid w:val="003B67BD"/>
    <w:rsid w:val="003B68E5"/>
    <w:rsid w:val="003B69AE"/>
    <w:rsid w:val="003B69D9"/>
    <w:rsid w:val="003B6A75"/>
    <w:rsid w:val="003B6A8C"/>
    <w:rsid w:val="003B6ACE"/>
    <w:rsid w:val="003B6B21"/>
    <w:rsid w:val="003B6C36"/>
    <w:rsid w:val="003B6D40"/>
    <w:rsid w:val="003B6D51"/>
    <w:rsid w:val="003B6E0B"/>
    <w:rsid w:val="003B6E17"/>
    <w:rsid w:val="003B6F0B"/>
    <w:rsid w:val="003B6F83"/>
    <w:rsid w:val="003B6F9E"/>
    <w:rsid w:val="003B6FF2"/>
    <w:rsid w:val="003B70E8"/>
    <w:rsid w:val="003B713B"/>
    <w:rsid w:val="003B713D"/>
    <w:rsid w:val="003B7193"/>
    <w:rsid w:val="003B72F4"/>
    <w:rsid w:val="003B73DD"/>
    <w:rsid w:val="003B74A3"/>
    <w:rsid w:val="003B74BD"/>
    <w:rsid w:val="003B74D2"/>
    <w:rsid w:val="003B750F"/>
    <w:rsid w:val="003B754C"/>
    <w:rsid w:val="003B75C2"/>
    <w:rsid w:val="003B773A"/>
    <w:rsid w:val="003B7883"/>
    <w:rsid w:val="003B78B9"/>
    <w:rsid w:val="003B7930"/>
    <w:rsid w:val="003B794C"/>
    <w:rsid w:val="003B7985"/>
    <w:rsid w:val="003B79C6"/>
    <w:rsid w:val="003B79F1"/>
    <w:rsid w:val="003B7A06"/>
    <w:rsid w:val="003B7AD8"/>
    <w:rsid w:val="003B7B63"/>
    <w:rsid w:val="003B7B9A"/>
    <w:rsid w:val="003B7CFA"/>
    <w:rsid w:val="003B7DBE"/>
    <w:rsid w:val="003B7DE8"/>
    <w:rsid w:val="003B7EC9"/>
    <w:rsid w:val="003B7F62"/>
    <w:rsid w:val="003C0069"/>
    <w:rsid w:val="003C0071"/>
    <w:rsid w:val="003C0196"/>
    <w:rsid w:val="003C01CC"/>
    <w:rsid w:val="003C0293"/>
    <w:rsid w:val="003C02A0"/>
    <w:rsid w:val="003C02F2"/>
    <w:rsid w:val="003C0372"/>
    <w:rsid w:val="003C0560"/>
    <w:rsid w:val="003C072C"/>
    <w:rsid w:val="003C0798"/>
    <w:rsid w:val="003C080A"/>
    <w:rsid w:val="003C0886"/>
    <w:rsid w:val="003C096D"/>
    <w:rsid w:val="003C0A6A"/>
    <w:rsid w:val="003C0A7A"/>
    <w:rsid w:val="003C0AB0"/>
    <w:rsid w:val="003C0AEA"/>
    <w:rsid w:val="003C0AF5"/>
    <w:rsid w:val="003C0B9C"/>
    <w:rsid w:val="003C0B9F"/>
    <w:rsid w:val="003C0D9E"/>
    <w:rsid w:val="003C0DAD"/>
    <w:rsid w:val="003C0DFE"/>
    <w:rsid w:val="003C0E3B"/>
    <w:rsid w:val="003C0E44"/>
    <w:rsid w:val="003C0EDA"/>
    <w:rsid w:val="003C0FBC"/>
    <w:rsid w:val="003C101E"/>
    <w:rsid w:val="003C102F"/>
    <w:rsid w:val="003C10FF"/>
    <w:rsid w:val="003C114F"/>
    <w:rsid w:val="003C11DB"/>
    <w:rsid w:val="003C138B"/>
    <w:rsid w:val="003C13A6"/>
    <w:rsid w:val="003C1405"/>
    <w:rsid w:val="003C1420"/>
    <w:rsid w:val="003C1438"/>
    <w:rsid w:val="003C14CA"/>
    <w:rsid w:val="003C1547"/>
    <w:rsid w:val="003C1675"/>
    <w:rsid w:val="003C1691"/>
    <w:rsid w:val="003C174D"/>
    <w:rsid w:val="003C17BE"/>
    <w:rsid w:val="003C1808"/>
    <w:rsid w:val="003C183B"/>
    <w:rsid w:val="003C18F5"/>
    <w:rsid w:val="003C1913"/>
    <w:rsid w:val="003C197F"/>
    <w:rsid w:val="003C1AF2"/>
    <w:rsid w:val="003C1B63"/>
    <w:rsid w:val="003C1B7F"/>
    <w:rsid w:val="003C1C0D"/>
    <w:rsid w:val="003C1D5B"/>
    <w:rsid w:val="003C1D9F"/>
    <w:rsid w:val="003C1DE2"/>
    <w:rsid w:val="003C1E0C"/>
    <w:rsid w:val="003C1E4E"/>
    <w:rsid w:val="003C1E97"/>
    <w:rsid w:val="003C1EAA"/>
    <w:rsid w:val="003C1ECD"/>
    <w:rsid w:val="003C1EDD"/>
    <w:rsid w:val="003C200E"/>
    <w:rsid w:val="003C20F6"/>
    <w:rsid w:val="003C2126"/>
    <w:rsid w:val="003C215A"/>
    <w:rsid w:val="003C2169"/>
    <w:rsid w:val="003C2275"/>
    <w:rsid w:val="003C23F0"/>
    <w:rsid w:val="003C2497"/>
    <w:rsid w:val="003C24AC"/>
    <w:rsid w:val="003C24B7"/>
    <w:rsid w:val="003C24D5"/>
    <w:rsid w:val="003C2608"/>
    <w:rsid w:val="003C2896"/>
    <w:rsid w:val="003C28E4"/>
    <w:rsid w:val="003C2961"/>
    <w:rsid w:val="003C2BF4"/>
    <w:rsid w:val="003C2D08"/>
    <w:rsid w:val="003C2F8B"/>
    <w:rsid w:val="003C317F"/>
    <w:rsid w:val="003C31C6"/>
    <w:rsid w:val="003C328D"/>
    <w:rsid w:val="003C3297"/>
    <w:rsid w:val="003C329C"/>
    <w:rsid w:val="003C331B"/>
    <w:rsid w:val="003C33F1"/>
    <w:rsid w:val="003C340E"/>
    <w:rsid w:val="003C34C6"/>
    <w:rsid w:val="003C34D2"/>
    <w:rsid w:val="003C3586"/>
    <w:rsid w:val="003C35F6"/>
    <w:rsid w:val="003C3691"/>
    <w:rsid w:val="003C36DD"/>
    <w:rsid w:val="003C37B1"/>
    <w:rsid w:val="003C3885"/>
    <w:rsid w:val="003C38C7"/>
    <w:rsid w:val="003C38C8"/>
    <w:rsid w:val="003C399A"/>
    <w:rsid w:val="003C3A1A"/>
    <w:rsid w:val="003C3A75"/>
    <w:rsid w:val="003C3BE3"/>
    <w:rsid w:val="003C3C0B"/>
    <w:rsid w:val="003C3CBC"/>
    <w:rsid w:val="003C3CD7"/>
    <w:rsid w:val="003C3D3A"/>
    <w:rsid w:val="003C3E0C"/>
    <w:rsid w:val="003C3E49"/>
    <w:rsid w:val="003C3E8C"/>
    <w:rsid w:val="003C3EED"/>
    <w:rsid w:val="003C3FA3"/>
    <w:rsid w:val="003C3FD2"/>
    <w:rsid w:val="003C4035"/>
    <w:rsid w:val="003C403A"/>
    <w:rsid w:val="003C4104"/>
    <w:rsid w:val="003C415B"/>
    <w:rsid w:val="003C4180"/>
    <w:rsid w:val="003C420B"/>
    <w:rsid w:val="003C4308"/>
    <w:rsid w:val="003C4381"/>
    <w:rsid w:val="003C4447"/>
    <w:rsid w:val="003C4454"/>
    <w:rsid w:val="003C4477"/>
    <w:rsid w:val="003C44A3"/>
    <w:rsid w:val="003C4507"/>
    <w:rsid w:val="003C45A0"/>
    <w:rsid w:val="003C45EF"/>
    <w:rsid w:val="003C460B"/>
    <w:rsid w:val="003C47A1"/>
    <w:rsid w:val="003C487C"/>
    <w:rsid w:val="003C487E"/>
    <w:rsid w:val="003C488E"/>
    <w:rsid w:val="003C4919"/>
    <w:rsid w:val="003C4986"/>
    <w:rsid w:val="003C4A76"/>
    <w:rsid w:val="003C4AB3"/>
    <w:rsid w:val="003C4AD5"/>
    <w:rsid w:val="003C4AF3"/>
    <w:rsid w:val="003C4AF7"/>
    <w:rsid w:val="003C4AFD"/>
    <w:rsid w:val="003C4B26"/>
    <w:rsid w:val="003C4B35"/>
    <w:rsid w:val="003C4B7A"/>
    <w:rsid w:val="003C4B7F"/>
    <w:rsid w:val="003C4BC7"/>
    <w:rsid w:val="003C4CC0"/>
    <w:rsid w:val="003C4E56"/>
    <w:rsid w:val="003C4E9A"/>
    <w:rsid w:val="003C4EE0"/>
    <w:rsid w:val="003C4F1B"/>
    <w:rsid w:val="003C4F2E"/>
    <w:rsid w:val="003C5124"/>
    <w:rsid w:val="003C5125"/>
    <w:rsid w:val="003C5252"/>
    <w:rsid w:val="003C53D4"/>
    <w:rsid w:val="003C5466"/>
    <w:rsid w:val="003C54DB"/>
    <w:rsid w:val="003C551E"/>
    <w:rsid w:val="003C55E7"/>
    <w:rsid w:val="003C5625"/>
    <w:rsid w:val="003C5733"/>
    <w:rsid w:val="003C5A10"/>
    <w:rsid w:val="003C5A25"/>
    <w:rsid w:val="003C5A59"/>
    <w:rsid w:val="003C5B98"/>
    <w:rsid w:val="003C5BAF"/>
    <w:rsid w:val="003C5BFA"/>
    <w:rsid w:val="003C5C1C"/>
    <w:rsid w:val="003C5C3A"/>
    <w:rsid w:val="003C5CA5"/>
    <w:rsid w:val="003C5D5C"/>
    <w:rsid w:val="003C5E5A"/>
    <w:rsid w:val="003C5F50"/>
    <w:rsid w:val="003C5F6B"/>
    <w:rsid w:val="003C5FCC"/>
    <w:rsid w:val="003C616E"/>
    <w:rsid w:val="003C619B"/>
    <w:rsid w:val="003C6204"/>
    <w:rsid w:val="003C6210"/>
    <w:rsid w:val="003C641F"/>
    <w:rsid w:val="003C64B4"/>
    <w:rsid w:val="003C64F1"/>
    <w:rsid w:val="003C652E"/>
    <w:rsid w:val="003C65C3"/>
    <w:rsid w:val="003C6798"/>
    <w:rsid w:val="003C680C"/>
    <w:rsid w:val="003C68C8"/>
    <w:rsid w:val="003C6926"/>
    <w:rsid w:val="003C693B"/>
    <w:rsid w:val="003C6A58"/>
    <w:rsid w:val="003C6A9D"/>
    <w:rsid w:val="003C6ACB"/>
    <w:rsid w:val="003C6AD0"/>
    <w:rsid w:val="003C6AD2"/>
    <w:rsid w:val="003C6AFF"/>
    <w:rsid w:val="003C6CA2"/>
    <w:rsid w:val="003C6D26"/>
    <w:rsid w:val="003C6D77"/>
    <w:rsid w:val="003C6D97"/>
    <w:rsid w:val="003C6ED8"/>
    <w:rsid w:val="003C7088"/>
    <w:rsid w:val="003C708B"/>
    <w:rsid w:val="003C70C5"/>
    <w:rsid w:val="003C70E8"/>
    <w:rsid w:val="003C7113"/>
    <w:rsid w:val="003C7272"/>
    <w:rsid w:val="003C72D4"/>
    <w:rsid w:val="003C738F"/>
    <w:rsid w:val="003C7438"/>
    <w:rsid w:val="003C74B0"/>
    <w:rsid w:val="003C74B2"/>
    <w:rsid w:val="003C753D"/>
    <w:rsid w:val="003C75BE"/>
    <w:rsid w:val="003C7620"/>
    <w:rsid w:val="003C76D2"/>
    <w:rsid w:val="003C76D5"/>
    <w:rsid w:val="003C7720"/>
    <w:rsid w:val="003C77A0"/>
    <w:rsid w:val="003C77B3"/>
    <w:rsid w:val="003C798D"/>
    <w:rsid w:val="003C79B7"/>
    <w:rsid w:val="003C7A83"/>
    <w:rsid w:val="003C7B30"/>
    <w:rsid w:val="003C7CC6"/>
    <w:rsid w:val="003C7CCE"/>
    <w:rsid w:val="003C7D0E"/>
    <w:rsid w:val="003C7D86"/>
    <w:rsid w:val="003C7DA0"/>
    <w:rsid w:val="003C7DD8"/>
    <w:rsid w:val="003C7E9F"/>
    <w:rsid w:val="003C7EA8"/>
    <w:rsid w:val="003C7ED8"/>
    <w:rsid w:val="003C7F80"/>
    <w:rsid w:val="003C7FD7"/>
    <w:rsid w:val="003D0043"/>
    <w:rsid w:val="003D01DB"/>
    <w:rsid w:val="003D0217"/>
    <w:rsid w:val="003D0451"/>
    <w:rsid w:val="003D04AB"/>
    <w:rsid w:val="003D051C"/>
    <w:rsid w:val="003D0565"/>
    <w:rsid w:val="003D05E4"/>
    <w:rsid w:val="003D05EB"/>
    <w:rsid w:val="003D061C"/>
    <w:rsid w:val="003D068F"/>
    <w:rsid w:val="003D0743"/>
    <w:rsid w:val="003D07C8"/>
    <w:rsid w:val="003D0876"/>
    <w:rsid w:val="003D09E9"/>
    <w:rsid w:val="003D0A25"/>
    <w:rsid w:val="003D0AB9"/>
    <w:rsid w:val="003D0B0B"/>
    <w:rsid w:val="003D0BBD"/>
    <w:rsid w:val="003D0BDD"/>
    <w:rsid w:val="003D0C46"/>
    <w:rsid w:val="003D0E0E"/>
    <w:rsid w:val="003D0E29"/>
    <w:rsid w:val="003D0FB0"/>
    <w:rsid w:val="003D1123"/>
    <w:rsid w:val="003D11EB"/>
    <w:rsid w:val="003D1242"/>
    <w:rsid w:val="003D130F"/>
    <w:rsid w:val="003D13B9"/>
    <w:rsid w:val="003D13F6"/>
    <w:rsid w:val="003D140B"/>
    <w:rsid w:val="003D1458"/>
    <w:rsid w:val="003D14A6"/>
    <w:rsid w:val="003D15E6"/>
    <w:rsid w:val="003D15F6"/>
    <w:rsid w:val="003D1695"/>
    <w:rsid w:val="003D176C"/>
    <w:rsid w:val="003D17A7"/>
    <w:rsid w:val="003D17ED"/>
    <w:rsid w:val="003D185B"/>
    <w:rsid w:val="003D196C"/>
    <w:rsid w:val="003D19AC"/>
    <w:rsid w:val="003D1A16"/>
    <w:rsid w:val="003D1A17"/>
    <w:rsid w:val="003D1A58"/>
    <w:rsid w:val="003D1AB2"/>
    <w:rsid w:val="003D1AFA"/>
    <w:rsid w:val="003D1BC4"/>
    <w:rsid w:val="003D1C5B"/>
    <w:rsid w:val="003D1CB1"/>
    <w:rsid w:val="003D1CC6"/>
    <w:rsid w:val="003D1D54"/>
    <w:rsid w:val="003D1D90"/>
    <w:rsid w:val="003D1DA0"/>
    <w:rsid w:val="003D1DAF"/>
    <w:rsid w:val="003D1E32"/>
    <w:rsid w:val="003D1E96"/>
    <w:rsid w:val="003D1ED1"/>
    <w:rsid w:val="003D1F01"/>
    <w:rsid w:val="003D1F1C"/>
    <w:rsid w:val="003D2033"/>
    <w:rsid w:val="003D205B"/>
    <w:rsid w:val="003D215D"/>
    <w:rsid w:val="003D216F"/>
    <w:rsid w:val="003D21D7"/>
    <w:rsid w:val="003D21F1"/>
    <w:rsid w:val="003D220C"/>
    <w:rsid w:val="003D220E"/>
    <w:rsid w:val="003D2261"/>
    <w:rsid w:val="003D22C8"/>
    <w:rsid w:val="003D22DD"/>
    <w:rsid w:val="003D232F"/>
    <w:rsid w:val="003D23BA"/>
    <w:rsid w:val="003D24C9"/>
    <w:rsid w:val="003D24F3"/>
    <w:rsid w:val="003D2509"/>
    <w:rsid w:val="003D259A"/>
    <w:rsid w:val="003D26BD"/>
    <w:rsid w:val="003D26F9"/>
    <w:rsid w:val="003D2712"/>
    <w:rsid w:val="003D2789"/>
    <w:rsid w:val="003D2855"/>
    <w:rsid w:val="003D28CA"/>
    <w:rsid w:val="003D2941"/>
    <w:rsid w:val="003D2A58"/>
    <w:rsid w:val="003D2AD7"/>
    <w:rsid w:val="003D2AFA"/>
    <w:rsid w:val="003D2B9F"/>
    <w:rsid w:val="003D2C91"/>
    <w:rsid w:val="003D2D89"/>
    <w:rsid w:val="003D2E4C"/>
    <w:rsid w:val="003D2E58"/>
    <w:rsid w:val="003D2E74"/>
    <w:rsid w:val="003D2EE4"/>
    <w:rsid w:val="003D2F61"/>
    <w:rsid w:val="003D2F81"/>
    <w:rsid w:val="003D304E"/>
    <w:rsid w:val="003D30B9"/>
    <w:rsid w:val="003D30D1"/>
    <w:rsid w:val="003D3190"/>
    <w:rsid w:val="003D31A2"/>
    <w:rsid w:val="003D323B"/>
    <w:rsid w:val="003D3290"/>
    <w:rsid w:val="003D336A"/>
    <w:rsid w:val="003D3378"/>
    <w:rsid w:val="003D33E6"/>
    <w:rsid w:val="003D3518"/>
    <w:rsid w:val="003D3599"/>
    <w:rsid w:val="003D3643"/>
    <w:rsid w:val="003D3687"/>
    <w:rsid w:val="003D36F3"/>
    <w:rsid w:val="003D36FF"/>
    <w:rsid w:val="003D3801"/>
    <w:rsid w:val="003D38A4"/>
    <w:rsid w:val="003D39F8"/>
    <w:rsid w:val="003D3A1B"/>
    <w:rsid w:val="003D3B6C"/>
    <w:rsid w:val="003D3C4F"/>
    <w:rsid w:val="003D3C59"/>
    <w:rsid w:val="003D3C91"/>
    <w:rsid w:val="003D3C93"/>
    <w:rsid w:val="003D3D9A"/>
    <w:rsid w:val="003D3E83"/>
    <w:rsid w:val="003D3F32"/>
    <w:rsid w:val="003D3FC7"/>
    <w:rsid w:val="003D41D5"/>
    <w:rsid w:val="003D42C2"/>
    <w:rsid w:val="003D43A3"/>
    <w:rsid w:val="003D43C4"/>
    <w:rsid w:val="003D43FE"/>
    <w:rsid w:val="003D440C"/>
    <w:rsid w:val="003D4521"/>
    <w:rsid w:val="003D46AF"/>
    <w:rsid w:val="003D47F4"/>
    <w:rsid w:val="003D482C"/>
    <w:rsid w:val="003D49E8"/>
    <w:rsid w:val="003D4AF5"/>
    <w:rsid w:val="003D4B3F"/>
    <w:rsid w:val="003D4B46"/>
    <w:rsid w:val="003D4B4D"/>
    <w:rsid w:val="003D4DA6"/>
    <w:rsid w:val="003D4DB1"/>
    <w:rsid w:val="003D4F0C"/>
    <w:rsid w:val="003D4FAB"/>
    <w:rsid w:val="003D5140"/>
    <w:rsid w:val="003D53AB"/>
    <w:rsid w:val="003D54BD"/>
    <w:rsid w:val="003D54CB"/>
    <w:rsid w:val="003D54F5"/>
    <w:rsid w:val="003D5739"/>
    <w:rsid w:val="003D57D9"/>
    <w:rsid w:val="003D5808"/>
    <w:rsid w:val="003D581B"/>
    <w:rsid w:val="003D5873"/>
    <w:rsid w:val="003D5886"/>
    <w:rsid w:val="003D59E5"/>
    <w:rsid w:val="003D5B0F"/>
    <w:rsid w:val="003D5B34"/>
    <w:rsid w:val="003D5B96"/>
    <w:rsid w:val="003D5CBE"/>
    <w:rsid w:val="003D5CD4"/>
    <w:rsid w:val="003D5CDD"/>
    <w:rsid w:val="003D5CF9"/>
    <w:rsid w:val="003D5E1C"/>
    <w:rsid w:val="003D5E26"/>
    <w:rsid w:val="003D5E5A"/>
    <w:rsid w:val="003D5EFA"/>
    <w:rsid w:val="003D6004"/>
    <w:rsid w:val="003D601E"/>
    <w:rsid w:val="003D60C0"/>
    <w:rsid w:val="003D6247"/>
    <w:rsid w:val="003D62BA"/>
    <w:rsid w:val="003D62C7"/>
    <w:rsid w:val="003D6409"/>
    <w:rsid w:val="003D65CF"/>
    <w:rsid w:val="003D6705"/>
    <w:rsid w:val="003D680B"/>
    <w:rsid w:val="003D6912"/>
    <w:rsid w:val="003D6AA0"/>
    <w:rsid w:val="003D6B67"/>
    <w:rsid w:val="003D6BAB"/>
    <w:rsid w:val="003D6C11"/>
    <w:rsid w:val="003D6C25"/>
    <w:rsid w:val="003D6C47"/>
    <w:rsid w:val="003D6C4E"/>
    <w:rsid w:val="003D6D99"/>
    <w:rsid w:val="003D6E1C"/>
    <w:rsid w:val="003D6E22"/>
    <w:rsid w:val="003D6EF5"/>
    <w:rsid w:val="003D6F19"/>
    <w:rsid w:val="003D6F76"/>
    <w:rsid w:val="003D703F"/>
    <w:rsid w:val="003D706C"/>
    <w:rsid w:val="003D7091"/>
    <w:rsid w:val="003D7147"/>
    <w:rsid w:val="003D7597"/>
    <w:rsid w:val="003D759B"/>
    <w:rsid w:val="003D75C2"/>
    <w:rsid w:val="003D75F3"/>
    <w:rsid w:val="003D7627"/>
    <w:rsid w:val="003D76B3"/>
    <w:rsid w:val="003D76C8"/>
    <w:rsid w:val="003D76D3"/>
    <w:rsid w:val="003D76E7"/>
    <w:rsid w:val="003D77A4"/>
    <w:rsid w:val="003D77EF"/>
    <w:rsid w:val="003D7894"/>
    <w:rsid w:val="003D78EA"/>
    <w:rsid w:val="003D7A76"/>
    <w:rsid w:val="003D7D04"/>
    <w:rsid w:val="003D7D55"/>
    <w:rsid w:val="003D7DBA"/>
    <w:rsid w:val="003D7ECD"/>
    <w:rsid w:val="003D7F59"/>
    <w:rsid w:val="003D7FA9"/>
    <w:rsid w:val="003E0008"/>
    <w:rsid w:val="003E005D"/>
    <w:rsid w:val="003E0078"/>
    <w:rsid w:val="003E00BC"/>
    <w:rsid w:val="003E0199"/>
    <w:rsid w:val="003E0280"/>
    <w:rsid w:val="003E045B"/>
    <w:rsid w:val="003E0508"/>
    <w:rsid w:val="003E058C"/>
    <w:rsid w:val="003E0750"/>
    <w:rsid w:val="003E075C"/>
    <w:rsid w:val="003E077B"/>
    <w:rsid w:val="003E0783"/>
    <w:rsid w:val="003E0841"/>
    <w:rsid w:val="003E0867"/>
    <w:rsid w:val="003E08A2"/>
    <w:rsid w:val="003E0985"/>
    <w:rsid w:val="003E09A7"/>
    <w:rsid w:val="003E0A59"/>
    <w:rsid w:val="003E0AC5"/>
    <w:rsid w:val="003E0AF5"/>
    <w:rsid w:val="003E0B3A"/>
    <w:rsid w:val="003E0C58"/>
    <w:rsid w:val="003E0D7F"/>
    <w:rsid w:val="003E0E15"/>
    <w:rsid w:val="003E0ED3"/>
    <w:rsid w:val="003E0EEE"/>
    <w:rsid w:val="003E0F1E"/>
    <w:rsid w:val="003E1018"/>
    <w:rsid w:val="003E1085"/>
    <w:rsid w:val="003E109D"/>
    <w:rsid w:val="003E10E6"/>
    <w:rsid w:val="003E1142"/>
    <w:rsid w:val="003E1154"/>
    <w:rsid w:val="003E120B"/>
    <w:rsid w:val="003E121D"/>
    <w:rsid w:val="003E124B"/>
    <w:rsid w:val="003E1264"/>
    <w:rsid w:val="003E1370"/>
    <w:rsid w:val="003E13A0"/>
    <w:rsid w:val="003E144A"/>
    <w:rsid w:val="003E1507"/>
    <w:rsid w:val="003E15D2"/>
    <w:rsid w:val="003E165D"/>
    <w:rsid w:val="003E17CC"/>
    <w:rsid w:val="003E183D"/>
    <w:rsid w:val="003E189E"/>
    <w:rsid w:val="003E191B"/>
    <w:rsid w:val="003E1940"/>
    <w:rsid w:val="003E19C7"/>
    <w:rsid w:val="003E1A40"/>
    <w:rsid w:val="003E1AC7"/>
    <w:rsid w:val="003E1B68"/>
    <w:rsid w:val="003E1D20"/>
    <w:rsid w:val="003E1DD8"/>
    <w:rsid w:val="003E1DF3"/>
    <w:rsid w:val="003E1FFC"/>
    <w:rsid w:val="003E2003"/>
    <w:rsid w:val="003E200B"/>
    <w:rsid w:val="003E2104"/>
    <w:rsid w:val="003E21CC"/>
    <w:rsid w:val="003E21EB"/>
    <w:rsid w:val="003E2273"/>
    <w:rsid w:val="003E22D4"/>
    <w:rsid w:val="003E22EF"/>
    <w:rsid w:val="003E2350"/>
    <w:rsid w:val="003E2477"/>
    <w:rsid w:val="003E2483"/>
    <w:rsid w:val="003E24E6"/>
    <w:rsid w:val="003E258F"/>
    <w:rsid w:val="003E2602"/>
    <w:rsid w:val="003E262D"/>
    <w:rsid w:val="003E2664"/>
    <w:rsid w:val="003E283E"/>
    <w:rsid w:val="003E28EA"/>
    <w:rsid w:val="003E2944"/>
    <w:rsid w:val="003E295D"/>
    <w:rsid w:val="003E297D"/>
    <w:rsid w:val="003E29B4"/>
    <w:rsid w:val="003E29DB"/>
    <w:rsid w:val="003E2A40"/>
    <w:rsid w:val="003E2A7F"/>
    <w:rsid w:val="003E2AA7"/>
    <w:rsid w:val="003E2AB3"/>
    <w:rsid w:val="003E2BF5"/>
    <w:rsid w:val="003E2E8B"/>
    <w:rsid w:val="003E2F2A"/>
    <w:rsid w:val="003E2F3F"/>
    <w:rsid w:val="003E2FCB"/>
    <w:rsid w:val="003E3088"/>
    <w:rsid w:val="003E31D6"/>
    <w:rsid w:val="003E31D9"/>
    <w:rsid w:val="003E321C"/>
    <w:rsid w:val="003E3267"/>
    <w:rsid w:val="003E32B4"/>
    <w:rsid w:val="003E338B"/>
    <w:rsid w:val="003E34EF"/>
    <w:rsid w:val="003E3537"/>
    <w:rsid w:val="003E355E"/>
    <w:rsid w:val="003E359F"/>
    <w:rsid w:val="003E35F0"/>
    <w:rsid w:val="003E3625"/>
    <w:rsid w:val="003E3641"/>
    <w:rsid w:val="003E371B"/>
    <w:rsid w:val="003E37A2"/>
    <w:rsid w:val="003E37B7"/>
    <w:rsid w:val="003E37FD"/>
    <w:rsid w:val="003E3974"/>
    <w:rsid w:val="003E3A84"/>
    <w:rsid w:val="003E3B48"/>
    <w:rsid w:val="003E3B4D"/>
    <w:rsid w:val="003E3C5C"/>
    <w:rsid w:val="003E3C6E"/>
    <w:rsid w:val="003E3DF0"/>
    <w:rsid w:val="003E3E0E"/>
    <w:rsid w:val="003E3F3A"/>
    <w:rsid w:val="003E3F4B"/>
    <w:rsid w:val="003E4049"/>
    <w:rsid w:val="003E407D"/>
    <w:rsid w:val="003E40AB"/>
    <w:rsid w:val="003E415A"/>
    <w:rsid w:val="003E41D3"/>
    <w:rsid w:val="003E41D6"/>
    <w:rsid w:val="003E41DF"/>
    <w:rsid w:val="003E4369"/>
    <w:rsid w:val="003E4373"/>
    <w:rsid w:val="003E44FD"/>
    <w:rsid w:val="003E452E"/>
    <w:rsid w:val="003E454E"/>
    <w:rsid w:val="003E460E"/>
    <w:rsid w:val="003E460F"/>
    <w:rsid w:val="003E4611"/>
    <w:rsid w:val="003E469A"/>
    <w:rsid w:val="003E46B3"/>
    <w:rsid w:val="003E4802"/>
    <w:rsid w:val="003E480F"/>
    <w:rsid w:val="003E49DD"/>
    <w:rsid w:val="003E4A1A"/>
    <w:rsid w:val="003E4AEB"/>
    <w:rsid w:val="003E4B33"/>
    <w:rsid w:val="003E4B48"/>
    <w:rsid w:val="003E4B58"/>
    <w:rsid w:val="003E4BE3"/>
    <w:rsid w:val="003E4CA6"/>
    <w:rsid w:val="003E4CF6"/>
    <w:rsid w:val="003E4D86"/>
    <w:rsid w:val="003E4DB4"/>
    <w:rsid w:val="003E4E49"/>
    <w:rsid w:val="003E4E4B"/>
    <w:rsid w:val="003E4E9E"/>
    <w:rsid w:val="003E4F05"/>
    <w:rsid w:val="003E4F29"/>
    <w:rsid w:val="003E4FB2"/>
    <w:rsid w:val="003E4FC9"/>
    <w:rsid w:val="003E5110"/>
    <w:rsid w:val="003E5115"/>
    <w:rsid w:val="003E5251"/>
    <w:rsid w:val="003E52BC"/>
    <w:rsid w:val="003E5358"/>
    <w:rsid w:val="003E5579"/>
    <w:rsid w:val="003E5580"/>
    <w:rsid w:val="003E5598"/>
    <w:rsid w:val="003E55C8"/>
    <w:rsid w:val="003E55F3"/>
    <w:rsid w:val="003E560B"/>
    <w:rsid w:val="003E5657"/>
    <w:rsid w:val="003E56FD"/>
    <w:rsid w:val="003E57FA"/>
    <w:rsid w:val="003E5808"/>
    <w:rsid w:val="003E5820"/>
    <w:rsid w:val="003E5908"/>
    <w:rsid w:val="003E593F"/>
    <w:rsid w:val="003E59D3"/>
    <w:rsid w:val="003E5A48"/>
    <w:rsid w:val="003E5ADC"/>
    <w:rsid w:val="003E5AFF"/>
    <w:rsid w:val="003E5B57"/>
    <w:rsid w:val="003E5BB8"/>
    <w:rsid w:val="003E5C2A"/>
    <w:rsid w:val="003E5CB6"/>
    <w:rsid w:val="003E5DAF"/>
    <w:rsid w:val="003E5DE5"/>
    <w:rsid w:val="003E5E1D"/>
    <w:rsid w:val="003E5E9F"/>
    <w:rsid w:val="003E5FCB"/>
    <w:rsid w:val="003E6118"/>
    <w:rsid w:val="003E6304"/>
    <w:rsid w:val="003E6391"/>
    <w:rsid w:val="003E63CB"/>
    <w:rsid w:val="003E6406"/>
    <w:rsid w:val="003E6438"/>
    <w:rsid w:val="003E6451"/>
    <w:rsid w:val="003E653A"/>
    <w:rsid w:val="003E65E1"/>
    <w:rsid w:val="003E6750"/>
    <w:rsid w:val="003E6788"/>
    <w:rsid w:val="003E6831"/>
    <w:rsid w:val="003E68B3"/>
    <w:rsid w:val="003E68D1"/>
    <w:rsid w:val="003E6931"/>
    <w:rsid w:val="003E6938"/>
    <w:rsid w:val="003E69B3"/>
    <w:rsid w:val="003E69D5"/>
    <w:rsid w:val="003E69E4"/>
    <w:rsid w:val="003E6AC7"/>
    <w:rsid w:val="003E6B67"/>
    <w:rsid w:val="003E6C3F"/>
    <w:rsid w:val="003E6CEB"/>
    <w:rsid w:val="003E6D56"/>
    <w:rsid w:val="003E6E47"/>
    <w:rsid w:val="003E6E50"/>
    <w:rsid w:val="003E6E70"/>
    <w:rsid w:val="003E6E71"/>
    <w:rsid w:val="003E6F67"/>
    <w:rsid w:val="003E70C4"/>
    <w:rsid w:val="003E70C5"/>
    <w:rsid w:val="003E70CD"/>
    <w:rsid w:val="003E716F"/>
    <w:rsid w:val="003E71CB"/>
    <w:rsid w:val="003E71D6"/>
    <w:rsid w:val="003E7425"/>
    <w:rsid w:val="003E742F"/>
    <w:rsid w:val="003E74D3"/>
    <w:rsid w:val="003E75AF"/>
    <w:rsid w:val="003E7626"/>
    <w:rsid w:val="003E772A"/>
    <w:rsid w:val="003E7790"/>
    <w:rsid w:val="003E77F0"/>
    <w:rsid w:val="003E7842"/>
    <w:rsid w:val="003E7846"/>
    <w:rsid w:val="003E7A13"/>
    <w:rsid w:val="003E7A57"/>
    <w:rsid w:val="003E7A72"/>
    <w:rsid w:val="003E7B6C"/>
    <w:rsid w:val="003E7B6F"/>
    <w:rsid w:val="003E7B9F"/>
    <w:rsid w:val="003E7BE0"/>
    <w:rsid w:val="003E7D5E"/>
    <w:rsid w:val="003E7E4E"/>
    <w:rsid w:val="003E7E90"/>
    <w:rsid w:val="003E7EA9"/>
    <w:rsid w:val="003E7EC1"/>
    <w:rsid w:val="003E7EC5"/>
    <w:rsid w:val="003E7FA5"/>
    <w:rsid w:val="003F0013"/>
    <w:rsid w:val="003F00BA"/>
    <w:rsid w:val="003F0123"/>
    <w:rsid w:val="003F0150"/>
    <w:rsid w:val="003F01DF"/>
    <w:rsid w:val="003F022B"/>
    <w:rsid w:val="003F044B"/>
    <w:rsid w:val="003F045E"/>
    <w:rsid w:val="003F04DC"/>
    <w:rsid w:val="003F05B1"/>
    <w:rsid w:val="003F05C3"/>
    <w:rsid w:val="003F05C9"/>
    <w:rsid w:val="003F05D0"/>
    <w:rsid w:val="003F0808"/>
    <w:rsid w:val="003F0825"/>
    <w:rsid w:val="003F0838"/>
    <w:rsid w:val="003F094A"/>
    <w:rsid w:val="003F0981"/>
    <w:rsid w:val="003F09D3"/>
    <w:rsid w:val="003F0A52"/>
    <w:rsid w:val="003F0B3E"/>
    <w:rsid w:val="003F0B4E"/>
    <w:rsid w:val="003F0C66"/>
    <w:rsid w:val="003F0C86"/>
    <w:rsid w:val="003F0D60"/>
    <w:rsid w:val="003F0D65"/>
    <w:rsid w:val="003F0E16"/>
    <w:rsid w:val="003F0EE2"/>
    <w:rsid w:val="003F0EF4"/>
    <w:rsid w:val="003F0F9B"/>
    <w:rsid w:val="003F0FE6"/>
    <w:rsid w:val="003F0FFC"/>
    <w:rsid w:val="003F1044"/>
    <w:rsid w:val="003F111E"/>
    <w:rsid w:val="003F130F"/>
    <w:rsid w:val="003F135E"/>
    <w:rsid w:val="003F144E"/>
    <w:rsid w:val="003F14CE"/>
    <w:rsid w:val="003F1523"/>
    <w:rsid w:val="003F1575"/>
    <w:rsid w:val="003F15CC"/>
    <w:rsid w:val="003F1627"/>
    <w:rsid w:val="003F16E4"/>
    <w:rsid w:val="003F16ED"/>
    <w:rsid w:val="003F1702"/>
    <w:rsid w:val="003F1725"/>
    <w:rsid w:val="003F175F"/>
    <w:rsid w:val="003F18D0"/>
    <w:rsid w:val="003F19F4"/>
    <w:rsid w:val="003F1B59"/>
    <w:rsid w:val="003F1C4E"/>
    <w:rsid w:val="003F1C71"/>
    <w:rsid w:val="003F1CF3"/>
    <w:rsid w:val="003F1CFC"/>
    <w:rsid w:val="003F1D11"/>
    <w:rsid w:val="003F1D63"/>
    <w:rsid w:val="003F1D83"/>
    <w:rsid w:val="003F1DA3"/>
    <w:rsid w:val="003F1DF6"/>
    <w:rsid w:val="003F1F8E"/>
    <w:rsid w:val="003F20B2"/>
    <w:rsid w:val="003F20BB"/>
    <w:rsid w:val="003F213C"/>
    <w:rsid w:val="003F2247"/>
    <w:rsid w:val="003F230F"/>
    <w:rsid w:val="003F2319"/>
    <w:rsid w:val="003F23E0"/>
    <w:rsid w:val="003F242F"/>
    <w:rsid w:val="003F24CA"/>
    <w:rsid w:val="003F254D"/>
    <w:rsid w:val="003F2561"/>
    <w:rsid w:val="003F258E"/>
    <w:rsid w:val="003F25E7"/>
    <w:rsid w:val="003F2661"/>
    <w:rsid w:val="003F26DF"/>
    <w:rsid w:val="003F26FF"/>
    <w:rsid w:val="003F2764"/>
    <w:rsid w:val="003F2778"/>
    <w:rsid w:val="003F2793"/>
    <w:rsid w:val="003F2832"/>
    <w:rsid w:val="003F2998"/>
    <w:rsid w:val="003F2B49"/>
    <w:rsid w:val="003F2C16"/>
    <w:rsid w:val="003F2C17"/>
    <w:rsid w:val="003F2C24"/>
    <w:rsid w:val="003F2DAA"/>
    <w:rsid w:val="003F2DCB"/>
    <w:rsid w:val="003F2DE0"/>
    <w:rsid w:val="003F2E40"/>
    <w:rsid w:val="003F2E5B"/>
    <w:rsid w:val="003F2EB2"/>
    <w:rsid w:val="003F2EB7"/>
    <w:rsid w:val="003F2F4E"/>
    <w:rsid w:val="003F30C8"/>
    <w:rsid w:val="003F31A2"/>
    <w:rsid w:val="003F31E9"/>
    <w:rsid w:val="003F32D1"/>
    <w:rsid w:val="003F33F1"/>
    <w:rsid w:val="003F3523"/>
    <w:rsid w:val="003F3546"/>
    <w:rsid w:val="003F35AC"/>
    <w:rsid w:val="003F35AF"/>
    <w:rsid w:val="003F35DD"/>
    <w:rsid w:val="003F360C"/>
    <w:rsid w:val="003F36D7"/>
    <w:rsid w:val="003F36F5"/>
    <w:rsid w:val="003F372A"/>
    <w:rsid w:val="003F379C"/>
    <w:rsid w:val="003F3842"/>
    <w:rsid w:val="003F39F7"/>
    <w:rsid w:val="003F3A05"/>
    <w:rsid w:val="003F3A81"/>
    <w:rsid w:val="003F3A94"/>
    <w:rsid w:val="003F3B09"/>
    <w:rsid w:val="003F3C7F"/>
    <w:rsid w:val="003F3C8A"/>
    <w:rsid w:val="003F3D0E"/>
    <w:rsid w:val="003F3D5B"/>
    <w:rsid w:val="003F3D66"/>
    <w:rsid w:val="003F3DF3"/>
    <w:rsid w:val="003F3E65"/>
    <w:rsid w:val="003F3F7E"/>
    <w:rsid w:val="003F404B"/>
    <w:rsid w:val="003F409B"/>
    <w:rsid w:val="003F40F3"/>
    <w:rsid w:val="003F4185"/>
    <w:rsid w:val="003F41B3"/>
    <w:rsid w:val="003F42A2"/>
    <w:rsid w:val="003F42FC"/>
    <w:rsid w:val="003F4493"/>
    <w:rsid w:val="003F4680"/>
    <w:rsid w:val="003F48A8"/>
    <w:rsid w:val="003F4976"/>
    <w:rsid w:val="003F49EF"/>
    <w:rsid w:val="003F4AA9"/>
    <w:rsid w:val="003F4B8D"/>
    <w:rsid w:val="003F4C33"/>
    <w:rsid w:val="003F4C5D"/>
    <w:rsid w:val="003F4C79"/>
    <w:rsid w:val="003F4CB3"/>
    <w:rsid w:val="003F4CFA"/>
    <w:rsid w:val="003F4D13"/>
    <w:rsid w:val="003F4D73"/>
    <w:rsid w:val="003F4D88"/>
    <w:rsid w:val="003F4DDA"/>
    <w:rsid w:val="003F4E3A"/>
    <w:rsid w:val="003F4E95"/>
    <w:rsid w:val="003F4EAA"/>
    <w:rsid w:val="003F4F1F"/>
    <w:rsid w:val="003F4FBF"/>
    <w:rsid w:val="003F5078"/>
    <w:rsid w:val="003F519B"/>
    <w:rsid w:val="003F51B5"/>
    <w:rsid w:val="003F51FA"/>
    <w:rsid w:val="003F5258"/>
    <w:rsid w:val="003F5265"/>
    <w:rsid w:val="003F5327"/>
    <w:rsid w:val="003F53AB"/>
    <w:rsid w:val="003F542E"/>
    <w:rsid w:val="003F54E4"/>
    <w:rsid w:val="003F5559"/>
    <w:rsid w:val="003F562A"/>
    <w:rsid w:val="003F5748"/>
    <w:rsid w:val="003F579E"/>
    <w:rsid w:val="003F589E"/>
    <w:rsid w:val="003F5901"/>
    <w:rsid w:val="003F5ADF"/>
    <w:rsid w:val="003F5BAF"/>
    <w:rsid w:val="003F5C9E"/>
    <w:rsid w:val="003F5CC1"/>
    <w:rsid w:val="003F5D0A"/>
    <w:rsid w:val="003F5D31"/>
    <w:rsid w:val="003F5D82"/>
    <w:rsid w:val="003F5D91"/>
    <w:rsid w:val="003F5DBD"/>
    <w:rsid w:val="003F5DDA"/>
    <w:rsid w:val="003F5E7E"/>
    <w:rsid w:val="003F5F36"/>
    <w:rsid w:val="003F5FBD"/>
    <w:rsid w:val="003F6033"/>
    <w:rsid w:val="003F609C"/>
    <w:rsid w:val="003F609F"/>
    <w:rsid w:val="003F6172"/>
    <w:rsid w:val="003F628A"/>
    <w:rsid w:val="003F62A0"/>
    <w:rsid w:val="003F632A"/>
    <w:rsid w:val="003F634F"/>
    <w:rsid w:val="003F6397"/>
    <w:rsid w:val="003F6424"/>
    <w:rsid w:val="003F659F"/>
    <w:rsid w:val="003F679A"/>
    <w:rsid w:val="003F67D1"/>
    <w:rsid w:val="003F6845"/>
    <w:rsid w:val="003F6865"/>
    <w:rsid w:val="003F6898"/>
    <w:rsid w:val="003F6913"/>
    <w:rsid w:val="003F6A43"/>
    <w:rsid w:val="003F6B5F"/>
    <w:rsid w:val="003F6C05"/>
    <w:rsid w:val="003F6D53"/>
    <w:rsid w:val="003F6D6C"/>
    <w:rsid w:val="003F6E6A"/>
    <w:rsid w:val="003F6EB9"/>
    <w:rsid w:val="003F6EBD"/>
    <w:rsid w:val="003F6EE0"/>
    <w:rsid w:val="003F6F34"/>
    <w:rsid w:val="003F6F4C"/>
    <w:rsid w:val="003F6F77"/>
    <w:rsid w:val="003F6FE7"/>
    <w:rsid w:val="003F705D"/>
    <w:rsid w:val="003F70F7"/>
    <w:rsid w:val="003F72E6"/>
    <w:rsid w:val="003F73E5"/>
    <w:rsid w:val="003F7523"/>
    <w:rsid w:val="003F7593"/>
    <w:rsid w:val="003F75B3"/>
    <w:rsid w:val="003F75BE"/>
    <w:rsid w:val="003F75F4"/>
    <w:rsid w:val="003F75FE"/>
    <w:rsid w:val="003F761D"/>
    <w:rsid w:val="003F7647"/>
    <w:rsid w:val="003F773E"/>
    <w:rsid w:val="003F7854"/>
    <w:rsid w:val="003F78EB"/>
    <w:rsid w:val="003F797D"/>
    <w:rsid w:val="003F7A09"/>
    <w:rsid w:val="003F7ACB"/>
    <w:rsid w:val="003F7AE4"/>
    <w:rsid w:val="003F7C69"/>
    <w:rsid w:val="003F7CAF"/>
    <w:rsid w:val="003F7CBE"/>
    <w:rsid w:val="003F7DC5"/>
    <w:rsid w:val="003F7FBC"/>
    <w:rsid w:val="0040002E"/>
    <w:rsid w:val="00400095"/>
    <w:rsid w:val="0040009D"/>
    <w:rsid w:val="004000E3"/>
    <w:rsid w:val="00400120"/>
    <w:rsid w:val="00400152"/>
    <w:rsid w:val="00400161"/>
    <w:rsid w:val="00400190"/>
    <w:rsid w:val="004001CD"/>
    <w:rsid w:val="004002A2"/>
    <w:rsid w:val="004002CD"/>
    <w:rsid w:val="0040035C"/>
    <w:rsid w:val="00400373"/>
    <w:rsid w:val="004003E3"/>
    <w:rsid w:val="004003FC"/>
    <w:rsid w:val="004004D6"/>
    <w:rsid w:val="00400522"/>
    <w:rsid w:val="0040059C"/>
    <w:rsid w:val="004005C2"/>
    <w:rsid w:val="0040062C"/>
    <w:rsid w:val="0040068B"/>
    <w:rsid w:val="004006E6"/>
    <w:rsid w:val="004006EA"/>
    <w:rsid w:val="0040072C"/>
    <w:rsid w:val="00400789"/>
    <w:rsid w:val="004007A9"/>
    <w:rsid w:val="00400817"/>
    <w:rsid w:val="00400869"/>
    <w:rsid w:val="00400935"/>
    <w:rsid w:val="004009E8"/>
    <w:rsid w:val="00400AA1"/>
    <w:rsid w:val="00400BA5"/>
    <w:rsid w:val="00400BD1"/>
    <w:rsid w:val="00400C00"/>
    <w:rsid w:val="00400C10"/>
    <w:rsid w:val="00400C4D"/>
    <w:rsid w:val="00400D10"/>
    <w:rsid w:val="00400DDF"/>
    <w:rsid w:val="00400DF6"/>
    <w:rsid w:val="00400F3A"/>
    <w:rsid w:val="00400F68"/>
    <w:rsid w:val="0040102C"/>
    <w:rsid w:val="00401082"/>
    <w:rsid w:val="00401175"/>
    <w:rsid w:val="00401478"/>
    <w:rsid w:val="0040149D"/>
    <w:rsid w:val="004014DB"/>
    <w:rsid w:val="00401533"/>
    <w:rsid w:val="004015F7"/>
    <w:rsid w:val="004016E2"/>
    <w:rsid w:val="0040189F"/>
    <w:rsid w:val="004018C2"/>
    <w:rsid w:val="004018DE"/>
    <w:rsid w:val="00401905"/>
    <w:rsid w:val="004019BF"/>
    <w:rsid w:val="00401B1B"/>
    <w:rsid w:val="00401B24"/>
    <w:rsid w:val="00401B79"/>
    <w:rsid w:val="00401BB8"/>
    <w:rsid w:val="00401C1B"/>
    <w:rsid w:val="00401C73"/>
    <w:rsid w:val="00401CB7"/>
    <w:rsid w:val="00401CBE"/>
    <w:rsid w:val="00401D2D"/>
    <w:rsid w:val="00401DB8"/>
    <w:rsid w:val="00401E38"/>
    <w:rsid w:val="00401E43"/>
    <w:rsid w:val="00401EBA"/>
    <w:rsid w:val="00401ED1"/>
    <w:rsid w:val="00401F19"/>
    <w:rsid w:val="00401F1B"/>
    <w:rsid w:val="00401F73"/>
    <w:rsid w:val="00402178"/>
    <w:rsid w:val="00402242"/>
    <w:rsid w:val="0040231D"/>
    <w:rsid w:val="00402390"/>
    <w:rsid w:val="00402609"/>
    <w:rsid w:val="00402682"/>
    <w:rsid w:val="004026A4"/>
    <w:rsid w:val="004026BE"/>
    <w:rsid w:val="004027BA"/>
    <w:rsid w:val="004028AA"/>
    <w:rsid w:val="00402B39"/>
    <w:rsid w:val="00402B55"/>
    <w:rsid w:val="00402BA3"/>
    <w:rsid w:val="00402BDE"/>
    <w:rsid w:val="00402C8E"/>
    <w:rsid w:val="00402CF0"/>
    <w:rsid w:val="00402D85"/>
    <w:rsid w:val="00402DD1"/>
    <w:rsid w:val="00402EDF"/>
    <w:rsid w:val="00402F4C"/>
    <w:rsid w:val="00402FE6"/>
    <w:rsid w:val="004031D8"/>
    <w:rsid w:val="0040345D"/>
    <w:rsid w:val="004037D3"/>
    <w:rsid w:val="004037DF"/>
    <w:rsid w:val="00403812"/>
    <w:rsid w:val="00403846"/>
    <w:rsid w:val="004038DD"/>
    <w:rsid w:val="00403907"/>
    <w:rsid w:val="004039B4"/>
    <w:rsid w:val="004039B6"/>
    <w:rsid w:val="00403AE4"/>
    <w:rsid w:val="00403B27"/>
    <w:rsid w:val="00403B66"/>
    <w:rsid w:val="00403BD4"/>
    <w:rsid w:val="00403E86"/>
    <w:rsid w:val="00403EC4"/>
    <w:rsid w:val="00403ED9"/>
    <w:rsid w:val="00403EE0"/>
    <w:rsid w:val="00403FD0"/>
    <w:rsid w:val="004040CF"/>
    <w:rsid w:val="004040DA"/>
    <w:rsid w:val="00404134"/>
    <w:rsid w:val="00404182"/>
    <w:rsid w:val="004042C3"/>
    <w:rsid w:val="004042DF"/>
    <w:rsid w:val="004042EE"/>
    <w:rsid w:val="0040431F"/>
    <w:rsid w:val="00404337"/>
    <w:rsid w:val="0040433D"/>
    <w:rsid w:val="004043B4"/>
    <w:rsid w:val="0040475B"/>
    <w:rsid w:val="004047F3"/>
    <w:rsid w:val="004047FC"/>
    <w:rsid w:val="004048CD"/>
    <w:rsid w:val="004048F1"/>
    <w:rsid w:val="004049B1"/>
    <w:rsid w:val="00404A4E"/>
    <w:rsid w:val="00404A7F"/>
    <w:rsid w:val="00404B0B"/>
    <w:rsid w:val="00404B1B"/>
    <w:rsid w:val="00404B2E"/>
    <w:rsid w:val="00404B39"/>
    <w:rsid w:val="00404B91"/>
    <w:rsid w:val="00404B9A"/>
    <w:rsid w:val="00404BC9"/>
    <w:rsid w:val="00404BFB"/>
    <w:rsid w:val="00404C9B"/>
    <w:rsid w:val="00404D3D"/>
    <w:rsid w:val="00404D4B"/>
    <w:rsid w:val="00404DE4"/>
    <w:rsid w:val="00404EFA"/>
    <w:rsid w:val="00404F93"/>
    <w:rsid w:val="004051CC"/>
    <w:rsid w:val="00405221"/>
    <w:rsid w:val="00405223"/>
    <w:rsid w:val="00405233"/>
    <w:rsid w:val="00405345"/>
    <w:rsid w:val="004053B3"/>
    <w:rsid w:val="004053E3"/>
    <w:rsid w:val="00405412"/>
    <w:rsid w:val="0040544E"/>
    <w:rsid w:val="004054EE"/>
    <w:rsid w:val="00405578"/>
    <w:rsid w:val="004055B0"/>
    <w:rsid w:val="0040570C"/>
    <w:rsid w:val="0040571D"/>
    <w:rsid w:val="00405726"/>
    <w:rsid w:val="0040574E"/>
    <w:rsid w:val="00405768"/>
    <w:rsid w:val="004057FB"/>
    <w:rsid w:val="00405909"/>
    <w:rsid w:val="00405912"/>
    <w:rsid w:val="0040597F"/>
    <w:rsid w:val="0040598A"/>
    <w:rsid w:val="00405BE4"/>
    <w:rsid w:val="00405CA0"/>
    <w:rsid w:val="00405D85"/>
    <w:rsid w:val="00405D8F"/>
    <w:rsid w:val="00405DFB"/>
    <w:rsid w:val="00405E95"/>
    <w:rsid w:val="00405EAA"/>
    <w:rsid w:val="00405EF8"/>
    <w:rsid w:val="00405FAE"/>
    <w:rsid w:val="00406083"/>
    <w:rsid w:val="00406103"/>
    <w:rsid w:val="00406146"/>
    <w:rsid w:val="004061EF"/>
    <w:rsid w:val="004062CE"/>
    <w:rsid w:val="0040642B"/>
    <w:rsid w:val="00406477"/>
    <w:rsid w:val="0040648A"/>
    <w:rsid w:val="00406684"/>
    <w:rsid w:val="004067A2"/>
    <w:rsid w:val="00406825"/>
    <w:rsid w:val="0040692B"/>
    <w:rsid w:val="00406971"/>
    <w:rsid w:val="004069A8"/>
    <w:rsid w:val="00406B68"/>
    <w:rsid w:val="00406B75"/>
    <w:rsid w:val="00406CB4"/>
    <w:rsid w:val="00406CF8"/>
    <w:rsid w:val="00406DCA"/>
    <w:rsid w:val="00406ED7"/>
    <w:rsid w:val="00406EDB"/>
    <w:rsid w:val="00407031"/>
    <w:rsid w:val="00407033"/>
    <w:rsid w:val="00407072"/>
    <w:rsid w:val="004070A4"/>
    <w:rsid w:val="004070CD"/>
    <w:rsid w:val="00407127"/>
    <w:rsid w:val="004071B1"/>
    <w:rsid w:val="00407445"/>
    <w:rsid w:val="004074E6"/>
    <w:rsid w:val="00407878"/>
    <w:rsid w:val="00407887"/>
    <w:rsid w:val="00407991"/>
    <w:rsid w:val="004079FE"/>
    <w:rsid w:val="00407A2C"/>
    <w:rsid w:val="00407A98"/>
    <w:rsid w:val="00407B0F"/>
    <w:rsid w:val="00407B3E"/>
    <w:rsid w:val="00407B83"/>
    <w:rsid w:val="00407C43"/>
    <w:rsid w:val="00407C92"/>
    <w:rsid w:val="00407D19"/>
    <w:rsid w:val="00407E99"/>
    <w:rsid w:val="00407EA6"/>
    <w:rsid w:val="00407EBC"/>
    <w:rsid w:val="00407F88"/>
    <w:rsid w:val="004102BA"/>
    <w:rsid w:val="0041031A"/>
    <w:rsid w:val="004103B4"/>
    <w:rsid w:val="00410459"/>
    <w:rsid w:val="00410493"/>
    <w:rsid w:val="004104AD"/>
    <w:rsid w:val="004104BA"/>
    <w:rsid w:val="004104BE"/>
    <w:rsid w:val="004104CD"/>
    <w:rsid w:val="00410508"/>
    <w:rsid w:val="0041062C"/>
    <w:rsid w:val="00410776"/>
    <w:rsid w:val="004108CE"/>
    <w:rsid w:val="004109DC"/>
    <w:rsid w:val="00410A16"/>
    <w:rsid w:val="00410B38"/>
    <w:rsid w:val="00410B64"/>
    <w:rsid w:val="00410BDA"/>
    <w:rsid w:val="00410C16"/>
    <w:rsid w:val="00410C1B"/>
    <w:rsid w:val="00410C62"/>
    <w:rsid w:val="00410CA6"/>
    <w:rsid w:val="00410CB2"/>
    <w:rsid w:val="00410D54"/>
    <w:rsid w:val="00410D8B"/>
    <w:rsid w:val="00410E2A"/>
    <w:rsid w:val="00410E33"/>
    <w:rsid w:val="00410E3A"/>
    <w:rsid w:val="00410EC9"/>
    <w:rsid w:val="00410F00"/>
    <w:rsid w:val="00410F6F"/>
    <w:rsid w:val="004112ED"/>
    <w:rsid w:val="004112F3"/>
    <w:rsid w:val="00411340"/>
    <w:rsid w:val="0041135A"/>
    <w:rsid w:val="00411425"/>
    <w:rsid w:val="004114D3"/>
    <w:rsid w:val="0041150C"/>
    <w:rsid w:val="00411624"/>
    <w:rsid w:val="004116CD"/>
    <w:rsid w:val="00411798"/>
    <w:rsid w:val="004117C3"/>
    <w:rsid w:val="0041183A"/>
    <w:rsid w:val="0041188C"/>
    <w:rsid w:val="004118C0"/>
    <w:rsid w:val="004119EC"/>
    <w:rsid w:val="00411A9B"/>
    <w:rsid w:val="00411B0A"/>
    <w:rsid w:val="00411C53"/>
    <w:rsid w:val="00411C8C"/>
    <w:rsid w:val="00411D02"/>
    <w:rsid w:val="00411FCA"/>
    <w:rsid w:val="0041202B"/>
    <w:rsid w:val="0041212E"/>
    <w:rsid w:val="00412161"/>
    <w:rsid w:val="004121AD"/>
    <w:rsid w:val="004121CE"/>
    <w:rsid w:val="0041220E"/>
    <w:rsid w:val="004122AC"/>
    <w:rsid w:val="00412337"/>
    <w:rsid w:val="004123CE"/>
    <w:rsid w:val="004124CB"/>
    <w:rsid w:val="004124D9"/>
    <w:rsid w:val="0041250E"/>
    <w:rsid w:val="00412554"/>
    <w:rsid w:val="0041256E"/>
    <w:rsid w:val="00412650"/>
    <w:rsid w:val="004126A4"/>
    <w:rsid w:val="00412755"/>
    <w:rsid w:val="004127DB"/>
    <w:rsid w:val="00412AF7"/>
    <w:rsid w:val="00412C2C"/>
    <w:rsid w:val="00412D58"/>
    <w:rsid w:val="00412DB8"/>
    <w:rsid w:val="00412E39"/>
    <w:rsid w:val="00412E9F"/>
    <w:rsid w:val="00412FA7"/>
    <w:rsid w:val="00413112"/>
    <w:rsid w:val="00413124"/>
    <w:rsid w:val="0041315C"/>
    <w:rsid w:val="0041317E"/>
    <w:rsid w:val="004131DB"/>
    <w:rsid w:val="00413414"/>
    <w:rsid w:val="004134BD"/>
    <w:rsid w:val="004134CF"/>
    <w:rsid w:val="00413525"/>
    <w:rsid w:val="0041352C"/>
    <w:rsid w:val="00413585"/>
    <w:rsid w:val="004135F4"/>
    <w:rsid w:val="0041360B"/>
    <w:rsid w:val="00413810"/>
    <w:rsid w:val="00413876"/>
    <w:rsid w:val="0041387B"/>
    <w:rsid w:val="00413889"/>
    <w:rsid w:val="00413897"/>
    <w:rsid w:val="004138C3"/>
    <w:rsid w:val="0041392F"/>
    <w:rsid w:val="004139B8"/>
    <w:rsid w:val="00413B1D"/>
    <w:rsid w:val="00413B28"/>
    <w:rsid w:val="00413BB3"/>
    <w:rsid w:val="00413C3A"/>
    <w:rsid w:val="00413C6D"/>
    <w:rsid w:val="00413E0B"/>
    <w:rsid w:val="00413ED5"/>
    <w:rsid w:val="00413F4B"/>
    <w:rsid w:val="00413FA4"/>
    <w:rsid w:val="0041400B"/>
    <w:rsid w:val="0041405D"/>
    <w:rsid w:val="00414102"/>
    <w:rsid w:val="00414143"/>
    <w:rsid w:val="0041414A"/>
    <w:rsid w:val="004141CD"/>
    <w:rsid w:val="004141EF"/>
    <w:rsid w:val="0041421E"/>
    <w:rsid w:val="0041437A"/>
    <w:rsid w:val="00414387"/>
    <w:rsid w:val="004144FA"/>
    <w:rsid w:val="00414537"/>
    <w:rsid w:val="004145B7"/>
    <w:rsid w:val="004145F5"/>
    <w:rsid w:val="00414617"/>
    <w:rsid w:val="00414629"/>
    <w:rsid w:val="0041464E"/>
    <w:rsid w:val="00414672"/>
    <w:rsid w:val="004146A3"/>
    <w:rsid w:val="004146AF"/>
    <w:rsid w:val="00414782"/>
    <w:rsid w:val="004147C1"/>
    <w:rsid w:val="004147C3"/>
    <w:rsid w:val="00414906"/>
    <w:rsid w:val="00414948"/>
    <w:rsid w:val="00414A09"/>
    <w:rsid w:val="00414AB9"/>
    <w:rsid w:val="00414B31"/>
    <w:rsid w:val="00414B8F"/>
    <w:rsid w:val="00414C0E"/>
    <w:rsid w:val="00414C63"/>
    <w:rsid w:val="00414C6E"/>
    <w:rsid w:val="00414CBF"/>
    <w:rsid w:val="00414CD6"/>
    <w:rsid w:val="00414CE5"/>
    <w:rsid w:val="00414DBB"/>
    <w:rsid w:val="00414E60"/>
    <w:rsid w:val="00414F26"/>
    <w:rsid w:val="00414FA1"/>
    <w:rsid w:val="00415169"/>
    <w:rsid w:val="00415199"/>
    <w:rsid w:val="0041536F"/>
    <w:rsid w:val="00415454"/>
    <w:rsid w:val="004154DF"/>
    <w:rsid w:val="00415834"/>
    <w:rsid w:val="0041583B"/>
    <w:rsid w:val="004158E5"/>
    <w:rsid w:val="00415963"/>
    <w:rsid w:val="00415A12"/>
    <w:rsid w:val="00415A56"/>
    <w:rsid w:val="00415B1B"/>
    <w:rsid w:val="00415C18"/>
    <w:rsid w:val="00415C3B"/>
    <w:rsid w:val="00415CB2"/>
    <w:rsid w:val="00415CFD"/>
    <w:rsid w:val="00415D69"/>
    <w:rsid w:val="00415D82"/>
    <w:rsid w:val="00415DAB"/>
    <w:rsid w:val="00415E09"/>
    <w:rsid w:val="00415E6A"/>
    <w:rsid w:val="00415F7F"/>
    <w:rsid w:val="00416011"/>
    <w:rsid w:val="00416103"/>
    <w:rsid w:val="00416115"/>
    <w:rsid w:val="004161EC"/>
    <w:rsid w:val="00416212"/>
    <w:rsid w:val="00416236"/>
    <w:rsid w:val="00416332"/>
    <w:rsid w:val="00416368"/>
    <w:rsid w:val="0041649B"/>
    <w:rsid w:val="00416529"/>
    <w:rsid w:val="004167D5"/>
    <w:rsid w:val="004167FF"/>
    <w:rsid w:val="00416856"/>
    <w:rsid w:val="0041685A"/>
    <w:rsid w:val="00416893"/>
    <w:rsid w:val="00416898"/>
    <w:rsid w:val="004168C5"/>
    <w:rsid w:val="004168F4"/>
    <w:rsid w:val="0041697C"/>
    <w:rsid w:val="004169B7"/>
    <w:rsid w:val="004169E6"/>
    <w:rsid w:val="00416A48"/>
    <w:rsid w:val="00416A57"/>
    <w:rsid w:val="00416A59"/>
    <w:rsid w:val="00416A82"/>
    <w:rsid w:val="00416AAE"/>
    <w:rsid w:val="00416B2F"/>
    <w:rsid w:val="00416B64"/>
    <w:rsid w:val="00416C09"/>
    <w:rsid w:val="00416CA5"/>
    <w:rsid w:val="00416CB9"/>
    <w:rsid w:val="00416D2C"/>
    <w:rsid w:val="00416F04"/>
    <w:rsid w:val="00416F08"/>
    <w:rsid w:val="00416F69"/>
    <w:rsid w:val="00416FA1"/>
    <w:rsid w:val="0041706F"/>
    <w:rsid w:val="004171F0"/>
    <w:rsid w:val="004172B5"/>
    <w:rsid w:val="00417448"/>
    <w:rsid w:val="004174A6"/>
    <w:rsid w:val="004175E2"/>
    <w:rsid w:val="0041760C"/>
    <w:rsid w:val="00417620"/>
    <w:rsid w:val="00417751"/>
    <w:rsid w:val="004178C6"/>
    <w:rsid w:val="004179F6"/>
    <w:rsid w:val="00417A6B"/>
    <w:rsid w:val="00417B78"/>
    <w:rsid w:val="00417BD8"/>
    <w:rsid w:val="00417BED"/>
    <w:rsid w:val="00417C65"/>
    <w:rsid w:val="00417D72"/>
    <w:rsid w:val="00417E4C"/>
    <w:rsid w:val="00417F42"/>
    <w:rsid w:val="00417FDD"/>
    <w:rsid w:val="004200FA"/>
    <w:rsid w:val="004201BA"/>
    <w:rsid w:val="004201F5"/>
    <w:rsid w:val="00420205"/>
    <w:rsid w:val="0042023A"/>
    <w:rsid w:val="0042030A"/>
    <w:rsid w:val="00420366"/>
    <w:rsid w:val="004203C0"/>
    <w:rsid w:val="0042040D"/>
    <w:rsid w:val="004204A7"/>
    <w:rsid w:val="00420664"/>
    <w:rsid w:val="00420699"/>
    <w:rsid w:val="004206A7"/>
    <w:rsid w:val="004206D4"/>
    <w:rsid w:val="00420840"/>
    <w:rsid w:val="004208C8"/>
    <w:rsid w:val="004208EB"/>
    <w:rsid w:val="004208FE"/>
    <w:rsid w:val="00420907"/>
    <w:rsid w:val="00420A41"/>
    <w:rsid w:val="00420A6D"/>
    <w:rsid w:val="00420B68"/>
    <w:rsid w:val="00420C31"/>
    <w:rsid w:val="00420D0B"/>
    <w:rsid w:val="00420FEA"/>
    <w:rsid w:val="004212DF"/>
    <w:rsid w:val="0042137E"/>
    <w:rsid w:val="00421399"/>
    <w:rsid w:val="004213AF"/>
    <w:rsid w:val="004213FC"/>
    <w:rsid w:val="004213FD"/>
    <w:rsid w:val="00421474"/>
    <w:rsid w:val="0042147B"/>
    <w:rsid w:val="00421499"/>
    <w:rsid w:val="004214AB"/>
    <w:rsid w:val="00421520"/>
    <w:rsid w:val="0042159A"/>
    <w:rsid w:val="004215FA"/>
    <w:rsid w:val="004216DF"/>
    <w:rsid w:val="0042172D"/>
    <w:rsid w:val="0042175E"/>
    <w:rsid w:val="004218BB"/>
    <w:rsid w:val="004218F4"/>
    <w:rsid w:val="004219E8"/>
    <w:rsid w:val="00421A01"/>
    <w:rsid w:val="00421BA6"/>
    <w:rsid w:val="00421C14"/>
    <w:rsid w:val="00421C16"/>
    <w:rsid w:val="00421C8E"/>
    <w:rsid w:val="00421D32"/>
    <w:rsid w:val="00421DB5"/>
    <w:rsid w:val="00421DDB"/>
    <w:rsid w:val="00421E26"/>
    <w:rsid w:val="00421EA0"/>
    <w:rsid w:val="00421EAA"/>
    <w:rsid w:val="00421EAF"/>
    <w:rsid w:val="00421EB2"/>
    <w:rsid w:val="00421F78"/>
    <w:rsid w:val="00421FA3"/>
    <w:rsid w:val="00422086"/>
    <w:rsid w:val="00422092"/>
    <w:rsid w:val="004220C7"/>
    <w:rsid w:val="004220FD"/>
    <w:rsid w:val="00422100"/>
    <w:rsid w:val="00422292"/>
    <w:rsid w:val="0042229D"/>
    <w:rsid w:val="004222B5"/>
    <w:rsid w:val="004223EE"/>
    <w:rsid w:val="0042241F"/>
    <w:rsid w:val="00422550"/>
    <w:rsid w:val="00422556"/>
    <w:rsid w:val="004225B9"/>
    <w:rsid w:val="00422648"/>
    <w:rsid w:val="004226E0"/>
    <w:rsid w:val="00422888"/>
    <w:rsid w:val="004228E0"/>
    <w:rsid w:val="00422952"/>
    <w:rsid w:val="0042295C"/>
    <w:rsid w:val="004229A6"/>
    <w:rsid w:val="004229CD"/>
    <w:rsid w:val="004229FE"/>
    <w:rsid w:val="00422A43"/>
    <w:rsid w:val="00422BAB"/>
    <w:rsid w:val="00422D1D"/>
    <w:rsid w:val="00422D24"/>
    <w:rsid w:val="00422D5A"/>
    <w:rsid w:val="00422D83"/>
    <w:rsid w:val="00422D8A"/>
    <w:rsid w:val="00422E10"/>
    <w:rsid w:val="00422E2E"/>
    <w:rsid w:val="00422EFF"/>
    <w:rsid w:val="00422F2F"/>
    <w:rsid w:val="00422F74"/>
    <w:rsid w:val="00422F81"/>
    <w:rsid w:val="00423158"/>
    <w:rsid w:val="004231A1"/>
    <w:rsid w:val="004233F3"/>
    <w:rsid w:val="0042344C"/>
    <w:rsid w:val="00423479"/>
    <w:rsid w:val="004234DB"/>
    <w:rsid w:val="004235A4"/>
    <w:rsid w:val="00423720"/>
    <w:rsid w:val="004237E9"/>
    <w:rsid w:val="00423888"/>
    <w:rsid w:val="004238A2"/>
    <w:rsid w:val="004238F2"/>
    <w:rsid w:val="004238F8"/>
    <w:rsid w:val="00423925"/>
    <w:rsid w:val="00423957"/>
    <w:rsid w:val="00423A6F"/>
    <w:rsid w:val="00423AB3"/>
    <w:rsid w:val="00423B32"/>
    <w:rsid w:val="00423B72"/>
    <w:rsid w:val="00423B9E"/>
    <w:rsid w:val="00423DE3"/>
    <w:rsid w:val="00423DF0"/>
    <w:rsid w:val="00423F11"/>
    <w:rsid w:val="00423FBD"/>
    <w:rsid w:val="00423FED"/>
    <w:rsid w:val="004240D0"/>
    <w:rsid w:val="00424132"/>
    <w:rsid w:val="004242C4"/>
    <w:rsid w:val="004242E0"/>
    <w:rsid w:val="00424599"/>
    <w:rsid w:val="00424655"/>
    <w:rsid w:val="0042475D"/>
    <w:rsid w:val="0042476F"/>
    <w:rsid w:val="004247FD"/>
    <w:rsid w:val="004248BF"/>
    <w:rsid w:val="004249B8"/>
    <w:rsid w:val="00424A0C"/>
    <w:rsid w:val="00424A50"/>
    <w:rsid w:val="00424A52"/>
    <w:rsid w:val="00424A97"/>
    <w:rsid w:val="00424ABA"/>
    <w:rsid w:val="00424BA0"/>
    <w:rsid w:val="00424C61"/>
    <w:rsid w:val="00424D29"/>
    <w:rsid w:val="00424D54"/>
    <w:rsid w:val="00424E4E"/>
    <w:rsid w:val="00424F6C"/>
    <w:rsid w:val="00424F78"/>
    <w:rsid w:val="00425016"/>
    <w:rsid w:val="004250C2"/>
    <w:rsid w:val="00425142"/>
    <w:rsid w:val="004251EA"/>
    <w:rsid w:val="0042522F"/>
    <w:rsid w:val="0042524A"/>
    <w:rsid w:val="0042525C"/>
    <w:rsid w:val="00425395"/>
    <w:rsid w:val="0042547B"/>
    <w:rsid w:val="0042551B"/>
    <w:rsid w:val="00425535"/>
    <w:rsid w:val="004255A7"/>
    <w:rsid w:val="004255D9"/>
    <w:rsid w:val="0042568E"/>
    <w:rsid w:val="00425696"/>
    <w:rsid w:val="004257E2"/>
    <w:rsid w:val="00425911"/>
    <w:rsid w:val="00425914"/>
    <w:rsid w:val="00425AED"/>
    <w:rsid w:val="00425B89"/>
    <w:rsid w:val="00425BB3"/>
    <w:rsid w:val="00425C99"/>
    <w:rsid w:val="00425CB4"/>
    <w:rsid w:val="00425D06"/>
    <w:rsid w:val="00425D67"/>
    <w:rsid w:val="00425E56"/>
    <w:rsid w:val="00425F94"/>
    <w:rsid w:val="00425FE6"/>
    <w:rsid w:val="0042610F"/>
    <w:rsid w:val="00426113"/>
    <w:rsid w:val="0042612C"/>
    <w:rsid w:val="0042614A"/>
    <w:rsid w:val="004261DD"/>
    <w:rsid w:val="0042626B"/>
    <w:rsid w:val="00426277"/>
    <w:rsid w:val="004263B1"/>
    <w:rsid w:val="004263DA"/>
    <w:rsid w:val="004264BC"/>
    <w:rsid w:val="00426561"/>
    <w:rsid w:val="004265AA"/>
    <w:rsid w:val="004265FB"/>
    <w:rsid w:val="00426819"/>
    <w:rsid w:val="004268E6"/>
    <w:rsid w:val="0042690D"/>
    <w:rsid w:val="0042693E"/>
    <w:rsid w:val="004269AF"/>
    <w:rsid w:val="004269E7"/>
    <w:rsid w:val="004269FF"/>
    <w:rsid w:val="00426CC4"/>
    <w:rsid w:val="00426D65"/>
    <w:rsid w:val="00426E1B"/>
    <w:rsid w:val="00426EBA"/>
    <w:rsid w:val="00426F15"/>
    <w:rsid w:val="00426F92"/>
    <w:rsid w:val="004271C6"/>
    <w:rsid w:val="004272FF"/>
    <w:rsid w:val="00427329"/>
    <w:rsid w:val="00427367"/>
    <w:rsid w:val="00427385"/>
    <w:rsid w:val="004273A7"/>
    <w:rsid w:val="004273D7"/>
    <w:rsid w:val="0042742A"/>
    <w:rsid w:val="00427474"/>
    <w:rsid w:val="0042747D"/>
    <w:rsid w:val="004274BA"/>
    <w:rsid w:val="00427538"/>
    <w:rsid w:val="00427611"/>
    <w:rsid w:val="00427763"/>
    <w:rsid w:val="004277D1"/>
    <w:rsid w:val="004277D9"/>
    <w:rsid w:val="0042789C"/>
    <w:rsid w:val="004278D5"/>
    <w:rsid w:val="0042792B"/>
    <w:rsid w:val="00427964"/>
    <w:rsid w:val="00427AEF"/>
    <w:rsid w:val="00427AF7"/>
    <w:rsid w:val="00427B62"/>
    <w:rsid w:val="00427C0B"/>
    <w:rsid w:val="00427C23"/>
    <w:rsid w:val="00427CD9"/>
    <w:rsid w:val="00427D08"/>
    <w:rsid w:val="00427D24"/>
    <w:rsid w:val="00427D7D"/>
    <w:rsid w:val="00427DFB"/>
    <w:rsid w:val="00427F36"/>
    <w:rsid w:val="00427F9C"/>
    <w:rsid w:val="00427FAC"/>
    <w:rsid w:val="00427FC1"/>
    <w:rsid w:val="00427FCC"/>
    <w:rsid w:val="00427FEC"/>
    <w:rsid w:val="00427FF4"/>
    <w:rsid w:val="00430016"/>
    <w:rsid w:val="00430041"/>
    <w:rsid w:val="0043006E"/>
    <w:rsid w:val="004300A4"/>
    <w:rsid w:val="004300D3"/>
    <w:rsid w:val="00430131"/>
    <w:rsid w:val="00430266"/>
    <w:rsid w:val="004302D0"/>
    <w:rsid w:val="00430369"/>
    <w:rsid w:val="00430377"/>
    <w:rsid w:val="00430381"/>
    <w:rsid w:val="004303C4"/>
    <w:rsid w:val="004303EA"/>
    <w:rsid w:val="004303FC"/>
    <w:rsid w:val="00430416"/>
    <w:rsid w:val="0043041F"/>
    <w:rsid w:val="0043042C"/>
    <w:rsid w:val="0043051C"/>
    <w:rsid w:val="0043058F"/>
    <w:rsid w:val="0043061B"/>
    <w:rsid w:val="00430649"/>
    <w:rsid w:val="0043067B"/>
    <w:rsid w:val="0043068A"/>
    <w:rsid w:val="004307F0"/>
    <w:rsid w:val="00430815"/>
    <w:rsid w:val="004309B2"/>
    <w:rsid w:val="00430A24"/>
    <w:rsid w:val="00430A46"/>
    <w:rsid w:val="00430A4E"/>
    <w:rsid w:val="00430AA7"/>
    <w:rsid w:val="00430B4C"/>
    <w:rsid w:val="00430B8D"/>
    <w:rsid w:val="00430CC0"/>
    <w:rsid w:val="00430D8C"/>
    <w:rsid w:val="00430DA4"/>
    <w:rsid w:val="00430E64"/>
    <w:rsid w:val="00430EE8"/>
    <w:rsid w:val="0043103D"/>
    <w:rsid w:val="00431050"/>
    <w:rsid w:val="00431087"/>
    <w:rsid w:val="004312C3"/>
    <w:rsid w:val="004313CC"/>
    <w:rsid w:val="0043140A"/>
    <w:rsid w:val="0043146C"/>
    <w:rsid w:val="00431485"/>
    <w:rsid w:val="004314BA"/>
    <w:rsid w:val="0043162B"/>
    <w:rsid w:val="004317C7"/>
    <w:rsid w:val="0043186D"/>
    <w:rsid w:val="00431915"/>
    <w:rsid w:val="0043193D"/>
    <w:rsid w:val="00431A4C"/>
    <w:rsid w:val="00431A87"/>
    <w:rsid w:val="00431B4F"/>
    <w:rsid w:val="00431BA0"/>
    <w:rsid w:val="00431C18"/>
    <w:rsid w:val="00431C80"/>
    <w:rsid w:val="00431D04"/>
    <w:rsid w:val="00431E60"/>
    <w:rsid w:val="00431F1C"/>
    <w:rsid w:val="00431F80"/>
    <w:rsid w:val="00432005"/>
    <w:rsid w:val="0043201B"/>
    <w:rsid w:val="004320A2"/>
    <w:rsid w:val="004320A7"/>
    <w:rsid w:val="00432184"/>
    <w:rsid w:val="0043219F"/>
    <w:rsid w:val="00432204"/>
    <w:rsid w:val="0043223F"/>
    <w:rsid w:val="00432288"/>
    <w:rsid w:val="0043244F"/>
    <w:rsid w:val="0043259A"/>
    <w:rsid w:val="004326A4"/>
    <w:rsid w:val="00432766"/>
    <w:rsid w:val="004328B8"/>
    <w:rsid w:val="00432A62"/>
    <w:rsid w:val="00432B42"/>
    <w:rsid w:val="00432BB3"/>
    <w:rsid w:val="00432C1B"/>
    <w:rsid w:val="00432D4D"/>
    <w:rsid w:val="00432E6A"/>
    <w:rsid w:val="00432E83"/>
    <w:rsid w:val="00432EF0"/>
    <w:rsid w:val="00432F4A"/>
    <w:rsid w:val="00433074"/>
    <w:rsid w:val="00433095"/>
    <w:rsid w:val="004330C7"/>
    <w:rsid w:val="004331A4"/>
    <w:rsid w:val="004331A8"/>
    <w:rsid w:val="004331F3"/>
    <w:rsid w:val="00433280"/>
    <w:rsid w:val="004332A4"/>
    <w:rsid w:val="004333D1"/>
    <w:rsid w:val="00433487"/>
    <w:rsid w:val="004334A3"/>
    <w:rsid w:val="004334EE"/>
    <w:rsid w:val="00433537"/>
    <w:rsid w:val="004335F8"/>
    <w:rsid w:val="00433659"/>
    <w:rsid w:val="00433672"/>
    <w:rsid w:val="004336B5"/>
    <w:rsid w:val="004337CC"/>
    <w:rsid w:val="004337D0"/>
    <w:rsid w:val="004337F1"/>
    <w:rsid w:val="00433896"/>
    <w:rsid w:val="004338B4"/>
    <w:rsid w:val="00433985"/>
    <w:rsid w:val="00433A7C"/>
    <w:rsid w:val="00433C35"/>
    <w:rsid w:val="00433C36"/>
    <w:rsid w:val="00433CA3"/>
    <w:rsid w:val="00433D43"/>
    <w:rsid w:val="00433E1F"/>
    <w:rsid w:val="00433F8C"/>
    <w:rsid w:val="0043400B"/>
    <w:rsid w:val="004340E5"/>
    <w:rsid w:val="004340F7"/>
    <w:rsid w:val="00434149"/>
    <w:rsid w:val="0043445E"/>
    <w:rsid w:val="004344C1"/>
    <w:rsid w:val="004344E6"/>
    <w:rsid w:val="004344E7"/>
    <w:rsid w:val="004344FD"/>
    <w:rsid w:val="004346DB"/>
    <w:rsid w:val="004346EB"/>
    <w:rsid w:val="0043485D"/>
    <w:rsid w:val="004348B4"/>
    <w:rsid w:val="004348B6"/>
    <w:rsid w:val="004349DB"/>
    <w:rsid w:val="00434A26"/>
    <w:rsid w:val="00434A5B"/>
    <w:rsid w:val="00434A5E"/>
    <w:rsid w:val="00434A67"/>
    <w:rsid w:val="00434B2A"/>
    <w:rsid w:val="00434B5F"/>
    <w:rsid w:val="00434C8E"/>
    <w:rsid w:val="00434D1F"/>
    <w:rsid w:val="00434E52"/>
    <w:rsid w:val="00434E71"/>
    <w:rsid w:val="00434E7B"/>
    <w:rsid w:val="00434E85"/>
    <w:rsid w:val="00434EB6"/>
    <w:rsid w:val="00434F18"/>
    <w:rsid w:val="00434F24"/>
    <w:rsid w:val="0043510B"/>
    <w:rsid w:val="00435121"/>
    <w:rsid w:val="0043519D"/>
    <w:rsid w:val="004351B9"/>
    <w:rsid w:val="0043521E"/>
    <w:rsid w:val="0043525B"/>
    <w:rsid w:val="0043531B"/>
    <w:rsid w:val="00435374"/>
    <w:rsid w:val="00435389"/>
    <w:rsid w:val="004354BE"/>
    <w:rsid w:val="0043553D"/>
    <w:rsid w:val="00435627"/>
    <w:rsid w:val="0043567E"/>
    <w:rsid w:val="00435690"/>
    <w:rsid w:val="004356EB"/>
    <w:rsid w:val="004357C4"/>
    <w:rsid w:val="00435990"/>
    <w:rsid w:val="004359A2"/>
    <w:rsid w:val="00435A36"/>
    <w:rsid w:val="00435B03"/>
    <w:rsid w:val="00435B65"/>
    <w:rsid w:val="00435C1D"/>
    <w:rsid w:val="00435C7C"/>
    <w:rsid w:val="00435CA0"/>
    <w:rsid w:val="00435CF0"/>
    <w:rsid w:val="00435D4B"/>
    <w:rsid w:val="00435DF5"/>
    <w:rsid w:val="00435EC2"/>
    <w:rsid w:val="00435F22"/>
    <w:rsid w:val="00435FE8"/>
    <w:rsid w:val="00436020"/>
    <w:rsid w:val="0043606E"/>
    <w:rsid w:val="00436089"/>
    <w:rsid w:val="004361B2"/>
    <w:rsid w:val="00436258"/>
    <w:rsid w:val="004363BA"/>
    <w:rsid w:val="004363DC"/>
    <w:rsid w:val="004363DD"/>
    <w:rsid w:val="00436455"/>
    <w:rsid w:val="0043646B"/>
    <w:rsid w:val="0043646D"/>
    <w:rsid w:val="00436477"/>
    <w:rsid w:val="00436666"/>
    <w:rsid w:val="00436669"/>
    <w:rsid w:val="00436692"/>
    <w:rsid w:val="0043673F"/>
    <w:rsid w:val="0043674A"/>
    <w:rsid w:val="0043676B"/>
    <w:rsid w:val="00436837"/>
    <w:rsid w:val="004368AE"/>
    <w:rsid w:val="004368EE"/>
    <w:rsid w:val="004369F3"/>
    <w:rsid w:val="00436A38"/>
    <w:rsid w:val="00436AFE"/>
    <w:rsid w:val="00436BA5"/>
    <w:rsid w:val="00436C15"/>
    <w:rsid w:val="00436C7B"/>
    <w:rsid w:val="00436E6F"/>
    <w:rsid w:val="00436E7B"/>
    <w:rsid w:val="00436E82"/>
    <w:rsid w:val="00436EE7"/>
    <w:rsid w:val="00436FCD"/>
    <w:rsid w:val="00436FE7"/>
    <w:rsid w:val="0043700A"/>
    <w:rsid w:val="00437022"/>
    <w:rsid w:val="0043705B"/>
    <w:rsid w:val="004370E0"/>
    <w:rsid w:val="004370F3"/>
    <w:rsid w:val="0043710C"/>
    <w:rsid w:val="00437166"/>
    <w:rsid w:val="004371CB"/>
    <w:rsid w:val="004371D3"/>
    <w:rsid w:val="00437215"/>
    <w:rsid w:val="0043722A"/>
    <w:rsid w:val="00437257"/>
    <w:rsid w:val="0043725A"/>
    <w:rsid w:val="004372B9"/>
    <w:rsid w:val="00437319"/>
    <w:rsid w:val="00437339"/>
    <w:rsid w:val="004373B8"/>
    <w:rsid w:val="00437488"/>
    <w:rsid w:val="004374BA"/>
    <w:rsid w:val="004374F2"/>
    <w:rsid w:val="00437548"/>
    <w:rsid w:val="0043756A"/>
    <w:rsid w:val="004376D3"/>
    <w:rsid w:val="00437768"/>
    <w:rsid w:val="004377B6"/>
    <w:rsid w:val="0043781A"/>
    <w:rsid w:val="0043785C"/>
    <w:rsid w:val="00437991"/>
    <w:rsid w:val="00437A45"/>
    <w:rsid w:val="00437A62"/>
    <w:rsid w:val="00437B08"/>
    <w:rsid w:val="00437B22"/>
    <w:rsid w:val="00437B32"/>
    <w:rsid w:val="00437B87"/>
    <w:rsid w:val="00437B96"/>
    <w:rsid w:val="00437BE3"/>
    <w:rsid w:val="00437D5A"/>
    <w:rsid w:val="00437D6C"/>
    <w:rsid w:val="00437D8B"/>
    <w:rsid w:val="00437DBC"/>
    <w:rsid w:val="00437E94"/>
    <w:rsid w:val="00437F12"/>
    <w:rsid w:val="00437FDE"/>
    <w:rsid w:val="00440021"/>
    <w:rsid w:val="00440145"/>
    <w:rsid w:val="00440192"/>
    <w:rsid w:val="004401FF"/>
    <w:rsid w:val="00440222"/>
    <w:rsid w:val="004402F1"/>
    <w:rsid w:val="004403BD"/>
    <w:rsid w:val="00440451"/>
    <w:rsid w:val="00440592"/>
    <w:rsid w:val="004408D2"/>
    <w:rsid w:val="004408F7"/>
    <w:rsid w:val="00440998"/>
    <w:rsid w:val="004409C5"/>
    <w:rsid w:val="00440A95"/>
    <w:rsid w:val="00440AAC"/>
    <w:rsid w:val="00440C1F"/>
    <w:rsid w:val="00440C5B"/>
    <w:rsid w:val="00440C95"/>
    <w:rsid w:val="00440CBE"/>
    <w:rsid w:val="00440DA7"/>
    <w:rsid w:val="00440E0F"/>
    <w:rsid w:val="00440EC4"/>
    <w:rsid w:val="00440FFA"/>
    <w:rsid w:val="0044108C"/>
    <w:rsid w:val="00441090"/>
    <w:rsid w:val="004410F6"/>
    <w:rsid w:val="00441198"/>
    <w:rsid w:val="004411BE"/>
    <w:rsid w:val="004411C2"/>
    <w:rsid w:val="004411D3"/>
    <w:rsid w:val="004411F6"/>
    <w:rsid w:val="00441268"/>
    <w:rsid w:val="00441287"/>
    <w:rsid w:val="004412D1"/>
    <w:rsid w:val="00441360"/>
    <w:rsid w:val="004413C9"/>
    <w:rsid w:val="004413FE"/>
    <w:rsid w:val="00441532"/>
    <w:rsid w:val="00441617"/>
    <w:rsid w:val="00441623"/>
    <w:rsid w:val="00441687"/>
    <w:rsid w:val="004416AA"/>
    <w:rsid w:val="004416B5"/>
    <w:rsid w:val="004416DA"/>
    <w:rsid w:val="00441769"/>
    <w:rsid w:val="00441795"/>
    <w:rsid w:val="00441818"/>
    <w:rsid w:val="004418F5"/>
    <w:rsid w:val="00441919"/>
    <w:rsid w:val="004419C6"/>
    <w:rsid w:val="00441A26"/>
    <w:rsid w:val="00441A44"/>
    <w:rsid w:val="00441AA5"/>
    <w:rsid w:val="00441C1B"/>
    <w:rsid w:val="00441CA6"/>
    <w:rsid w:val="00441E00"/>
    <w:rsid w:val="00441E40"/>
    <w:rsid w:val="00441E67"/>
    <w:rsid w:val="00441F01"/>
    <w:rsid w:val="00441F89"/>
    <w:rsid w:val="00441FB5"/>
    <w:rsid w:val="00441FB8"/>
    <w:rsid w:val="00442080"/>
    <w:rsid w:val="004421B5"/>
    <w:rsid w:val="00442250"/>
    <w:rsid w:val="0044234E"/>
    <w:rsid w:val="004423F3"/>
    <w:rsid w:val="00442454"/>
    <w:rsid w:val="0044259D"/>
    <w:rsid w:val="004425F6"/>
    <w:rsid w:val="00442760"/>
    <w:rsid w:val="004428B0"/>
    <w:rsid w:val="004428DB"/>
    <w:rsid w:val="00442914"/>
    <w:rsid w:val="00442938"/>
    <w:rsid w:val="0044296A"/>
    <w:rsid w:val="0044299E"/>
    <w:rsid w:val="00442B75"/>
    <w:rsid w:val="00442B7B"/>
    <w:rsid w:val="00442B88"/>
    <w:rsid w:val="00442BC6"/>
    <w:rsid w:val="00442CB3"/>
    <w:rsid w:val="00442CC4"/>
    <w:rsid w:val="00442CC5"/>
    <w:rsid w:val="00442D82"/>
    <w:rsid w:val="00442E9F"/>
    <w:rsid w:val="00442EFD"/>
    <w:rsid w:val="00442F8A"/>
    <w:rsid w:val="00442F9E"/>
    <w:rsid w:val="00442FC7"/>
    <w:rsid w:val="00443007"/>
    <w:rsid w:val="00443020"/>
    <w:rsid w:val="0044310C"/>
    <w:rsid w:val="0044312C"/>
    <w:rsid w:val="00443161"/>
    <w:rsid w:val="00443220"/>
    <w:rsid w:val="004432C3"/>
    <w:rsid w:val="00443336"/>
    <w:rsid w:val="004433B8"/>
    <w:rsid w:val="00443452"/>
    <w:rsid w:val="004435BD"/>
    <w:rsid w:val="0044361C"/>
    <w:rsid w:val="00443634"/>
    <w:rsid w:val="004437D1"/>
    <w:rsid w:val="00443857"/>
    <w:rsid w:val="00443899"/>
    <w:rsid w:val="004438ED"/>
    <w:rsid w:val="004439C7"/>
    <w:rsid w:val="004439F4"/>
    <w:rsid w:val="00443A41"/>
    <w:rsid w:val="00443AF8"/>
    <w:rsid w:val="00443B5F"/>
    <w:rsid w:val="00443BAB"/>
    <w:rsid w:val="00443CBC"/>
    <w:rsid w:val="00443D26"/>
    <w:rsid w:val="00443D5C"/>
    <w:rsid w:val="00443E28"/>
    <w:rsid w:val="00443EF8"/>
    <w:rsid w:val="00443F7F"/>
    <w:rsid w:val="00443FBC"/>
    <w:rsid w:val="00443FBE"/>
    <w:rsid w:val="00443FD2"/>
    <w:rsid w:val="00444060"/>
    <w:rsid w:val="00444158"/>
    <w:rsid w:val="0044419C"/>
    <w:rsid w:val="004442A5"/>
    <w:rsid w:val="0044435E"/>
    <w:rsid w:val="0044438E"/>
    <w:rsid w:val="00444397"/>
    <w:rsid w:val="00444433"/>
    <w:rsid w:val="00444473"/>
    <w:rsid w:val="004444C8"/>
    <w:rsid w:val="004444D4"/>
    <w:rsid w:val="00444500"/>
    <w:rsid w:val="00444550"/>
    <w:rsid w:val="0044455C"/>
    <w:rsid w:val="004445B7"/>
    <w:rsid w:val="004445BC"/>
    <w:rsid w:val="004445E6"/>
    <w:rsid w:val="0044466C"/>
    <w:rsid w:val="004447DA"/>
    <w:rsid w:val="004449D5"/>
    <w:rsid w:val="004449E0"/>
    <w:rsid w:val="00444A7C"/>
    <w:rsid w:val="00444ACA"/>
    <w:rsid w:val="00444ACE"/>
    <w:rsid w:val="00444BC5"/>
    <w:rsid w:val="00444C45"/>
    <w:rsid w:val="00444CA2"/>
    <w:rsid w:val="00444D16"/>
    <w:rsid w:val="00444DC4"/>
    <w:rsid w:val="00444DF2"/>
    <w:rsid w:val="00444DF4"/>
    <w:rsid w:val="00444EF2"/>
    <w:rsid w:val="00444F29"/>
    <w:rsid w:val="00444FD7"/>
    <w:rsid w:val="004450B4"/>
    <w:rsid w:val="00445199"/>
    <w:rsid w:val="004451C5"/>
    <w:rsid w:val="004451C9"/>
    <w:rsid w:val="004452D9"/>
    <w:rsid w:val="004453C3"/>
    <w:rsid w:val="00445425"/>
    <w:rsid w:val="00445508"/>
    <w:rsid w:val="004455CB"/>
    <w:rsid w:val="00445600"/>
    <w:rsid w:val="0044563B"/>
    <w:rsid w:val="0044565D"/>
    <w:rsid w:val="00445693"/>
    <w:rsid w:val="004456F2"/>
    <w:rsid w:val="004459CB"/>
    <w:rsid w:val="004459F8"/>
    <w:rsid w:val="00445A8C"/>
    <w:rsid w:val="00445C3E"/>
    <w:rsid w:val="00445CB5"/>
    <w:rsid w:val="00445D2F"/>
    <w:rsid w:val="00445E31"/>
    <w:rsid w:val="00445E65"/>
    <w:rsid w:val="00445EE6"/>
    <w:rsid w:val="00445FBE"/>
    <w:rsid w:val="00446018"/>
    <w:rsid w:val="004460CE"/>
    <w:rsid w:val="004460E3"/>
    <w:rsid w:val="00446196"/>
    <w:rsid w:val="0044626A"/>
    <w:rsid w:val="00446357"/>
    <w:rsid w:val="00446453"/>
    <w:rsid w:val="00446657"/>
    <w:rsid w:val="00446701"/>
    <w:rsid w:val="004467F4"/>
    <w:rsid w:val="0044689F"/>
    <w:rsid w:val="004468C8"/>
    <w:rsid w:val="00446948"/>
    <w:rsid w:val="004469F0"/>
    <w:rsid w:val="00446AAE"/>
    <w:rsid w:val="00446ADC"/>
    <w:rsid w:val="00446AEC"/>
    <w:rsid w:val="00446B33"/>
    <w:rsid w:val="00446B81"/>
    <w:rsid w:val="00446BB0"/>
    <w:rsid w:val="00446BE4"/>
    <w:rsid w:val="00446C5A"/>
    <w:rsid w:val="00446CB2"/>
    <w:rsid w:val="00446EFB"/>
    <w:rsid w:val="00446FF7"/>
    <w:rsid w:val="0044713F"/>
    <w:rsid w:val="004471BF"/>
    <w:rsid w:val="004472A7"/>
    <w:rsid w:val="004472B5"/>
    <w:rsid w:val="00447305"/>
    <w:rsid w:val="00447315"/>
    <w:rsid w:val="00447621"/>
    <w:rsid w:val="0044768B"/>
    <w:rsid w:val="0044769E"/>
    <w:rsid w:val="004476EF"/>
    <w:rsid w:val="004477CE"/>
    <w:rsid w:val="004477D9"/>
    <w:rsid w:val="00447879"/>
    <w:rsid w:val="004478A3"/>
    <w:rsid w:val="004478C6"/>
    <w:rsid w:val="004479A8"/>
    <w:rsid w:val="00447A26"/>
    <w:rsid w:val="00447ABA"/>
    <w:rsid w:val="00447AF6"/>
    <w:rsid w:val="00447B2A"/>
    <w:rsid w:val="00447B3E"/>
    <w:rsid w:val="00447B6D"/>
    <w:rsid w:val="00447B80"/>
    <w:rsid w:val="00447CE5"/>
    <w:rsid w:val="00447D04"/>
    <w:rsid w:val="00447E67"/>
    <w:rsid w:val="00447EA4"/>
    <w:rsid w:val="00447F05"/>
    <w:rsid w:val="00447F2B"/>
    <w:rsid w:val="0045000E"/>
    <w:rsid w:val="0045001A"/>
    <w:rsid w:val="00450105"/>
    <w:rsid w:val="0045013B"/>
    <w:rsid w:val="004502F2"/>
    <w:rsid w:val="00450306"/>
    <w:rsid w:val="00450315"/>
    <w:rsid w:val="0045037E"/>
    <w:rsid w:val="004503AA"/>
    <w:rsid w:val="004503CB"/>
    <w:rsid w:val="00450401"/>
    <w:rsid w:val="0045048E"/>
    <w:rsid w:val="004504B1"/>
    <w:rsid w:val="004504FD"/>
    <w:rsid w:val="00450683"/>
    <w:rsid w:val="004506C0"/>
    <w:rsid w:val="0045072E"/>
    <w:rsid w:val="00450765"/>
    <w:rsid w:val="0045078E"/>
    <w:rsid w:val="00450809"/>
    <w:rsid w:val="004509CB"/>
    <w:rsid w:val="00450AC0"/>
    <w:rsid w:val="00450AD5"/>
    <w:rsid w:val="00450B0B"/>
    <w:rsid w:val="00450C19"/>
    <w:rsid w:val="00450C57"/>
    <w:rsid w:val="00450CE7"/>
    <w:rsid w:val="00450E13"/>
    <w:rsid w:val="00450FDB"/>
    <w:rsid w:val="004510D7"/>
    <w:rsid w:val="004510FD"/>
    <w:rsid w:val="004512CC"/>
    <w:rsid w:val="00451306"/>
    <w:rsid w:val="004513F1"/>
    <w:rsid w:val="004513F7"/>
    <w:rsid w:val="004514AD"/>
    <w:rsid w:val="004514B1"/>
    <w:rsid w:val="0045155C"/>
    <w:rsid w:val="004515E0"/>
    <w:rsid w:val="00451634"/>
    <w:rsid w:val="00451637"/>
    <w:rsid w:val="0045164F"/>
    <w:rsid w:val="0045176A"/>
    <w:rsid w:val="004517F1"/>
    <w:rsid w:val="004518E5"/>
    <w:rsid w:val="00451924"/>
    <w:rsid w:val="00451942"/>
    <w:rsid w:val="00451B12"/>
    <w:rsid w:val="00451B20"/>
    <w:rsid w:val="00451B45"/>
    <w:rsid w:val="00451B55"/>
    <w:rsid w:val="00451B77"/>
    <w:rsid w:val="00451BDD"/>
    <w:rsid w:val="00451BFB"/>
    <w:rsid w:val="00451C44"/>
    <w:rsid w:val="00451CD1"/>
    <w:rsid w:val="00451DC5"/>
    <w:rsid w:val="00451DD2"/>
    <w:rsid w:val="00451E1A"/>
    <w:rsid w:val="00451EA9"/>
    <w:rsid w:val="00451EE7"/>
    <w:rsid w:val="00451F08"/>
    <w:rsid w:val="00451F0E"/>
    <w:rsid w:val="00451F23"/>
    <w:rsid w:val="00452088"/>
    <w:rsid w:val="004520F2"/>
    <w:rsid w:val="004520F6"/>
    <w:rsid w:val="00452105"/>
    <w:rsid w:val="0045211E"/>
    <w:rsid w:val="004521AE"/>
    <w:rsid w:val="004521EC"/>
    <w:rsid w:val="004521FA"/>
    <w:rsid w:val="00452202"/>
    <w:rsid w:val="004522B8"/>
    <w:rsid w:val="00452308"/>
    <w:rsid w:val="0045233A"/>
    <w:rsid w:val="004523D8"/>
    <w:rsid w:val="0045254F"/>
    <w:rsid w:val="00452597"/>
    <w:rsid w:val="00452598"/>
    <w:rsid w:val="004526A5"/>
    <w:rsid w:val="004526CB"/>
    <w:rsid w:val="00452830"/>
    <w:rsid w:val="00452887"/>
    <w:rsid w:val="00452A12"/>
    <w:rsid w:val="00452A49"/>
    <w:rsid w:val="00452A5B"/>
    <w:rsid w:val="00452B63"/>
    <w:rsid w:val="00452B7D"/>
    <w:rsid w:val="00452B95"/>
    <w:rsid w:val="00452BF4"/>
    <w:rsid w:val="00452C28"/>
    <w:rsid w:val="00452C93"/>
    <w:rsid w:val="00452CD4"/>
    <w:rsid w:val="00452D4C"/>
    <w:rsid w:val="00452E70"/>
    <w:rsid w:val="00452EDB"/>
    <w:rsid w:val="00452F32"/>
    <w:rsid w:val="00453251"/>
    <w:rsid w:val="00453278"/>
    <w:rsid w:val="004532E0"/>
    <w:rsid w:val="0045335D"/>
    <w:rsid w:val="004533A2"/>
    <w:rsid w:val="004533CC"/>
    <w:rsid w:val="00453451"/>
    <w:rsid w:val="00453558"/>
    <w:rsid w:val="0045358E"/>
    <w:rsid w:val="0045359C"/>
    <w:rsid w:val="004535F3"/>
    <w:rsid w:val="004535FF"/>
    <w:rsid w:val="0045362B"/>
    <w:rsid w:val="00453661"/>
    <w:rsid w:val="0045366E"/>
    <w:rsid w:val="004536F8"/>
    <w:rsid w:val="0045370D"/>
    <w:rsid w:val="00453756"/>
    <w:rsid w:val="0045378A"/>
    <w:rsid w:val="0045389D"/>
    <w:rsid w:val="00453929"/>
    <w:rsid w:val="00453934"/>
    <w:rsid w:val="0045395B"/>
    <w:rsid w:val="004539E3"/>
    <w:rsid w:val="004539E6"/>
    <w:rsid w:val="00453AB6"/>
    <w:rsid w:val="00453B9C"/>
    <w:rsid w:val="00453BCC"/>
    <w:rsid w:val="00453D88"/>
    <w:rsid w:val="00453DBB"/>
    <w:rsid w:val="00453ECB"/>
    <w:rsid w:val="004541BD"/>
    <w:rsid w:val="00454321"/>
    <w:rsid w:val="0045432F"/>
    <w:rsid w:val="00454469"/>
    <w:rsid w:val="004544E7"/>
    <w:rsid w:val="00454566"/>
    <w:rsid w:val="0045467A"/>
    <w:rsid w:val="004546A7"/>
    <w:rsid w:val="004546E4"/>
    <w:rsid w:val="00454755"/>
    <w:rsid w:val="004547B5"/>
    <w:rsid w:val="00454829"/>
    <w:rsid w:val="004548E7"/>
    <w:rsid w:val="00454AA8"/>
    <w:rsid w:val="00454AF0"/>
    <w:rsid w:val="00454B68"/>
    <w:rsid w:val="00454B99"/>
    <w:rsid w:val="00454C16"/>
    <w:rsid w:val="00454C33"/>
    <w:rsid w:val="00454CC8"/>
    <w:rsid w:val="00454D12"/>
    <w:rsid w:val="00454D48"/>
    <w:rsid w:val="00454D9D"/>
    <w:rsid w:val="00454E0B"/>
    <w:rsid w:val="00454E5A"/>
    <w:rsid w:val="00454EA0"/>
    <w:rsid w:val="00454EF1"/>
    <w:rsid w:val="00454EFD"/>
    <w:rsid w:val="00454F8A"/>
    <w:rsid w:val="00454FCD"/>
    <w:rsid w:val="00455060"/>
    <w:rsid w:val="00455219"/>
    <w:rsid w:val="00455413"/>
    <w:rsid w:val="0045546B"/>
    <w:rsid w:val="004554B9"/>
    <w:rsid w:val="004554C3"/>
    <w:rsid w:val="004554F7"/>
    <w:rsid w:val="004555F0"/>
    <w:rsid w:val="00455606"/>
    <w:rsid w:val="00455648"/>
    <w:rsid w:val="00455676"/>
    <w:rsid w:val="0045586E"/>
    <w:rsid w:val="0045589A"/>
    <w:rsid w:val="0045593D"/>
    <w:rsid w:val="004559A9"/>
    <w:rsid w:val="00455A0D"/>
    <w:rsid w:val="00455A2F"/>
    <w:rsid w:val="00455AFC"/>
    <w:rsid w:val="00455B3B"/>
    <w:rsid w:val="00455BA7"/>
    <w:rsid w:val="00455BE6"/>
    <w:rsid w:val="00455C30"/>
    <w:rsid w:val="00455C86"/>
    <w:rsid w:val="00455C89"/>
    <w:rsid w:val="00455CC9"/>
    <w:rsid w:val="00455D16"/>
    <w:rsid w:val="00455ECD"/>
    <w:rsid w:val="00455F01"/>
    <w:rsid w:val="00455F1A"/>
    <w:rsid w:val="00455F4A"/>
    <w:rsid w:val="00455F9A"/>
    <w:rsid w:val="0045602E"/>
    <w:rsid w:val="0045610E"/>
    <w:rsid w:val="00456150"/>
    <w:rsid w:val="00456161"/>
    <w:rsid w:val="004562A0"/>
    <w:rsid w:val="004562B8"/>
    <w:rsid w:val="004562CE"/>
    <w:rsid w:val="004562EF"/>
    <w:rsid w:val="00456335"/>
    <w:rsid w:val="00456409"/>
    <w:rsid w:val="00456470"/>
    <w:rsid w:val="00456495"/>
    <w:rsid w:val="00456529"/>
    <w:rsid w:val="00456558"/>
    <w:rsid w:val="00456665"/>
    <w:rsid w:val="0045687F"/>
    <w:rsid w:val="004568F2"/>
    <w:rsid w:val="004568F9"/>
    <w:rsid w:val="00456B06"/>
    <w:rsid w:val="00456B1A"/>
    <w:rsid w:val="00456D18"/>
    <w:rsid w:val="00456D7E"/>
    <w:rsid w:val="00456E2A"/>
    <w:rsid w:val="00456F27"/>
    <w:rsid w:val="00456F3E"/>
    <w:rsid w:val="00456F4E"/>
    <w:rsid w:val="00457088"/>
    <w:rsid w:val="00457137"/>
    <w:rsid w:val="004571DA"/>
    <w:rsid w:val="004571DF"/>
    <w:rsid w:val="00457216"/>
    <w:rsid w:val="00457265"/>
    <w:rsid w:val="0045726B"/>
    <w:rsid w:val="00457349"/>
    <w:rsid w:val="00457350"/>
    <w:rsid w:val="00457392"/>
    <w:rsid w:val="004573F2"/>
    <w:rsid w:val="00457543"/>
    <w:rsid w:val="00457572"/>
    <w:rsid w:val="004575C0"/>
    <w:rsid w:val="004575C6"/>
    <w:rsid w:val="0045762E"/>
    <w:rsid w:val="0045763C"/>
    <w:rsid w:val="00457683"/>
    <w:rsid w:val="00457783"/>
    <w:rsid w:val="004579E8"/>
    <w:rsid w:val="004579F7"/>
    <w:rsid w:val="00457ADE"/>
    <w:rsid w:val="00457CDB"/>
    <w:rsid w:val="00457D61"/>
    <w:rsid w:val="00457D62"/>
    <w:rsid w:val="00457E01"/>
    <w:rsid w:val="00457E7E"/>
    <w:rsid w:val="00457F31"/>
    <w:rsid w:val="00457F79"/>
    <w:rsid w:val="00457FEE"/>
    <w:rsid w:val="004600B8"/>
    <w:rsid w:val="004603B5"/>
    <w:rsid w:val="004604CC"/>
    <w:rsid w:val="00460671"/>
    <w:rsid w:val="00460735"/>
    <w:rsid w:val="00460812"/>
    <w:rsid w:val="0046091F"/>
    <w:rsid w:val="004609E7"/>
    <w:rsid w:val="004609F0"/>
    <w:rsid w:val="00460A5E"/>
    <w:rsid w:val="00460A79"/>
    <w:rsid w:val="00460BE3"/>
    <w:rsid w:val="00460C4C"/>
    <w:rsid w:val="00460D07"/>
    <w:rsid w:val="00460E07"/>
    <w:rsid w:val="00460E50"/>
    <w:rsid w:val="00460F08"/>
    <w:rsid w:val="00460F3C"/>
    <w:rsid w:val="00460F91"/>
    <w:rsid w:val="00460FE5"/>
    <w:rsid w:val="00461065"/>
    <w:rsid w:val="00461067"/>
    <w:rsid w:val="004611D8"/>
    <w:rsid w:val="004612D2"/>
    <w:rsid w:val="004612D7"/>
    <w:rsid w:val="0046132F"/>
    <w:rsid w:val="004613BB"/>
    <w:rsid w:val="0046151F"/>
    <w:rsid w:val="00461629"/>
    <w:rsid w:val="0046174A"/>
    <w:rsid w:val="004617AE"/>
    <w:rsid w:val="00461829"/>
    <w:rsid w:val="004618B1"/>
    <w:rsid w:val="00461959"/>
    <w:rsid w:val="0046199F"/>
    <w:rsid w:val="004619B2"/>
    <w:rsid w:val="00461A28"/>
    <w:rsid w:val="00461A37"/>
    <w:rsid w:val="00461B69"/>
    <w:rsid w:val="00461BC4"/>
    <w:rsid w:val="00461D10"/>
    <w:rsid w:val="00461DB3"/>
    <w:rsid w:val="00461EF2"/>
    <w:rsid w:val="00461EF4"/>
    <w:rsid w:val="00462118"/>
    <w:rsid w:val="0046218D"/>
    <w:rsid w:val="0046218F"/>
    <w:rsid w:val="00462199"/>
    <w:rsid w:val="00462229"/>
    <w:rsid w:val="0046224F"/>
    <w:rsid w:val="00462289"/>
    <w:rsid w:val="0046236C"/>
    <w:rsid w:val="004623C2"/>
    <w:rsid w:val="00462473"/>
    <w:rsid w:val="0046248C"/>
    <w:rsid w:val="004624AF"/>
    <w:rsid w:val="004624CB"/>
    <w:rsid w:val="004624DC"/>
    <w:rsid w:val="00462517"/>
    <w:rsid w:val="00462538"/>
    <w:rsid w:val="00462560"/>
    <w:rsid w:val="0046256D"/>
    <w:rsid w:val="00462578"/>
    <w:rsid w:val="004625D5"/>
    <w:rsid w:val="00462630"/>
    <w:rsid w:val="00462634"/>
    <w:rsid w:val="00462675"/>
    <w:rsid w:val="0046267A"/>
    <w:rsid w:val="00462687"/>
    <w:rsid w:val="004626D8"/>
    <w:rsid w:val="004626FA"/>
    <w:rsid w:val="004627BB"/>
    <w:rsid w:val="004627D7"/>
    <w:rsid w:val="004627F2"/>
    <w:rsid w:val="00462817"/>
    <w:rsid w:val="00462851"/>
    <w:rsid w:val="004629BC"/>
    <w:rsid w:val="00462A11"/>
    <w:rsid w:val="00462A82"/>
    <w:rsid w:val="00462A95"/>
    <w:rsid w:val="00462C01"/>
    <w:rsid w:val="00462CE4"/>
    <w:rsid w:val="00462DBD"/>
    <w:rsid w:val="00462DF7"/>
    <w:rsid w:val="00462E9C"/>
    <w:rsid w:val="00462FB0"/>
    <w:rsid w:val="00462FEE"/>
    <w:rsid w:val="00463049"/>
    <w:rsid w:val="00463153"/>
    <w:rsid w:val="00463176"/>
    <w:rsid w:val="0046330F"/>
    <w:rsid w:val="0046333D"/>
    <w:rsid w:val="00463387"/>
    <w:rsid w:val="004633EC"/>
    <w:rsid w:val="00463457"/>
    <w:rsid w:val="004634E7"/>
    <w:rsid w:val="0046354C"/>
    <w:rsid w:val="004636FA"/>
    <w:rsid w:val="0046375D"/>
    <w:rsid w:val="00463760"/>
    <w:rsid w:val="00463951"/>
    <w:rsid w:val="00463968"/>
    <w:rsid w:val="00463981"/>
    <w:rsid w:val="004639D7"/>
    <w:rsid w:val="00463A82"/>
    <w:rsid w:val="00463AA5"/>
    <w:rsid w:val="00463AB3"/>
    <w:rsid w:val="00463BA1"/>
    <w:rsid w:val="00463BA2"/>
    <w:rsid w:val="00463BCB"/>
    <w:rsid w:val="00463C1F"/>
    <w:rsid w:val="00463C6F"/>
    <w:rsid w:val="00463D83"/>
    <w:rsid w:val="00463DF7"/>
    <w:rsid w:val="00463F4C"/>
    <w:rsid w:val="0046400F"/>
    <w:rsid w:val="0046405F"/>
    <w:rsid w:val="00464147"/>
    <w:rsid w:val="004642CF"/>
    <w:rsid w:val="004642E2"/>
    <w:rsid w:val="00464357"/>
    <w:rsid w:val="004643A0"/>
    <w:rsid w:val="004643A3"/>
    <w:rsid w:val="0046445C"/>
    <w:rsid w:val="00464504"/>
    <w:rsid w:val="0046458B"/>
    <w:rsid w:val="00464713"/>
    <w:rsid w:val="00464857"/>
    <w:rsid w:val="004648A5"/>
    <w:rsid w:val="004648EC"/>
    <w:rsid w:val="00464949"/>
    <w:rsid w:val="0046495F"/>
    <w:rsid w:val="0046497B"/>
    <w:rsid w:val="004649D8"/>
    <w:rsid w:val="00464A2A"/>
    <w:rsid w:val="00464A39"/>
    <w:rsid w:val="00464B06"/>
    <w:rsid w:val="00464B61"/>
    <w:rsid w:val="00464B8E"/>
    <w:rsid w:val="00464C7C"/>
    <w:rsid w:val="00464DC9"/>
    <w:rsid w:val="00464EB1"/>
    <w:rsid w:val="00464F12"/>
    <w:rsid w:val="00465016"/>
    <w:rsid w:val="004650F4"/>
    <w:rsid w:val="00465131"/>
    <w:rsid w:val="004652A1"/>
    <w:rsid w:val="00465307"/>
    <w:rsid w:val="0046541F"/>
    <w:rsid w:val="00465471"/>
    <w:rsid w:val="004654AE"/>
    <w:rsid w:val="004655D8"/>
    <w:rsid w:val="0046560A"/>
    <w:rsid w:val="0046568A"/>
    <w:rsid w:val="004656A9"/>
    <w:rsid w:val="00465766"/>
    <w:rsid w:val="004657E7"/>
    <w:rsid w:val="00465842"/>
    <w:rsid w:val="004658BA"/>
    <w:rsid w:val="00465902"/>
    <w:rsid w:val="0046592F"/>
    <w:rsid w:val="00465A8D"/>
    <w:rsid w:val="00465ABD"/>
    <w:rsid w:val="00465D8E"/>
    <w:rsid w:val="00465E01"/>
    <w:rsid w:val="00465E77"/>
    <w:rsid w:val="00465E8F"/>
    <w:rsid w:val="00465EA1"/>
    <w:rsid w:val="00465EC9"/>
    <w:rsid w:val="00465FB1"/>
    <w:rsid w:val="00466028"/>
    <w:rsid w:val="004660B4"/>
    <w:rsid w:val="004661BA"/>
    <w:rsid w:val="0046635A"/>
    <w:rsid w:val="00466383"/>
    <w:rsid w:val="00466388"/>
    <w:rsid w:val="00466414"/>
    <w:rsid w:val="0046682E"/>
    <w:rsid w:val="00466900"/>
    <w:rsid w:val="0046695C"/>
    <w:rsid w:val="00466A11"/>
    <w:rsid w:val="00466A29"/>
    <w:rsid w:val="00466A3A"/>
    <w:rsid w:val="00466A45"/>
    <w:rsid w:val="00466B28"/>
    <w:rsid w:val="00466B7D"/>
    <w:rsid w:val="00466C51"/>
    <w:rsid w:val="00466C52"/>
    <w:rsid w:val="00466CE0"/>
    <w:rsid w:val="00466D1A"/>
    <w:rsid w:val="00466D2D"/>
    <w:rsid w:val="00466E49"/>
    <w:rsid w:val="00466ED8"/>
    <w:rsid w:val="00466F58"/>
    <w:rsid w:val="00466FE2"/>
    <w:rsid w:val="00467026"/>
    <w:rsid w:val="0046707F"/>
    <w:rsid w:val="0046709A"/>
    <w:rsid w:val="004670D9"/>
    <w:rsid w:val="0046717D"/>
    <w:rsid w:val="00467280"/>
    <w:rsid w:val="00467283"/>
    <w:rsid w:val="00467300"/>
    <w:rsid w:val="0046730F"/>
    <w:rsid w:val="004673F4"/>
    <w:rsid w:val="004674D2"/>
    <w:rsid w:val="004675EB"/>
    <w:rsid w:val="00467614"/>
    <w:rsid w:val="0046762D"/>
    <w:rsid w:val="00467675"/>
    <w:rsid w:val="0046768B"/>
    <w:rsid w:val="004676B6"/>
    <w:rsid w:val="0046774F"/>
    <w:rsid w:val="00467755"/>
    <w:rsid w:val="00467797"/>
    <w:rsid w:val="004677FD"/>
    <w:rsid w:val="00467878"/>
    <w:rsid w:val="0046789A"/>
    <w:rsid w:val="004678C4"/>
    <w:rsid w:val="0046795B"/>
    <w:rsid w:val="00467983"/>
    <w:rsid w:val="004679EB"/>
    <w:rsid w:val="00467A4B"/>
    <w:rsid w:val="00467BC6"/>
    <w:rsid w:val="00467C58"/>
    <w:rsid w:val="00467CA9"/>
    <w:rsid w:val="00467CE4"/>
    <w:rsid w:val="00467D32"/>
    <w:rsid w:val="00467E0B"/>
    <w:rsid w:val="00467EF2"/>
    <w:rsid w:val="00467F7A"/>
    <w:rsid w:val="00467FFC"/>
    <w:rsid w:val="00470279"/>
    <w:rsid w:val="004702E9"/>
    <w:rsid w:val="00470365"/>
    <w:rsid w:val="004703C0"/>
    <w:rsid w:val="00470414"/>
    <w:rsid w:val="00470562"/>
    <w:rsid w:val="00470599"/>
    <w:rsid w:val="0047062D"/>
    <w:rsid w:val="00470865"/>
    <w:rsid w:val="0047088A"/>
    <w:rsid w:val="004708A9"/>
    <w:rsid w:val="004708B2"/>
    <w:rsid w:val="004708C9"/>
    <w:rsid w:val="00470963"/>
    <w:rsid w:val="004709C0"/>
    <w:rsid w:val="00470A67"/>
    <w:rsid w:val="00470BF4"/>
    <w:rsid w:val="00470C1F"/>
    <w:rsid w:val="00470C33"/>
    <w:rsid w:val="00470DD3"/>
    <w:rsid w:val="00470DE6"/>
    <w:rsid w:val="00470ED7"/>
    <w:rsid w:val="0047101D"/>
    <w:rsid w:val="0047107C"/>
    <w:rsid w:val="00471080"/>
    <w:rsid w:val="004710CB"/>
    <w:rsid w:val="00471271"/>
    <w:rsid w:val="00471312"/>
    <w:rsid w:val="00471377"/>
    <w:rsid w:val="00471378"/>
    <w:rsid w:val="004713F2"/>
    <w:rsid w:val="004714AB"/>
    <w:rsid w:val="004714E7"/>
    <w:rsid w:val="0047151D"/>
    <w:rsid w:val="0047152F"/>
    <w:rsid w:val="004715AA"/>
    <w:rsid w:val="004716E6"/>
    <w:rsid w:val="00471730"/>
    <w:rsid w:val="004717C5"/>
    <w:rsid w:val="0047185A"/>
    <w:rsid w:val="004718BE"/>
    <w:rsid w:val="00471966"/>
    <w:rsid w:val="00471A2D"/>
    <w:rsid w:val="00471A81"/>
    <w:rsid w:val="00471C39"/>
    <w:rsid w:val="00471C60"/>
    <w:rsid w:val="00471CC1"/>
    <w:rsid w:val="00471DBE"/>
    <w:rsid w:val="00471E4F"/>
    <w:rsid w:val="00471E5D"/>
    <w:rsid w:val="00471E5F"/>
    <w:rsid w:val="00471EBD"/>
    <w:rsid w:val="00471EC4"/>
    <w:rsid w:val="00471F36"/>
    <w:rsid w:val="0047207A"/>
    <w:rsid w:val="004720AC"/>
    <w:rsid w:val="004720E7"/>
    <w:rsid w:val="0047218F"/>
    <w:rsid w:val="004721EF"/>
    <w:rsid w:val="00472500"/>
    <w:rsid w:val="0047254F"/>
    <w:rsid w:val="00472584"/>
    <w:rsid w:val="004725C9"/>
    <w:rsid w:val="00472613"/>
    <w:rsid w:val="00472673"/>
    <w:rsid w:val="0047275A"/>
    <w:rsid w:val="0047275D"/>
    <w:rsid w:val="00472763"/>
    <w:rsid w:val="004728DE"/>
    <w:rsid w:val="004729D5"/>
    <w:rsid w:val="00472A35"/>
    <w:rsid w:val="00472B46"/>
    <w:rsid w:val="00472B55"/>
    <w:rsid w:val="00472D77"/>
    <w:rsid w:val="00472D83"/>
    <w:rsid w:val="00472DBA"/>
    <w:rsid w:val="00472DEB"/>
    <w:rsid w:val="00472E08"/>
    <w:rsid w:val="00472F01"/>
    <w:rsid w:val="00472FB6"/>
    <w:rsid w:val="0047309F"/>
    <w:rsid w:val="004730A7"/>
    <w:rsid w:val="0047317D"/>
    <w:rsid w:val="004731C9"/>
    <w:rsid w:val="004732B1"/>
    <w:rsid w:val="004732FA"/>
    <w:rsid w:val="004733E1"/>
    <w:rsid w:val="0047342A"/>
    <w:rsid w:val="00473521"/>
    <w:rsid w:val="004735A4"/>
    <w:rsid w:val="004737DC"/>
    <w:rsid w:val="00473841"/>
    <w:rsid w:val="004738BC"/>
    <w:rsid w:val="00473982"/>
    <w:rsid w:val="004739DA"/>
    <w:rsid w:val="00473A23"/>
    <w:rsid w:val="00473C72"/>
    <w:rsid w:val="00473D46"/>
    <w:rsid w:val="00473D48"/>
    <w:rsid w:val="00473E61"/>
    <w:rsid w:val="0047400A"/>
    <w:rsid w:val="004740CE"/>
    <w:rsid w:val="004740E0"/>
    <w:rsid w:val="0047417F"/>
    <w:rsid w:val="00474421"/>
    <w:rsid w:val="0047458A"/>
    <w:rsid w:val="004746E4"/>
    <w:rsid w:val="00474736"/>
    <w:rsid w:val="00474738"/>
    <w:rsid w:val="00474784"/>
    <w:rsid w:val="004747E9"/>
    <w:rsid w:val="0047480B"/>
    <w:rsid w:val="00474813"/>
    <w:rsid w:val="0047499C"/>
    <w:rsid w:val="004749A8"/>
    <w:rsid w:val="00474A30"/>
    <w:rsid w:val="00474A80"/>
    <w:rsid w:val="00474B9C"/>
    <w:rsid w:val="00474CFB"/>
    <w:rsid w:val="00474D1D"/>
    <w:rsid w:val="00474D23"/>
    <w:rsid w:val="00474DD9"/>
    <w:rsid w:val="00474ED9"/>
    <w:rsid w:val="00474F57"/>
    <w:rsid w:val="00474FAF"/>
    <w:rsid w:val="00475058"/>
    <w:rsid w:val="004750C7"/>
    <w:rsid w:val="004750CD"/>
    <w:rsid w:val="00475320"/>
    <w:rsid w:val="004753A9"/>
    <w:rsid w:val="004753AB"/>
    <w:rsid w:val="0047541A"/>
    <w:rsid w:val="0047546F"/>
    <w:rsid w:val="00475508"/>
    <w:rsid w:val="0047555B"/>
    <w:rsid w:val="004755E3"/>
    <w:rsid w:val="004755F1"/>
    <w:rsid w:val="00475615"/>
    <w:rsid w:val="00475707"/>
    <w:rsid w:val="00475708"/>
    <w:rsid w:val="004759DE"/>
    <w:rsid w:val="00475B22"/>
    <w:rsid w:val="00475B6F"/>
    <w:rsid w:val="00475B89"/>
    <w:rsid w:val="00475C39"/>
    <w:rsid w:val="00475C5D"/>
    <w:rsid w:val="00475CCE"/>
    <w:rsid w:val="00475DA5"/>
    <w:rsid w:val="00475E9E"/>
    <w:rsid w:val="00475EB1"/>
    <w:rsid w:val="00475FAF"/>
    <w:rsid w:val="00476090"/>
    <w:rsid w:val="004760C9"/>
    <w:rsid w:val="00476151"/>
    <w:rsid w:val="00476197"/>
    <w:rsid w:val="004761A5"/>
    <w:rsid w:val="00476236"/>
    <w:rsid w:val="00476259"/>
    <w:rsid w:val="004762D0"/>
    <w:rsid w:val="004763B3"/>
    <w:rsid w:val="00476425"/>
    <w:rsid w:val="004764FA"/>
    <w:rsid w:val="00476534"/>
    <w:rsid w:val="00476541"/>
    <w:rsid w:val="00476574"/>
    <w:rsid w:val="004767A7"/>
    <w:rsid w:val="00476924"/>
    <w:rsid w:val="00476933"/>
    <w:rsid w:val="004769C7"/>
    <w:rsid w:val="00476AF6"/>
    <w:rsid w:val="00476B15"/>
    <w:rsid w:val="00476B7E"/>
    <w:rsid w:val="00476BFF"/>
    <w:rsid w:val="00476C60"/>
    <w:rsid w:val="00476D1D"/>
    <w:rsid w:val="00476D1E"/>
    <w:rsid w:val="00476E22"/>
    <w:rsid w:val="00476E92"/>
    <w:rsid w:val="00476ECB"/>
    <w:rsid w:val="00476F17"/>
    <w:rsid w:val="00476F21"/>
    <w:rsid w:val="00476F95"/>
    <w:rsid w:val="00476FD1"/>
    <w:rsid w:val="0047716F"/>
    <w:rsid w:val="0047721F"/>
    <w:rsid w:val="0047736C"/>
    <w:rsid w:val="004773B5"/>
    <w:rsid w:val="0047740D"/>
    <w:rsid w:val="00477624"/>
    <w:rsid w:val="00477662"/>
    <w:rsid w:val="004776DB"/>
    <w:rsid w:val="0047777C"/>
    <w:rsid w:val="004777CE"/>
    <w:rsid w:val="00477810"/>
    <w:rsid w:val="0047785C"/>
    <w:rsid w:val="004778CB"/>
    <w:rsid w:val="00477976"/>
    <w:rsid w:val="0047799D"/>
    <w:rsid w:val="004779D8"/>
    <w:rsid w:val="00477A06"/>
    <w:rsid w:val="00477A8E"/>
    <w:rsid w:val="00477A91"/>
    <w:rsid w:val="00477C4F"/>
    <w:rsid w:val="00477CC3"/>
    <w:rsid w:val="00477D1F"/>
    <w:rsid w:val="00477DFA"/>
    <w:rsid w:val="00480124"/>
    <w:rsid w:val="0048013D"/>
    <w:rsid w:val="00480162"/>
    <w:rsid w:val="004801E5"/>
    <w:rsid w:val="00480278"/>
    <w:rsid w:val="004802EC"/>
    <w:rsid w:val="00480331"/>
    <w:rsid w:val="00480353"/>
    <w:rsid w:val="0048043E"/>
    <w:rsid w:val="00480450"/>
    <w:rsid w:val="004804B1"/>
    <w:rsid w:val="004804E6"/>
    <w:rsid w:val="00480506"/>
    <w:rsid w:val="00480740"/>
    <w:rsid w:val="0048075E"/>
    <w:rsid w:val="0048080D"/>
    <w:rsid w:val="004808A8"/>
    <w:rsid w:val="004808A9"/>
    <w:rsid w:val="00480905"/>
    <w:rsid w:val="00480970"/>
    <w:rsid w:val="004809D8"/>
    <w:rsid w:val="00480ADB"/>
    <w:rsid w:val="00480C08"/>
    <w:rsid w:val="00480C21"/>
    <w:rsid w:val="00480C9B"/>
    <w:rsid w:val="00480D3E"/>
    <w:rsid w:val="00480D95"/>
    <w:rsid w:val="00480E8A"/>
    <w:rsid w:val="00480F56"/>
    <w:rsid w:val="00480FC6"/>
    <w:rsid w:val="00480FE8"/>
    <w:rsid w:val="004810A1"/>
    <w:rsid w:val="00481126"/>
    <w:rsid w:val="00481141"/>
    <w:rsid w:val="0048118D"/>
    <w:rsid w:val="00481227"/>
    <w:rsid w:val="004812B2"/>
    <w:rsid w:val="00481318"/>
    <w:rsid w:val="0048134D"/>
    <w:rsid w:val="00481498"/>
    <w:rsid w:val="004814B8"/>
    <w:rsid w:val="00481648"/>
    <w:rsid w:val="00481667"/>
    <w:rsid w:val="0048167D"/>
    <w:rsid w:val="00481748"/>
    <w:rsid w:val="0048174F"/>
    <w:rsid w:val="00481786"/>
    <w:rsid w:val="004817AE"/>
    <w:rsid w:val="004817BF"/>
    <w:rsid w:val="00481928"/>
    <w:rsid w:val="004819B3"/>
    <w:rsid w:val="00481A15"/>
    <w:rsid w:val="00481A38"/>
    <w:rsid w:val="00481B1F"/>
    <w:rsid w:val="00481C54"/>
    <w:rsid w:val="00481D18"/>
    <w:rsid w:val="00481E6D"/>
    <w:rsid w:val="00481F54"/>
    <w:rsid w:val="00481F77"/>
    <w:rsid w:val="00481FF5"/>
    <w:rsid w:val="004820D7"/>
    <w:rsid w:val="00482152"/>
    <w:rsid w:val="0048215C"/>
    <w:rsid w:val="00482230"/>
    <w:rsid w:val="0048226B"/>
    <w:rsid w:val="00482309"/>
    <w:rsid w:val="0048242D"/>
    <w:rsid w:val="00482480"/>
    <w:rsid w:val="00482555"/>
    <w:rsid w:val="004825F0"/>
    <w:rsid w:val="004825FC"/>
    <w:rsid w:val="0048269D"/>
    <w:rsid w:val="004828CE"/>
    <w:rsid w:val="004829AD"/>
    <w:rsid w:val="00482A38"/>
    <w:rsid w:val="00482A55"/>
    <w:rsid w:val="00482A7E"/>
    <w:rsid w:val="00482B38"/>
    <w:rsid w:val="00482B78"/>
    <w:rsid w:val="00482C2C"/>
    <w:rsid w:val="00482D72"/>
    <w:rsid w:val="00482D8F"/>
    <w:rsid w:val="00482E44"/>
    <w:rsid w:val="00482E8D"/>
    <w:rsid w:val="00482FE5"/>
    <w:rsid w:val="004830A2"/>
    <w:rsid w:val="00483216"/>
    <w:rsid w:val="00483278"/>
    <w:rsid w:val="0048330D"/>
    <w:rsid w:val="00483416"/>
    <w:rsid w:val="00483461"/>
    <w:rsid w:val="004834C2"/>
    <w:rsid w:val="00483519"/>
    <w:rsid w:val="0048363A"/>
    <w:rsid w:val="004836F2"/>
    <w:rsid w:val="00483708"/>
    <w:rsid w:val="004837FD"/>
    <w:rsid w:val="0048388D"/>
    <w:rsid w:val="004838C6"/>
    <w:rsid w:val="004839BC"/>
    <w:rsid w:val="00483AEC"/>
    <w:rsid w:val="00483B2E"/>
    <w:rsid w:val="00483B34"/>
    <w:rsid w:val="00483BD3"/>
    <w:rsid w:val="00483CE0"/>
    <w:rsid w:val="00483D91"/>
    <w:rsid w:val="00483D9E"/>
    <w:rsid w:val="00483EBB"/>
    <w:rsid w:val="00483ED0"/>
    <w:rsid w:val="00483F3C"/>
    <w:rsid w:val="00483F9C"/>
    <w:rsid w:val="00484168"/>
    <w:rsid w:val="004841C6"/>
    <w:rsid w:val="004841D4"/>
    <w:rsid w:val="00484213"/>
    <w:rsid w:val="0048431A"/>
    <w:rsid w:val="004843BA"/>
    <w:rsid w:val="004844B1"/>
    <w:rsid w:val="0048451C"/>
    <w:rsid w:val="00484526"/>
    <w:rsid w:val="00484585"/>
    <w:rsid w:val="004845FF"/>
    <w:rsid w:val="0048465B"/>
    <w:rsid w:val="00484691"/>
    <w:rsid w:val="004847B6"/>
    <w:rsid w:val="0048494A"/>
    <w:rsid w:val="004849F9"/>
    <w:rsid w:val="00484A57"/>
    <w:rsid w:val="00484A8B"/>
    <w:rsid w:val="00484ABD"/>
    <w:rsid w:val="00484ABF"/>
    <w:rsid w:val="00484AD4"/>
    <w:rsid w:val="00484B00"/>
    <w:rsid w:val="00484B02"/>
    <w:rsid w:val="00484B10"/>
    <w:rsid w:val="00484B3E"/>
    <w:rsid w:val="00484C7D"/>
    <w:rsid w:val="00484CD4"/>
    <w:rsid w:val="00484CD5"/>
    <w:rsid w:val="00484D03"/>
    <w:rsid w:val="00484D82"/>
    <w:rsid w:val="00484ED1"/>
    <w:rsid w:val="00484F03"/>
    <w:rsid w:val="00484F7D"/>
    <w:rsid w:val="00484F94"/>
    <w:rsid w:val="00484FFD"/>
    <w:rsid w:val="0048508F"/>
    <w:rsid w:val="004850D4"/>
    <w:rsid w:val="00485168"/>
    <w:rsid w:val="00485194"/>
    <w:rsid w:val="0048523F"/>
    <w:rsid w:val="00485315"/>
    <w:rsid w:val="00485330"/>
    <w:rsid w:val="0048553E"/>
    <w:rsid w:val="0048566F"/>
    <w:rsid w:val="004856A0"/>
    <w:rsid w:val="004856C9"/>
    <w:rsid w:val="004856E8"/>
    <w:rsid w:val="004857A1"/>
    <w:rsid w:val="004857B1"/>
    <w:rsid w:val="004857B7"/>
    <w:rsid w:val="004857D3"/>
    <w:rsid w:val="00485862"/>
    <w:rsid w:val="0048592E"/>
    <w:rsid w:val="00485A1B"/>
    <w:rsid w:val="00485BD3"/>
    <w:rsid w:val="00485E9F"/>
    <w:rsid w:val="00485F36"/>
    <w:rsid w:val="00485F3A"/>
    <w:rsid w:val="00486088"/>
    <w:rsid w:val="00486174"/>
    <w:rsid w:val="004862D7"/>
    <w:rsid w:val="00486300"/>
    <w:rsid w:val="00486320"/>
    <w:rsid w:val="0048632E"/>
    <w:rsid w:val="00486349"/>
    <w:rsid w:val="00486390"/>
    <w:rsid w:val="0048641A"/>
    <w:rsid w:val="0048648A"/>
    <w:rsid w:val="004864F2"/>
    <w:rsid w:val="00486575"/>
    <w:rsid w:val="004865DA"/>
    <w:rsid w:val="00486687"/>
    <w:rsid w:val="0048675D"/>
    <w:rsid w:val="00486828"/>
    <w:rsid w:val="0048687D"/>
    <w:rsid w:val="00486889"/>
    <w:rsid w:val="00486A1B"/>
    <w:rsid w:val="00486AD5"/>
    <w:rsid w:val="00486B73"/>
    <w:rsid w:val="00486BC2"/>
    <w:rsid w:val="00486BC5"/>
    <w:rsid w:val="00486BE7"/>
    <w:rsid w:val="00486C15"/>
    <w:rsid w:val="00486E8B"/>
    <w:rsid w:val="00486EB5"/>
    <w:rsid w:val="00486ECC"/>
    <w:rsid w:val="00486ECE"/>
    <w:rsid w:val="00486ECF"/>
    <w:rsid w:val="00486FC7"/>
    <w:rsid w:val="00487056"/>
    <w:rsid w:val="0048706E"/>
    <w:rsid w:val="0048707C"/>
    <w:rsid w:val="0048708D"/>
    <w:rsid w:val="004870F1"/>
    <w:rsid w:val="00487102"/>
    <w:rsid w:val="00487147"/>
    <w:rsid w:val="0048720C"/>
    <w:rsid w:val="00487271"/>
    <w:rsid w:val="004872D5"/>
    <w:rsid w:val="0048735F"/>
    <w:rsid w:val="0048739B"/>
    <w:rsid w:val="00487441"/>
    <w:rsid w:val="0048748A"/>
    <w:rsid w:val="0048749D"/>
    <w:rsid w:val="00487513"/>
    <w:rsid w:val="00487652"/>
    <w:rsid w:val="00487665"/>
    <w:rsid w:val="00487752"/>
    <w:rsid w:val="0048780E"/>
    <w:rsid w:val="00487824"/>
    <w:rsid w:val="00487843"/>
    <w:rsid w:val="0048789B"/>
    <w:rsid w:val="004878EA"/>
    <w:rsid w:val="00487A34"/>
    <w:rsid w:val="00487AB1"/>
    <w:rsid w:val="00487AE9"/>
    <w:rsid w:val="00487AF3"/>
    <w:rsid w:val="00487B8F"/>
    <w:rsid w:val="00487BCA"/>
    <w:rsid w:val="00487C21"/>
    <w:rsid w:val="00487C55"/>
    <w:rsid w:val="00487CCB"/>
    <w:rsid w:val="00487CD5"/>
    <w:rsid w:val="00487DA6"/>
    <w:rsid w:val="00487DB3"/>
    <w:rsid w:val="00487E20"/>
    <w:rsid w:val="00487E46"/>
    <w:rsid w:val="00487F62"/>
    <w:rsid w:val="00487FE8"/>
    <w:rsid w:val="00490038"/>
    <w:rsid w:val="0049004F"/>
    <w:rsid w:val="0049005D"/>
    <w:rsid w:val="00490079"/>
    <w:rsid w:val="00490125"/>
    <w:rsid w:val="004901C2"/>
    <w:rsid w:val="0049026E"/>
    <w:rsid w:val="00490456"/>
    <w:rsid w:val="004904E7"/>
    <w:rsid w:val="0049062E"/>
    <w:rsid w:val="0049084A"/>
    <w:rsid w:val="00490882"/>
    <w:rsid w:val="00490948"/>
    <w:rsid w:val="00490A03"/>
    <w:rsid w:val="00490AC7"/>
    <w:rsid w:val="00490BC1"/>
    <w:rsid w:val="00490BFC"/>
    <w:rsid w:val="00490C34"/>
    <w:rsid w:val="00490C56"/>
    <w:rsid w:val="00490D03"/>
    <w:rsid w:val="00490D13"/>
    <w:rsid w:val="00490D6D"/>
    <w:rsid w:val="00490E62"/>
    <w:rsid w:val="00490E6D"/>
    <w:rsid w:val="00490F3A"/>
    <w:rsid w:val="00490F4E"/>
    <w:rsid w:val="00490FBE"/>
    <w:rsid w:val="0049102D"/>
    <w:rsid w:val="00491050"/>
    <w:rsid w:val="004911B1"/>
    <w:rsid w:val="0049125A"/>
    <w:rsid w:val="00491303"/>
    <w:rsid w:val="00491387"/>
    <w:rsid w:val="00491450"/>
    <w:rsid w:val="00491479"/>
    <w:rsid w:val="00491557"/>
    <w:rsid w:val="0049158D"/>
    <w:rsid w:val="004915A1"/>
    <w:rsid w:val="004915F9"/>
    <w:rsid w:val="0049162E"/>
    <w:rsid w:val="004916A0"/>
    <w:rsid w:val="0049177C"/>
    <w:rsid w:val="004917CB"/>
    <w:rsid w:val="00491866"/>
    <w:rsid w:val="004918FA"/>
    <w:rsid w:val="00491931"/>
    <w:rsid w:val="004919C2"/>
    <w:rsid w:val="004919C5"/>
    <w:rsid w:val="004919F0"/>
    <w:rsid w:val="00491A59"/>
    <w:rsid w:val="00491B05"/>
    <w:rsid w:val="00491B3B"/>
    <w:rsid w:val="00491BE4"/>
    <w:rsid w:val="00491C88"/>
    <w:rsid w:val="00491D54"/>
    <w:rsid w:val="00491DEF"/>
    <w:rsid w:val="00491E3C"/>
    <w:rsid w:val="00491E50"/>
    <w:rsid w:val="00491EB8"/>
    <w:rsid w:val="00491EF9"/>
    <w:rsid w:val="00491F71"/>
    <w:rsid w:val="00491F7A"/>
    <w:rsid w:val="00491FFD"/>
    <w:rsid w:val="0049203A"/>
    <w:rsid w:val="00492125"/>
    <w:rsid w:val="004921B1"/>
    <w:rsid w:val="00492255"/>
    <w:rsid w:val="004922D9"/>
    <w:rsid w:val="00492326"/>
    <w:rsid w:val="004923DD"/>
    <w:rsid w:val="0049242B"/>
    <w:rsid w:val="004924B3"/>
    <w:rsid w:val="00492500"/>
    <w:rsid w:val="0049254C"/>
    <w:rsid w:val="0049255F"/>
    <w:rsid w:val="00492562"/>
    <w:rsid w:val="0049256D"/>
    <w:rsid w:val="004926AF"/>
    <w:rsid w:val="004926B9"/>
    <w:rsid w:val="004926CC"/>
    <w:rsid w:val="004926DE"/>
    <w:rsid w:val="004926E1"/>
    <w:rsid w:val="00492746"/>
    <w:rsid w:val="00492785"/>
    <w:rsid w:val="0049289D"/>
    <w:rsid w:val="00492955"/>
    <w:rsid w:val="00492997"/>
    <w:rsid w:val="004929FE"/>
    <w:rsid w:val="00492A2F"/>
    <w:rsid w:val="00492A75"/>
    <w:rsid w:val="00492B24"/>
    <w:rsid w:val="00492B80"/>
    <w:rsid w:val="00492B8C"/>
    <w:rsid w:val="00492BF4"/>
    <w:rsid w:val="00492C96"/>
    <w:rsid w:val="00492D88"/>
    <w:rsid w:val="00492D89"/>
    <w:rsid w:val="00492E2A"/>
    <w:rsid w:val="00492E65"/>
    <w:rsid w:val="00492F1C"/>
    <w:rsid w:val="00492F7C"/>
    <w:rsid w:val="00492FFD"/>
    <w:rsid w:val="00493025"/>
    <w:rsid w:val="00493028"/>
    <w:rsid w:val="004930E3"/>
    <w:rsid w:val="00493137"/>
    <w:rsid w:val="00493279"/>
    <w:rsid w:val="004932C7"/>
    <w:rsid w:val="00493399"/>
    <w:rsid w:val="00493501"/>
    <w:rsid w:val="00493724"/>
    <w:rsid w:val="00493784"/>
    <w:rsid w:val="004938AD"/>
    <w:rsid w:val="004938F4"/>
    <w:rsid w:val="004939C7"/>
    <w:rsid w:val="00493A29"/>
    <w:rsid w:val="00493AF8"/>
    <w:rsid w:val="00493B24"/>
    <w:rsid w:val="00493B4A"/>
    <w:rsid w:val="00493B94"/>
    <w:rsid w:val="00493BC5"/>
    <w:rsid w:val="00493CC7"/>
    <w:rsid w:val="00493CF2"/>
    <w:rsid w:val="00493D33"/>
    <w:rsid w:val="00493D61"/>
    <w:rsid w:val="00493D62"/>
    <w:rsid w:val="00493D8C"/>
    <w:rsid w:val="00493EC4"/>
    <w:rsid w:val="00493F71"/>
    <w:rsid w:val="00493FC7"/>
    <w:rsid w:val="004943CD"/>
    <w:rsid w:val="00494401"/>
    <w:rsid w:val="0049447E"/>
    <w:rsid w:val="00494495"/>
    <w:rsid w:val="0049449E"/>
    <w:rsid w:val="004944C6"/>
    <w:rsid w:val="004944D6"/>
    <w:rsid w:val="004944DF"/>
    <w:rsid w:val="004945E6"/>
    <w:rsid w:val="004945F9"/>
    <w:rsid w:val="00494614"/>
    <w:rsid w:val="00494624"/>
    <w:rsid w:val="00494669"/>
    <w:rsid w:val="0049478A"/>
    <w:rsid w:val="0049488A"/>
    <w:rsid w:val="004948C9"/>
    <w:rsid w:val="00494908"/>
    <w:rsid w:val="00494968"/>
    <w:rsid w:val="004949CA"/>
    <w:rsid w:val="00494B10"/>
    <w:rsid w:val="00494B15"/>
    <w:rsid w:val="00494B4C"/>
    <w:rsid w:val="00494BAB"/>
    <w:rsid w:val="00494C6F"/>
    <w:rsid w:val="00494CC6"/>
    <w:rsid w:val="00494D26"/>
    <w:rsid w:val="00494D72"/>
    <w:rsid w:val="00494DBD"/>
    <w:rsid w:val="00494EAA"/>
    <w:rsid w:val="00494EC3"/>
    <w:rsid w:val="00494F41"/>
    <w:rsid w:val="00494F44"/>
    <w:rsid w:val="00494FDA"/>
    <w:rsid w:val="00494FEB"/>
    <w:rsid w:val="00495032"/>
    <w:rsid w:val="0049515F"/>
    <w:rsid w:val="00495236"/>
    <w:rsid w:val="00495237"/>
    <w:rsid w:val="00495420"/>
    <w:rsid w:val="00495439"/>
    <w:rsid w:val="00495615"/>
    <w:rsid w:val="0049569A"/>
    <w:rsid w:val="004956AE"/>
    <w:rsid w:val="004956F2"/>
    <w:rsid w:val="00495707"/>
    <w:rsid w:val="00495732"/>
    <w:rsid w:val="004957BC"/>
    <w:rsid w:val="0049585F"/>
    <w:rsid w:val="004958D1"/>
    <w:rsid w:val="004958D6"/>
    <w:rsid w:val="0049591C"/>
    <w:rsid w:val="00495973"/>
    <w:rsid w:val="0049597F"/>
    <w:rsid w:val="00495999"/>
    <w:rsid w:val="00495AED"/>
    <w:rsid w:val="00495B1B"/>
    <w:rsid w:val="00495B27"/>
    <w:rsid w:val="00495B78"/>
    <w:rsid w:val="00495B7F"/>
    <w:rsid w:val="00495C18"/>
    <w:rsid w:val="00495CE2"/>
    <w:rsid w:val="00495D0E"/>
    <w:rsid w:val="00495DB6"/>
    <w:rsid w:val="00495E1E"/>
    <w:rsid w:val="00495E2C"/>
    <w:rsid w:val="00495F60"/>
    <w:rsid w:val="00496132"/>
    <w:rsid w:val="004961A6"/>
    <w:rsid w:val="004961B0"/>
    <w:rsid w:val="00496233"/>
    <w:rsid w:val="00496253"/>
    <w:rsid w:val="0049637F"/>
    <w:rsid w:val="004963B2"/>
    <w:rsid w:val="004963F7"/>
    <w:rsid w:val="0049647C"/>
    <w:rsid w:val="00496488"/>
    <w:rsid w:val="00496495"/>
    <w:rsid w:val="00496596"/>
    <w:rsid w:val="00496680"/>
    <w:rsid w:val="00496747"/>
    <w:rsid w:val="004967BF"/>
    <w:rsid w:val="004967DD"/>
    <w:rsid w:val="00496864"/>
    <w:rsid w:val="00496A6E"/>
    <w:rsid w:val="00496AAD"/>
    <w:rsid w:val="00496BE4"/>
    <w:rsid w:val="00496BF4"/>
    <w:rsid w:val="00496CC1"/>
    <w:rsid w:val="00496DF5"/>
    <w:rsid w:val="00496EDA"/>
    <w:rsid w:val="00496F4E"/>
    <w:rsid w:val="00496FBC"/>
    <w:rsid w:val="00496FD1"/>
    <w:rsid w:val="00497148"/>
    <w:rsid w:val="00497162"/>
    <w:rsid w:val="00497223"/>
    <w:rsid w:val="00497278"/>
    <w:rsid w:val="0049730E"/>
    <w:rsid w:val="00497312"/>
    <w:rsid w:val="00497326"/>
    <w:rsid w:val="00497401"/>
    <w:rsid w:val="00497425"/>
    <w:rsid w:val="004975F7"/>
    <w:rsid w:val="004976EE"/>
    <w:rsid w:val="00497729"/>
    <w:rsid w:val="00497767"/>
    <w:rsid w:val="0049785E"/>
    <w:rsid w:val="00497920"/>
    <w:rsid w:val="0049796C"/>
    <w:rsid w:val="004979E3"/>
    <w:rsid w:val="00497A01"/>
    <w:rsid w:val="00497A47"/>
    <w:rsid w:val="00497AB0"/>
    <w:rsid w:val="00497CE4"/>
    <w:rsid w:val="00497D07"/>
    <w:rsid w:val="00497D25"/>
    <w:rsid w:val="00497D7B"/>
    <w:rsid w:val="00497D7C"/>
    <w:rsid w:val="00497DA8"/>
    <w:rsid w:val="00497DC0"/>
    <w:rsid w:val="00497DD1"/>
    <w:rsid w:val="00497F69"/>
    <w:rsid w:val="004A0026"/>
    <w:rsid w:val="004A009B"/>
    <w:rsid w:val="004A0112"/>
    <w:rsid w:val="004A013F"/>
    <w:rsid w:val="004A0161"/>
    <w:rsid w:val="004A01AB"/>
    <w:rsid w:val="004A0208"/>
    <w:rsid w:val="004A0228"/>
    <w:rsid w:val="004A0247"/>
    <w:rsid w:val="004A0279"/>
    <w:rsid w:val="004A02FC"/>
    <w:rsid w:val="004A0402"/>
    <w:rsid w:val="004A043A"/>
    <w:rsid w:val="004A04AF"/>
    <w:rsid w:val="004A050E"/>
    <w:rsid w:val="004A05A6"/>
    <w:rsid w:val="004A05AC"/>
    <w:rsid w:val="004A06A1"/>
    <w:rsid w:val="004A06B6"/>
    <w:rsid w:val="004A090C"/>
    <w:rsid w:val="004A09B3"/>
    <w:rsid w:val="004A0A0A"/>
    <w:rsid w:val="004A0B3E"/>
    <w:rsid w:val="004A0BB2"/>
    <w:rsid w:val="004A0C3B"/>
    <w:rsid w:val="004A0C56"/>
    <w:rsid w:val="004A0D12"/>
    <w:rsid w:val="004A0FA6"/>
    <w:rsid w:val="004A0FB3"/>
    <w:rsid w:val="004A0FE2"/>
    <w:rsid w:val="004A1035"/>
    <w:rsid w:val="004A1195"/>
    <w:rsid w:val="004A11D7"/>
    <w:rsid w:val="004A12B2"/>
    <w:rsid w:val="004A1312"/>
    <w:rsid w:val="004A1370"/>
    <w:rsid w:val="004A141D"/>
    <w:rsid w:val="004A1485"/>
    <w:rsid w:val="004A14F4"/>
    <w:rsid w:val="004A1500"/>
    <w:rsid w:val="004A1501"/>
    <w:rsid w:val="004A1605"/>
    <w:rsid w:val="004A1629"/>
    <w:rsid w:val="004A16A3"/>
    <w:rsid w:val="004A16CE"/>
    <w:rsid w:val="004A1745"/>
    <w:rsid w:val="004A1879"/>
    <w:rsid w:val="004A18C9"/>
    <w:rsid w:val="004A194B"/>
    <w:rsid w:val="004A19C3"/>
    <w:rsid w:val="004A1A63"/>
    <w:rsid w:val="004A1ABA"/>
    <w:rsid w:val="004A1AF2"/>
    <w:rsid w:val="004A1B88"/>
    <w:rsid w:val="004A1CAA"/>
    <w:rsid w:val="004A1CD3"/>
    <w:rsid w:val="004A1CD6"/>
    <w:rsid w:val="004A1D4A"/>
    <w:rsid w:val="004A1D7B"/>
    <w:rsid w:val="004A1DC1"/>
    <w:rsid w:val="004A1DCB"/>
    <w:rsid w:val="004A1E1E"/>
    <w:rsid w:val="004A1E4E"/>
    <w:rsid w:val="004A1EC9"/>
    <w:rsid w:val="004A1FF0"/>
    <w:rsid w:val="004A203F"/>
    <w:rsid w:val="004A2112"/>
    <w:rsid w:val="004A21DE"/>
    <w:rsid w:val="004A2261"/>
    <w:rsid w:val="004A2294"/>
    <w:rsid w:val="004A22A6"/>
    <w:rsid w:val="004A2381"/>
    <w:rsid w:val="004A23D8"/>
    <w:rsid w:val="004A23E4"/>
    <w:rsid w:val="004A2446"/>
    <w:rsid w:val="004A24BB"/>
    <w:rsid w:val="004A24CD"/>
    <w:rsid w:val="004A2576"/>
    <w:rsid w:val="004A258C"/>
    <w:rsid w:val="004A25A2"/>
    <w:rsid w:val="004A26E0"/>
    <w:rsid w:val="004A27D0"/>
    <w:rsid w:val="004A284C"/>
    <w:rsid w:val="004A297A"/>
    <w:rsid w:val="004A29E9"/>
    <w:rsid w:val="004A2A73"/>
    <w:rsid w:val="004A2A83"/>
    <w:rsid w:val="004A2A8B"/>
    <w:rsid w:val="004A2A8D"/>
    <w:rsid w:val="004A2ADA"/>
    <w:rsid w:val="004A2B88"/>
    <w:rsid w:val="004A2C5F"/>
    <w:rsid w:val="004A2C90"/>
    <w:rsid w:val="004A2D2D"/>
    <w:rsid w:val="004A2DB4"/>
    <w:rsid w:val="004A2DF3"/>
    <w:rsid w:val="004A2E66"/>
    <w:rsid w:val="004A2EB3"/>
    <w:rsid w:val="004A2F86"/>
    <w:rsid w:val="004A30E7"/>
    <w:rsid w:val="004A313D"/>
    <w:rsid w:val="004A3239"/>
    <w:rsid w:val="004A32C4"/>
    <w:rsid w:val="004A331F"/>
    <w:rsid w:val="004A332A"/>
    <w:rsid w:val="004A3422"/>
    <w:rsid w:val="004A342A"/>
    <w:rsid w:val="004A3512"/>
    <w:rsid w:val="004A35D4"/>
    <w:rsid w:val="004A35DE"/>
    <w:rsid w:val="004A36D7"/>
    <w:rsid w:val="004A36FF"/>
    <w:rsid w:val="004A3780"/>
    <w:rsid w:val="004A3897"/>
    <w:rsid w:val="004A38B2"/>
    <w:rsid w:val="004A38D4"/>
    <w:rsid w:val="004A39F0"/>
    <w:rsid w:val="004A3B63"/>
    <w:rsid w:val="004A3BAE"/>
    <w:rsid w:val="004A3C29"/>
    <w:rsid w:val="004A3C81"/>
    <w:rsid w:val="004A3CC3"/>
    <w:rsid w:val="004A3CD8"/>
    <w:rsid w:val="004A3D55"/>
    <w:rsid w:val="004A3D56"/>
    <w:rsid w:val="004A3ED8"/>
    <w:rsid w:val="004A3FD9"/>
    <w:rsid w:val="004A41ED"/>
    <w:rsid w:val="004A4226"/>
    <w:rsid w:val="004A42B5"/>
    <w:rsid w:val="004A4330"/>
    <w:rsid w:val="004A43AE"/>
    <w:rsid w:val="004A440C"/>
    <w:rsid w:val="004A4448"/>
    <w:rsid w:val="004A445D"/>
    <w:rsid w:val="004A44A6"/>
    <w:rsid w:val="004A44C8"/>
    <w:rsid w:val="004A4508"/>
    <w:rsid w:val="004A45B4"/>
    <w:rsid w:val="004A45CB"/>
    <w:rsid w:val="004A4669"/>
    <w:rsid w:val="004A46E0"/>
    <w:rsid w:val="004A477C"/>
    <w:rsid w:val="004A47B7"/>
    <w:rsid w:val="004A47E8"/>
    <w:rsid w:val="004A4932"/>
    <w:rsid w:val="004A49B9"/>
    <w:rsid w:val="004A4A25"/>
    <w:rsid w:val="004A4A37"/>
    <w:rsid w:val="004A4B68"/>
    <w:rsid w:val="004A4B91"/>
    <w:rsid w:val="004A4BA2"/>
    <w:rsid w:val="004A4C99"/>
    <w:rsid w:val="004A4CC2"/>
    <w:rsid w:val="004A4D62"/>
    <w:rsid w:val="004A4DC8"/>
    <w:rsid w:val="004A4FCB"/>
    <w:rsid w:val="004A4FDB"/>
    <w:rsid w:val="004A4FFD"/>
    <w:rsid w:val="004A5071"/>
    <w:rsid w:val="004A513C"/>
    <w:rsid w:val="004A51AB"/>
    <w:rsid w:val="004A5208"/>
    <w:rsid w:val="004A5228"/>
    <w:rsid w:val="004A523E"/>
    <w:rsid w:val="004A5254"/>
    <w:rsid w:val="004A5278"/>
    <w:rsid w:val="004A52EB"/>
    <w:rsid w:val="004A5331"/>
    <w:rsid w:val="004A53E8"/>
    <w:rsid w:val="004A5546"/>
    <w:rsid w:val="004A56BA"/>
    <w:rsid w:val="004A573C"/>
    <w:rsid w:val="004A58A2"/>
    <w:rsid w:val="004A58C1"/>
    <w:rsid w:val="004A58C5"/>
    <w:rsid w:val="004A58FE"/>
    <w:rsid w:val="004A5975"/>
    <w:rsid w:val="004A5982"/>
    <w:rsid w:val="004A5A50"/>
    <w:rsid w:val="004A5A7D"/>
    <w:rsid w:val="004A5AF8"/>
    <w:rsid w:val="004A5BC3"/>
    <w:rsid w:val="004A5BF7"/>
    <w:rsid w:val="004A5C10"/>
    <w:rsid w:val="004A5D87"/>
    <w:rsid w:val="004A5DCB"/>
    <w:rsid w:val="004A5DEE"/>
    <w:rsid w:val="004A5E38"/>
    <w:rsid w:val="004A5ED3"/>
    <w:rsid w:val="004A5F64"/>
    <w:rsid w:val="004A6072"/>
    <w:rsid w:val="004A60AA"/>
    <w:rsid w:val="004A6126"/>
    <w:rsid w:val="004A6245"/>
    <w:rsid w:val="004A6329"/>
    <w:rsid w:val="004A634D"/>
    <w:rsid w:val="004A647C"/>
    <w:rsid w:val="004A64B0"/>
    <w:rsid w:val="004A64D3"/>
    <w:rsid w:val="004A654A"/>
    <w:rsid w:val="004A66AC"/>
    <w:rsid w:val="004A677C"/>
    <w:rsid w:val="004A6841"/>
    <w:rsid w:val="004A6856"/>
    <w:rsid w:val="004A69D5"/>
    <w:rsid w:val="004A6D3E"/>
    <w:rsid w:val="004A6DD1"/>
    <w:rsid w:val="004A6E16"/>
    <w:rsid w:val="004A6F28"/>
    <w:rsid w:val="004A6F33"/>
    <w:rsid w:val="004A6F64"/>
    <w:rsid w:val="004A6F71"/>
    <w:rsid w:val="004A7016"/>
    <w:rsid w:val="004A7066"/>
    <w:rsid w:val="004A7097"/>
    <w:rsid w:val="004A70D9"/>
    <w:rsid w:val="004A7189"/>
    <w:rsid w:val="004A720E"/>
    <w:rsid w:val="004A728B"/>
    <w:rsid w:val="004A72ED"/>
    <w:rsid w:val="004A72FD"/>
    <w:rsid w:val="004A72FF"/>
    <w:rsid w:val="004A73CE"/>
    <w:rsid w:val="004A73F3"/>
    <w:rsid w:val="004A75A5"/>
    <w:rsid w:val="004A75BD"/>
    <w:rsid w:val="004A76A1"/>
    <w:rsid w:val="004A76FC"/>
    <w:rsid w:val="004A77B9"/>
    <w:rsid w:val="004A7934"/>
    <w:rsid w:val="004A795C"/>
    <w:rsid w:val="004A79A7"/>
    <w:rsid w:val="004A79EC"/>
    <w:rsid w:val="004A7AA2"/>
    <w:rsid w:val="004A7B4D"/>
    <w:rsid w:val="004A7CC9"/>
    <w:rsid w:val="004A7DCF"/>
    <w:rsid w:val="004A7F7F"/>
    <w:rsid w:val="004A7FBD"/>
    <w:rsid w:val="004B003F"/>
    <w:rsid w:val="004B0109"/>
    <w:rsid w:val="004B0116"/>
    <w:rsid w:val="004B0136"/>
    <w:rsid w:val="004B02F4"/>
    <w:rsid w:val="004B03B1"/>
    <w:rsid w:val="004B03E3"/>
    <w:rsid w:val="004B04C9"/>
    <w:rsid w:val="004B0517"/>
    <w:rsid w:val="004B0522"/>
    <w:rsid w:val="004B0547"/>
    <w:rsid w:val="004B05D6"/>
    <w:rsid w:val="004B05E1"/>
    <w:rsid w:val="004B062A"/>
    <w:rsid w:val="004B07E2"/>
    <w:rsid w:val="004B085C"/>
    <w:rsid w:val="004B09E5"/>
    <w:rsid w:val="004B0A99"/>
    <w:rsid w:val="004B0B3B"/>
    <w:rsid w:val="004B0BA5"/>
    <w:rsid w:val="004B0BE5"/>
    <w:rsid w:val="004B0CA6"/>
    <w:rsid w:val="004B0D7F"/>
    <w:rsid w:val="004B0DD5"/>
    <w:rsid w:val="004B0E54"/>
    <w:rsid w:val="004B0EAE"/>
    <w:rsid w:val="004B103B"/>
    <w:rsid w:val="004B1120"/>
    <w:rsid w:val="004B1157"/>
    <w:rsid w:val="004B11AD"/>
    <w:rsid w:val="004B11B2"/>
    <w:rsid w:val="004B11BD"/>
    <w:rsid w:val="004B132E"/>
    <w:rsid w:val="004B133F"/>
    <w:rsid w:val="004B139C"/>
    <w:rsid w:val="004B142A"/>
    <w:rsid w:val="004B1450"/>
    <w:rsid w:val="004B1492"/>
    <w:rsid w:val="004B14A4"/>
    <w:rsid w:val="004B14FD"/>
    <w:rsid w:val="004B1546"/>
    <w:rsid w:val="004B1567"/>
    <w:rsid w:val="004B1590"/>
    <w:rsid w:val="004B1677"/>
    <w:rsid w:val="004B17DE"/>
    <w:rsid w:val="004B180E"/>
    <w:rsid w:val="004B1893"/>
    <w:rsid w:val="004B1904"/>
    <w:rsid w:val="004B1912"/>
    <w:rsid w:val="004B1976"/>
    <w:rsid w:val="004B19B3"/>
    <w:rsid w:val="004B1A68"/>
    <w:rsid w:val="004B1B41"/>
    <w:rsid w:val="004B1D92"/>
    <w:rsid w:val="004B1E4E"/>
    <w:rsid w:val="004B1EEA"/>
    <w:rsid w:val="004B1F1B"/>
    <w:rsid w:val="004B200E"/>
    <w:rsid w:val="004B20BD"/>
    <w:rsid w:val="004B212E"/>
    <w:rsid w:val="004B21CE"/>
    <w:rsid w:val="004B2200"/>
    <w:rsid w:val="004B2326"/>
    <w:rsid w:val="004B2339"/>
    <w:rsid w:val="004B239C"/>
    <w:rsid w:val="004B2443"/>
    <w:rsid w:val="004B2481"/>
    <w:rsid w:val="004B2558"/>
    <w:rsid w:val="004B25B4"/>
    <w:rsid w:val="004B25D0"/>
    <w:rsid w:val="004B2605"/>
    <w:rsid w:val="004B271F"/>
    <w:rsid w:val="004B277E"/>
    <w:rsid w:val="004B279B"/>
    <w:rsid w:val="004B27F9"/>
    <w:rsid w:val="004B293C"/>
    <w:rsid w:val="004B29BD"/>
    <w:rsid w:val="004B2A66"/>
    <w:rsid w:val="004B2AC7"/>
    <w:rsid w:val="004B2C2D"/>
    <w:rsid w:val="004B2D47"/>
    <w:rsid w:val="004B2D6E"/>
    <w:rsid w:val="004B2D8B"/>
    <w:rsid w:val="004B2DFE"/>
    <w:rsid w:val="004B2E0C"/>
    <w:rsid w:val="004B2F30"/>
    <w:rsid w:val="004B30E3"/>
    <w:rsid w:val="004B3158"/>
    <w:rsid w:val="004B3285"/>
    <w:rsid w:val="004B32CD"/>
    <w:rsid w:val="004B3352"/>
    <w:rsid w:val="004B336A"/>
    <w:rsid w:val="004B33E8"/>
    <w:rsid w:val="004B344D"/>
    <w:rsid w:val="004B351A"/>
    <w:rsid w:val="004B35EB"/>
    <w:rsid w:val="004B3642"/>
    <w:rsid w:val="004B3651"/>
    <w:rsid w:val="004B365E"/>
    <w:rsid w:val="004B36F3"/>
    <w:rsid w:val="004B372A"/>
    <w:rsid w:val="004B37CE"/>
    <w:rsid w:val="004B380D"/>
    <w:rsid w:val="004B381B"/>
    <w:rsid w:val="004B384E"/>
    <w:rsid w:val="004B386F"/>
    <w:rsid w:val="004B3874"/>
    <w:rsid w:val="004B389A"/>
    <w:rsid w:val="004B3931"/>
    <w:rsid w:val="004B3B67"/>
    <w:rsid w:val="004B3CEC"/>
    <w:rsid w:val="004B3CF8"/>
    <w:rsid w:val="004B3D0F"/>
    <w:rsid w:val="004B406B"/>
    <w:rsid w:val="004B414F"/>
    <w:rsid w:val="004B4177"/>
    <w:rsid w:val="004B42C7"/>
    <w:rsid w:val="004B42E4"/>
    <w:rsid w:val="004B430F"/>
    <w:rsid w:val="004B43EC"/>
    <w:rsid w:val="004B4473"/>
    <w:rsid w:val="004B449A"/>
    <w:rsid w:val="004B44B1"/>
    <w:rsid w:val="004B45A6"/>
    <w:rsid w:val="004B468B"/>
    <w:rsid w:val="004B4858"/>
    <w:rsid w:val="004B491E"/>
    <w:rsid w:val="004B4977"/>
    <w:rsid w:val="004B4982"/>
    <w:rsid w:val="004B49CE"/>
    <w:rsid w:val="004B4A14"/>
    <w:rsid w:val="004B4A7F"/>
    <w:rsid w:val="004B4AE5"/>
    <w:rsid w:val="004B4BD0"/>
    <w:rsid w:val="004B4D6E"/>
    <w:rsid w:val="004B4DDB"/>
    <w:rsid w:val="004B4DEB"/>
    <w:rsid w:val="004B4DF2"/>
    <w:rsid w:val="004B4E2E"/>
    <w:rsid w:val="004B4EB3"/>
    <w:rsid w:val="004B4EC9"/>
    <w:rsid w:val="004B4EF4"/>
    <w:rsid w:val="004B4F70"/>
    <w:rsid w:val="004B5010"/>
    <w:rsid w:val="004B5057"/>
    <w:rsid w:val="004B50B0"/>
    <w:rsid w:val="004B50CD"/>
    <w:rsid w:val="004B5129"/>
    <w:rsid w:val="004B513F"/>
    <w:rsid w:val="004B515E"/>
    <w:rsid w:val="004B52AE"/>
    <w:rsid w:val="004B53B1"/>
    <w:rsid w:val="004B54CA"/>
    <w:rsid w:val="004B54F2"/>
    <w:rsid w:val="004B5508"/>
    <w:rsid w:val="004B5553"/>
    <w:rsid w:val="004B55B2"/>
    <w:rsid w:val="004B55F6"/>
    <w:rsid w:val="004B5703"/>
    <w:rsid w:val="004B572C"/>
    <w:rsid w:val="004B5734"/>
    <w:rsid w:val="004B5791"/>
    <w:rsid w:val="004B579C"/>
    <w:rsid w:val="004B57AD"/>
    <w:rsid w:val="004B57C5"/>
    <w:rsid w:val="004B5830"/>
    <w:rsid w:val="004B58B8"/>
    <w:rsid w:val="004B5994"/>
    <w:rsid w:val="004B5B02"/>
    <w:rsid w:val="004B5B0E"/>
    <w:rsid w:val="004B5BC3"/>
    <w:rsid w:val="004B5BDE"/>
    <w:rsid w:val="004B5E13"/>
    <w:rsid w:val="004B5E68"/>
    <w:rsid w:val="004B5F57"/>
    <w:rsid w:val="004B602D"/>
    <w:rsid w:val="004B6071"/>
    <w:rsid w:val="004B6174"/>
    <w:rsid w:val="004B61C3"/>
    <w:rsid w:val="004B626D"/>
    <w:rsid w:val="004B626F"/>
    <w:rsid w:val="004B62BE"/>
    <w:rsid w:val="004B6302"/>
    <w:rsid w:val="004B6343"/>
    <w:rsid w:val="004B63E3"/>
    <w:rsid w:val="004B642A"/>
    <w:rsid w:val="004B643D"/>
    <w:rsid w:val="004B6472"/>
    <w:rsid w:val="004B649E"/>
    <w:rsid w:val="004B654F"/>
    <w:rsid w:val="004B68C1"/>
    <w:rsid w:val="004B68EB"/>
    <w:rsid w:val="004B6997"/>
    <w:rsid w:val="004B69E2"/>
    <w:rsid w:val="004B6ABD"/>
    <w:rsid w:val="004B6B87"/>
    <w:rsid w:val="004B6B9C"/>
    <w:rsid w:val="004B6BB2"/>
    <w:rsid w:val="004B6C4A"/>
    <w:rsid w:val="004B6C5D"/>
    <w:rsid w:val="004B6CC6"/>
    <w:rsid w:val="004B6D23"/>
    <w:rsid w:val="004B6E0F"/>
    <w:rsid w:val="004B6EA5"/>
    <w:rsid w:val="004B6F8E"/>
    <w:rsid w:val="004B6FE5"/>
    <w:rsid w:val="004B709F"/>
    <w:rsid w:val="004B70AE"/>
    <w:rsid w:val="004B7172"/>
    <w:rsid w:val="004B734B"/>
    <w:rsid w:val="004B7362"/>
    <w:rsid w:val="004B7364"/>
    <w:rsid w:val="004B73AD"/>
    <w:rsid w:val="004B74E9"/>
    <w:rsid w:val="004B7507"/>
    <w:rsid w:val="004B7596"/>
    <w:rsid w:val="004B76AC"/>
    <w:rsid w:val="004B76DA"/>
    <w:rsid w:val="004B775C"/>
    <w:rsid w:val="004B77E1"/>
    <w:rsid w:val="004B7829"/>
    <w:rsid w:val="004B788E"/>
    <w:rsid w:val="004B7A78"/>
    <w:rsid w:val="004B7B64"/>
    <w:rsid w:val="004B7BAA"/>
    <w:rsid w:val="004B7BDB"/>
    <w:rsid w:val="004B7C7A"/>
    <w:rsid w:val="004B7D6A"/>
    <w:rsid w:val="004B7DDF"/>
    <w:rsid w:val="004B7E55"/>
    <w:rsid w:val="004C0069"/>
    <w:rsid w:val="004C0287"/>
    <w:rsid w:val="004C041B"/>
    <w:rsid w:val="004C042D"/>
    <w:rsid w:val="004C04EC"/>
    <w:rsid w:val="004C055F"/>
    <w:rsid w:val="004C05B8"/>
    <w:rsid w:val="004C05C7"/>
    <w:rsid w:val="004C06A0"/>
    <w:rsid w:val="004C06B8"/>
    <w:rsid w:val="004C06E1"/>
    <w:rsid w:val="004C0816"/>
    <w:rsid w:val="004C087F"/>
    <w:rsid w:val="004C0AFC"/>
    <w:rsid w:val="004C0B04"/>
    <w:rsid w:val="004C0B0D"/>
    <w:rsid w:val="004C0B94"/>
    <w:rsid w:val="004C0BBE"/>
    <w:rsid w:val="004C0CA7"/>
    <w:rsid w:val="004C0CCE"/>
    <w:rsid w:val="004C0CFF"/>
    <w:rsid w:val="004C0D58"/>
    <w:rsid w:val="004C0DF5"/>
    <w:rsid w:val="004C0E8A"/>
    <w:rsid w:val="004C1000"/>
    <w:rsid w:val="004C110C"/>
    <w:rsid w:val="004C1130"/>
    <w:rsid w:val="004C1163"/>
    <w:rsid w:val="004C11BF"/>
    <w:rsid w:val="004C12BE"/>
    <w:rsid w:val="004C136F"/>
    <w:rsid w:val="004C13E0"/>
    <w:rsid w:val="004C1580"/>
    <w:rsid w:val="004C159F"/>
    <w:rsid w:val="004C15A1"/>
    <w:rsid w:val="004C15D4"/>
    <w:rsid w:val="004C1640"/>
    <w:rsid w:val="004C167A"/>
    <w:rsid w:val="004C17E8"/>
    <w:rsid w:val="004C1885"/>
    <w:rsid w:val="004C18E0"/>
    <w:rsid w:val="004C1A40"/>
    <w:rsid w:val="004C1A9C"/>
    <w:rsid w:val="004C1B21"/>
    <w:rsid w:val="004C1B7D"/>
    <w:rsid w:val="004C1B8D"/>
    <w:rsid w:val="004C1BA5"/>
    <w:rsid w:val="004C1BA6"/>
    <w:rsid w:val="004C1BFB"/>
    <w:rsid w:val="004C1C60"/>
    <w:rsid w:val="004C1CDD"/>
    <w:rsid w:val="004C1F59"/>
    <w:rsid w:val="004C1FA6"/>
    <w:rsid w:val="004C1FE0"/>
    <w:rsid w:val="004C200E"/>
    <w:rsid w:val="004C212B"/>
    <w:rsid w:val="004C215E"/>
    <w:rsid w:val="004C225E"/>
    <w:rsid w:val="004C2297"/>
    <w:rsid w:val="004C22CD"/>
    <w:rsid w:val="004C22EE"/>
    <w:rsid w:val="004C2394"/>
    <w:rsid w:val="004C23CE"/>
    <w:rsid w:val="004C244D"/>
    <w:rsid w:val="004C24C8"/>
    <w:rsid w:val="004C254E"/>
    <w:rsid w:val="004C2691"/>
    <w:rsid w:val="004C26AE"/>
    <w:rsid w:val="004C273A"/>
    <w:rsid w:val="004C2744"/>
    <w:rsid w:val="004C2763"/>
    <w:rsid w:val="004C27CD"/>
    <w:rsid w:val="004C27CE"/>
    <w:rsid w:val="004C28AF"/>
    <w:rsid w:val="004C28EF"/>
    <w:rsid w:val="004C28F7"/>
    <w:rsid w:val="004C291A"/>
    <w:rsid w:val="004C29DB"/>
    <w:rsid w:val="004C2A5C"/>
    <w:rsid w:val="004C2B14"/>
    <w:rsid w:val="004C2C51"/>
    <w:rsid w:val="004C2C58"/>
    <w:rsid w:val="004C2C8F"/>
    <w:rsid w:val="004C2F08"/>
    <w:rsid w:val="004C2F09"/>
    <w:rsid w:val="004C3033"/>
    <w:rsid w:val="004C3084"/>
    <w:rsid w:val="004C3123"/>
    <w:rsid w:val="004C3171"/>
    <w:rsid w:val="004C31B1"/>
    <w:rsid w:val="004C32E4"/>
    <w:rsid w:val="004C356D"/>
    <w:rsid w:val="004C35D1"/>
    <w:rsid w:val="004C3690"/>
    <w:rsid w:val="004C36BE"/>
    <w:rsid w:val="004C3737"/>
    <w:rsid w:val="004C377A"/>
    <w:rsid w:val="004C37B2"/>
    <w:rsid w:val="004C393F"/>
    <w:rsid w:val="004C3A54"/>
    <w:rsid w:val="004C3B5A"/>
    <w:rsid w:val="004C3C5D"/>
    <w:rsid w:val="004C3D89"/>
    <w:rsid w:val="004C3DE5"/>
    <w:rsid w:val="004C3ECA"/>
    <w:rsid w:val="004C3F06"/>
    <w:rsid w:val="004C3F6A"/>
    <w:rsid w:val="004C3FCE"/>
    <w:rsid w:val="004C4004"/>
    <w:rsid w:val="004C41F6"/>
    <w:rsid w:val="004C4243"/>
    <w:rsid w:val="004C42AD"/>
    <w:rsid w:val="004C42D6"/>
    <w:rsid w:val="004C434A"/>
    <w:rsid w:val="004C4362"/>
    <w:rsid w:val="004C43C7"/>
    <w:rsid w:val="004C444E"/>
    <w:rsid w:val="004C449B"/>
    <w:rsid w:val="004C4500"/>
    <w:rsid w:val="004C4554"/>
    <w:rsid w:val="004C47A2"/>
    <w:rsid w:val="004C47CF"/>
    <w:rsid w:val="004C48F9"/>
    <w:rsid w:val="004C4905"/>
    <w:rsid w:val="004C494E"/>
    <w:rsid w:val="004C4953"/>
    <w:rsid w:val="004C49CE"/>
    <w:rsid w:val="004C4A97"/>
    <w:rsid w:val="004C4B22"/>
    <w:rsid w:val="004C4CD2"/>
    <w:rsid w:val="004C4D21"/>
    <w:rsid w:val="004C4D56"/>
    <w:rsid w:val="004C4E08"/>
    <w:rsid w:val="004C4E18"/>
    <w:rsid w:val="004C4E40"/>
    <w:rsid w:val="004C4E84"/>
    <w:rsid w:val="004C4F6D"/>
    <w:rsid w:val="004C5049"/>
    <w:rsid w:val="004C5157"/>
    <w:rsid w:val="004C51AC"/>
    <w:rsid w:val="004C51E7"/>
    <w:rsid w:val="004C52B7"/>
    <w:rsid w:val="004C52F3"/>
    <w:rsid w:val="004C5409"/>
    <w:rsid w:val="004C546D"/>
    <w:rsid w:val="004C549F"/>
    <w:rsid w:val="004C5520"/>
    <w:rsid w:val="004C5528"/>
    <w:rsid w:val="004C5556"/>
    <w:rsid w:val="004C5566"/>
    <w:rsid w:val="004C5725"/>
    <w:rsid w:val="004C57C1"/>
    <w:rsid w:val="004C5880"/>
    <w:rsid w:val="004C59DB"/>
    <w:rsid w:val="004C5A3B"/>
    <w:rsid w:val="004C5A5D"/>
    <w:rsid w:val="004C5AD1"/>
    <w:rsid w:val="004C5B0C"/>
    <w:rsid w:val="004C5BC9"/>
    <w:rsid w:val="004C5BD6"/>
    <w:rsid w:val="004C5C0A"/>
    <w:rsid w:val="004C5C71"/>
    <w:rsid w:val="004C5E59"/>
    <w:rsid w:val="004C5E5F"/>
    <w:rsid w:val="004C5F84"/>
    <w:rsid w:val="004C5F85"/>
    <w:rsid w:val="004C5FE0"/>
    <w:rsid w:val="004C5FE2"/>
    <w:rsid w:val="004C6081"/>
    <w:rsid w:val="004C608F"/>
    <w:rsid w:val="004C60DB"/>
    <w:rsid w:val="004C619A"/>
    <w:rsid w:val="004C61DA"/>
    <w:rsid w:val="004C6284"/>
    <w:rsid w:val="004C62CE"/>
    <w:rsid w:val="004C636E"/>
    <w:rsid w:val="004C64B7"/>
    <w:rsid w:val="004C672D"/>
    <w:rsid w:val="004C67A7"/>
    <w:rsid w:val="004C6872"/>
    <w:rsid w:val="004C68F1"/>
    <w:rsid w:val="004C6939"/>
    <w:rsid w:val="004C69DC"/>
    <w:rsid w:val="004C6B82"/>
    <w:rsid w:val="004C6BB2"/>
    <w:rsid w:val="004C6C05"/>
    <w:rsid w:val="004C6CF1"/>
    <w:rsid w:val="004C6CFA"/>
    <w:rsid w:val="004C6D75"/>
    <w:rsid w:val="004C6DAC"/>
    <w:rsid w:val="004C6DF6"/>
    <w:rsid w:val="004C6E0D"/>
    <w:rsid w:val="004C6E67"/>
    <w:rsid w:val="004C6EAF"/>
    <w:rsid w:val="004C6F11"/>
    <w:rsid w:val="004C6F6D"/>
    <w:rsid w:val="004C70C1"/>
    <w:rsid w:val="004C70DE"/>
    <w:rsid w:val="004C7141"/>
    <w:rsid w:val="004C717F"/>
    <w:rsid w:val="004C71B0"/>
    <w:rsid w:val="004C725A"/>
    <w:rsid w:val="004C7349"/>
    <w:rsid w:val="004C7364"/>
    <w:rsid w:val="004C73B3"/>
    <w:rsid w:val="004C7439"/>
    <w:rsid w:val="004C752E"/>
    <w:rsid w:val="004C75B4"/>
    <w:rsid w:val="004C7753"/>
    <w:rsid w:val="004C77A6"/>
    <w:rsid w:val="004C78D6"/>
    <w:rsid w:val="004C798D"/>
    <w:rsid w:val="004C79CF"/>
    <w:rsid w:val="004C79FD"/>
    <w:rsid w:val="004C7A16"/>
    <w:rsid w:val="004C7BBD"/>
    <w:rsid w:val="004C7CE7"/>
    <w:rsid w:val="004C7CFA"/>
    <w:rsid w:val="004C7D5F"/>
    <w:rsid w:val="004C7D73"/>
    <w:rsid w:val="004C7E04"/>
    <w:rsid w:val="004C7E15"/>
    <w:rsid w:val="004C7E4D"/>
    <w:rsid w:val="004C7F21"/>
    <w:rsid w:val="004C7F29"/>
    <w:rsid w:val="004C7F6A"/>
    <w:rsid w:val="004D002D"/>
    <w:rsid w:val="004D00AE"/>
    <w:rsid w:val="004D0165"/>
    <w:rsid w:val="004D0183"/>
    <w:rsid w:val="004D02AE"/>
    <w:rsid w:val="004D02E7"/>
    <w:rsid w:val="004D0544"/>
    <w:rsid w:val="004D0646"/>
    <w:rsid w:val="004D072E"/>
    <w:rsid w:val="004D075F"/>
    <w:rsid w:val="004D0764"/>
    <w:rsid w:val="004D07B7"/>
    <w:rsid w:val="004D08BB"/>
    <w:rsid w:val="004D09BE"/>
    <w:rsid w:val="004D0AE9"/>
    <w:rsid w:val="004D0B6D"/>
    <w:rsid w:val="004D0B9C"/>
    <w:rsid w:val="004D0BD0"/>
    <w:rsid w:val="004D0C56"/>
    <w:rsid w:val="004D0CC9"/>
    <w:rsid w:val="004D0D70"/>
    <w:rsid w:val="004D0E9E"/>
    <w:rsid w:val="004D0EA6"/>
    <w:rsid w:val="004D0EB2"/>
    <w:rsid w:val="004D0EBC"/>
    <w:rsid w:val="004D0EDF"/>
    <w:rsid w:val="004D0FCD"/>
    <w:rsid w:val="004D10A7"/>
    <w:rsid w:val="004D1127"/>
    <w:rsid w:val="004D113C"/>
    <w:rsid w:val="004D11B7"/>
    <w:rsid w:val="004D11F8"/>
    <w:rsid w:val="004D122B"/>
    <w:rsid w:val="004D127D"/>
    <w:rsid w:val="004D12FB"/>
    <w:rsid w:val="004D13C2"/>
    <w:rsid w:val="004D159E"/>
    <w:rsid w:val="004D164C"/>
    <w:rsid w:val="004D164D"/>
    <w:rsid w:val="004D167B"/>
    <w:rsid w:val="004D16D0"/>
    <w:rsid w:val="004D1763"/>
    <w:rsid w:val="004D1772"/>
    <w:rsid w:val="004D17A2"/>
    <w:rsid w:val="004D1801"/>
    <w:rsid w:val="004D181F"/>
    <w:rsid w:val="004D183D"/>
    <w:rsid w:val="004D185C"/>
    <w:rsid w:val="004D1871"/>
    <w:rsid w:val="004D192D"/>
    <w:rsid w:val="004D1978"/>
    <w:rsid w:val="004D1A6B"/>
    <w:rsid w:val="004D1AA2"/>
    <w:rsid w:val="004D1AAA"/>
    <w:rsid w:val="004D1AC0"/>
    <w:rsid w:val="004D1B9E"/>
    <w:rsid w:val="004D1D43"/>
    <w:rsid w:val="004D1D6B"/>
    <w:rsid w:val="004D1E04"/>
    <w:rsid w:val="004D1E90"/>
    <w:rsid w:val="004D1EBF"/>
    <w:rsid w:val="004D2049"/>
    <w:rsid w:val="004D212E"/>
    <w:rsid w:val="004D2283"/>
    <w:rsid w:val="004D22BA"/>
    <w:rsid w:val="004D22D2"/>
    <w:rsid w:val="004D2313"/>
    <w:rsid w:val="004D2452"/>
    <w:rsid w:val="004D2462"/>
    <w:rsid w:val="004D24A7"/>
    <w:rsid w:val="004D258B"/>
    <w:rsid w:val="004D2660"/>
    <w:rsid w:val="004D268C"/>
    <w:rsid w:val="004D26B9"/>
    <w:rsid w:val="004D272C"/>
    <w:rsid w:val="004D278B"/>
    <w:rsid w:val="004D27C8"/>
    <w:rsid w:val="004D280E"/>
    <w:rsid w:val="004D2835"/>
    <w:rsid w:val="004D28A8"/>
    <w:rsid w:val="004D293D"/>
    <w:rsid w:val="004D2A10"/>
    <w:rsid w:val="004D2A5B"/>
    <w:rsid w:val="004D2BE0"/>
    <w:rsid w:val="004D2CCE"/>
    <w:rsid w:val="004D2D0A"/>
    <w:rsid w:val="004D2E5D"/>
    <w:rsid w:val="004D3047"/>
    <w:rsid w:val="004D3056"/>
    <w:rsid w:val="004D3215"/>
    <w:rsid w:val="004D32A4"/>
    <w:rsid w:val="004D3365"/>
    <w:rsid w:val="004D33DC"/>
    <w:rsid w:val="004D3437"/>
    <w:rsid w:val="004D3440"/>
    <w:rsid w:val="004D3481"/>
    <w:rsid w:val="004D3567"/>
    <w:rsid w:val="004D3577"/>
    <w:rsid w:val="004D35EA"/>
    <w:rsid w:val="004D3626"/>
    <w:rsid w:val="004D376D"/>
    <w:rsid w:val="004D37A5"/>
    <w:rsid w:val="004D3831"/>
    <w:rsid w:val="004D38C4"/>
    <w:rsid w:val="004D3969"/>
    <w:rsid w:val="004D39BC"/>
    <w:rsid w:val="004D39D6"/>
    <w:rsid w:val="004D3A41"/>
    <w:rsid w:val="004D3A52"/>
    <w:rsid w:val="004D3AD9"/>
    <w:rsid w:val="004D3AE4"/>
    <w:rsid w:val="004D3AEB"/>
    <w:rsid w:val="004D3B71"/>
    <w:rsid w:val="004D3B99"/>
    <w:rsid w:val="004D3B9D"/>
    <w:rsid w:val="004D3BE3"/>
    <w:rsid w:val="004D3C39"/>
    <w:rsid w:val="004D3C73"/>
    <w:rsid w:val="004D3CC4"/>
    <w:rsid w:val="004D3D0E"/>
    <w:rsid w:val="004D3D3A"/>
    <w:rsid w:val="004D3E64"/>
    <w:rsid w:val="004D3F09"/>
    <w:rsid w:val="004D3F93"/>
    <w:rsid w:val="004D3F94"/>
    <w:rsid w:val="004D3FFF"/>
    <w:rsid w:val="004D4072"/>
    <w:rsid w:val="004D40E0"/>
    <w:rsid w:val="004D40E5"/>
    <w:rsid w:val="004D4255"/>
    <w:rsid w:val="004D42E0"/>
    <w:rsid w:val="004D44C8"/>
    <w:rsid w:val="004D44F8"/>
    <w:rsid w:val="004D4555"/>
    <w:rsid w:val="004D4563"/>
    <w:rsid w:val="004D45EC"/>
    <w:rsid w:val="004D46AF"/>
    <w:rsid w:val="004D4765"/>
    <w:rsid w:val="004D4768"/>
    <w:rsid w:val="004D4A1C"/>
    <w:rsid w:val="004D4A2D"/>
    <w:rsid w:val="004D4A58"/>
    <w:rsid w:val="004D4E2C"/>
    <w:rsid w:val="004D4E2E"/>
    <w:rsid w:val="004D4ED1"/>
    <w:rsid w:val="004D5071"/>
    <w:rsid w:val="004D509F"/>
    <w:rsid w:val="004D50C0"/>
    <w:rsid w:val="004D51CF"/>
    <w:rsid w:val="004D531F"/>
    <w:rsid w:val="004D5331"/>
    <w:rsid w:val="004D5397"/>
    <w:rsid w:val="004D53B4"/>
    <w:rsid w:val="004D53BE"/>
    <w:rsid w:val="004D548D"/>
    <w:rsid w:val="004D54B6"/>
    <w:rsid w:val="004D551E"/>
    <w:rsid w:val="004D58EA"/>
    <w:rsid w:val="004D5A1F"/>
    <w:rsid w:val="004D5A45"/>
    <w:rsid w:val="004D5A48"/>
    <w:rsid w:val="004D5A56"/>
    <w:rsid w:val="004D5AB2"/>
    <w:rsid w:val="004D5B52"/>
    <w:rsid w:val="004D5C7C"/>
    <w:rsid w:val="004D5C7D"/>
    <w:rsid w:val="004D5E51"/>
    <w:rsid w:val="004D5E69"/>
    <w:rsid w:val="004D5E71"/>
    <w:rsid w:val="004D6040"/>
    <w:rsid w:val="004D6053"/>
    <w:rsid w:val="004D60E4"/>
    <w:rsid w:val="004D6102"/>
    <w:rsid w:val="004D61D9"/>
    <w:rsid w:val="004D6228"/>
    <w:rsid w:val="004D6250"/>
    <w:rsid w:val="004D636B"/>
    <w:rsid w:val="004D6405"/>
    <w:rsid w:val="004D6439"/>
    <w:rsid w:val="004D645C"/>
    <w:rsid w:val="004D647D"/>
    <w:rsid w:val="004D6549"/>
    <w:rsid w:val="004D656A"/>
    <w:rsid w:val="004D65AA"/>
    <w:rsid w:val="004D6661"/>
    <w:rsid w:val="004D6670"/>
    <w:rsid w:val="004D6874"/>
    <w:rsid w:val="004D68DB"/>
    <w:rsid w:val="004D697C"/>
    <w:rsid w:val="004D699C"/>
    <w:rsid w:val="004D6A04"/>
    <w:rsid w:val="004D6AE3"/>
    <w:rsid w:val="004D6B19"/>
    <w:rsid w:val="004D6B22"/>
    <w:rsid w:val="004D6B43"/>
    <w:rsid w:val="004D6B71"/>
    <w:rsid w:val="004D6C07"/>
    <w:rsid w:val="004D6C2F"/>
    <w:rsid w:val="004D6C33"/>
    <w:rsid w:val="004D6C36"/>
    <w:rsid w:val="004D6CAB"/>
    <w:rsid w:val="004D6CE3"/>
    <w:rsid w:val="004D6D39"/>
    <w:rsid w:val="004D6D65"/>
    <w:rsid w:val="004D6DDD"/>
    <w:rsid w:val="004D6E8C"/>
    <w:rsid w:val="004D6F7E"/>
    <w:rsid w:val="004D7055"/>
    <w:rsid w:val="004D70EE"/>
    <w:rsid w:val="004D7102"/>
    <w:rsid w:val="004D7148"/>
    <w:rsid w:val="004D71EB"/>
    <w:rsid w:val="004D7306"/>
    <w:rsid w:val="004D733D"/>
    <w:rsid w:val="004D73E0"/>
    <w:rsid w:val="004D73E8"/>
    <w:rsid w:val="004D7451"/>
    <w:rsid w:val="004D76FD"/>
    <w:rsid w:val="004D7718"/>
    <w:rsid w:val="004D7734"/>
    <w:rsid w:val="004D7746"/>
    <w:rsid w:val="004D7795"/>
    <w:rsid w:val="004D785E"/>
    <w:rsid w:val="004D787A"/>
    <w:rsid w:val="004D79DA"/>
    <w:rsid w:val="004D7A03"/>
    <w:rsid w:val="004D7A70"/>
    <w:rsid w:val="004D7BFA"/>
    <w:rsid w:val="004D7C40"/>
    <w:rsid w:val="004D7CB5"/>
    <w:rsid w:val="004D7EA4"/>
    <w:rsid w:val="004D7ED0"/>
    <w:rsid w:val="004D7ED5"/>
    <w:rsid w:val="004D7EE7"/>
    <w:rsid w:val="004D7F91"/>
    <w:rsid w:val="004E00D4"/>
    <w:rsid w:val="004E0144"/>
    <w:rsid w:val="004E014A"/>
    <w:rsid w:val="004E01A0"/>
    <w:rsid w:val="004E01CD"/>
    <w:rsid w:val="004E027B"/>
    <w:rsid w:val="004E02CE"/>
    <w:rsid w:val="004E0332"/>
    <w:rsid w:val="004E03F7"/>
    <w:rsid w:val="004E050F"/>
    <w:rsid w:val="004E0515"/>
    <w:rsid w:val="004E05EF"/>
    <w:rsid w:val="004E063D"/>
    <w:rsid w:val="004E064D"/>
    <w:rsid w:val="004E065B"/>
    <w:rsid w:val="004E066D"/>
    <w:rsid w:val="004E0691"/>
    <w:rsid w:val="004E070E"/>
    <w:rsid w:val="004E072C"/>
    <w:rsid w:val="004E07F7"/>
    <w:rsid w:val="004E0891"/>
    <w:rsid w:val="004E091D"/>
    <w:rsid w:val="004E0930"/>
    <w:rsid w:val="004E09AA"/>
    <w:rsid w:val="004E09F4"/>
    <w:rsid w:val="004E0A1F"/>
    <w:rsid w:val="004E0A26"/>
    <w:rsid w:val="004E0A37"/>
    <w:rsid w:val="004E0D4D"/>
    <w:rsid w:val="004E0E07"/>
    <w:rsid w:val="004E0EF6"/>
    <w:rsid w:val="004E0F29"/>
    <w:rsid w:val="004E0F3B"/>
    <w:rsid w:val="004E0FCF"/>
    <w:rsid w:val="004E0FE1"/>
    <w:rsid w:val="004E1183"/>
    <w:rsid w:val="004E120D"/>
    <w:rsid w:val="004E12AA"/>
    <w:rsid w:val="004E13B8"/>
    <w:rsid w:val="004E146A"/>
    <w:rsid w:val="004E16C8"/>
    <w:rsid w:val="004E175E"/>
    <w:rsid w:val="004E175F"/>
    <w:rsid w:val="004E17BD"/>
    <w:rsid w:val="004E17D3"/>
    <w:rsid w:val="004E1893"/>
    <w:rsid w:val="004E18B9"/>
    <w:rsid w:val="004E19A3"/>
    <w:rsid w:val="004E19B1"/>
    <w:rsid w:val="004E19CF"/>
    <w:rsid w:val="004E1A9A"/>
    <w:rsid w:val="004E1B15"/>
    <w:rsid w:val="004E1B21"/>
    <w:rsid w:val="004E1B35"/>
    <w:rsid w:val="004E1B79"/>
    <w:rsid w:val="004E1BE9"/>
    <w:rsid w:val="004E1D54"/>
    <w:rsid w:val="004E1D6C"/>
    <w:rsid w:val="004E1DDA"/>
    <w:rsid w:val="004E1E30"/>
    <w:rsid w:val="004E1FEA"/>
    <w:rsid w:val="004E20D4"/>
    <w:rsid w:val="004E2182"/>
    <w:rsid w:val="004E2241"/>
    <w:rsid w:val="004E2258"/>
    <w:rsid w:val="004E248C"/>
    <w:rsid w:val="004E24F8"/>
    <w:rsid w:val="004E2691"/>
    <w:rsid w:val="004E2780"/>
    <w:rsid w:val="004E2834"/>
    <w:rsid w:val="004E2891"/>
    <w:rsid w:val="004E2975"/>
    <w:rsid w:val="004E2A3A"/>
    <w:rsid w:val="004E2BB8"/>
    <w:rsid w:val="004E2C4E"/>
    <w:rsid w:val="004E2D46"/>
    <w:rsid w:val="004E2E3C"/>
    <w:rsid w:val="004E2E50"/>
    <w:rsid w:val="004E2E82"/>
    <w:rsid w:val="004E2F45"/>
    <w:rsid w:val="004E2F8C"/>
    <w:rsid w:val="004E2FA8"/>
    <w:rsid w:val="004E2FDF"/>
    <w:rsid w:val="004E30F9"/>
    <w:rsid w:val="004E3148"/>
    <w:rsid w:val="004E3181"/>
    <w:rsid w:val="004E31C4"/>
    <w:rsid w:val="004E330C"/>
    <w:rsid w:val="004E3361"/>
    <w:rsid w:val="004E33B9"/>
    <w:rsid w:val="004E340D"/>
    <w:rsid w:val="004E3459"/>
    <w:rsid w:val="004E36C1"/>
    <w:rsid w:val="004E36F7"/>
    <w:rsid w:val="004E3789"/>
    <w:rsid w:val="004E3797"/>
    <w:rsid w:val="004E3846"/>
    <w:rsid w:val="004E38FF"/>
    <w:rsid w:val="004E3944"/>
    <w:rsid w:val="004E3A9E"/>
    <w:rsid w:val="004E3AAD"/>
    <w:rsid w:val="004E3B69"/>
    <w:rsid w:val="004E3B99"/>
    <w:rsid w:val="004E3BC5"/>
    <w:rsid w:val="004E3BD4"/>
    <w:rsid w:val="004E3BE0"/>
    <w:rsid w:val="004E3C7D"/>
    <w:rsid w:val="004E3CE2"/>
    <w:rsid w:val="004E3DEC"/>
    <w:rsid w:val="004E3EE3"/>
    <w:rsid w:val="004E3FA2"/>
    <w:rsid w:val="004E3FCE"/>
    <w:rsid w:val="004E3FD6"/>
    <w:rsid w:val="004E3FE5"/>
    <w:rsid w:val="004E4076"/>
    <w:rsid w:val="004E40E6"/>
    <w:rsid w:val="004E4235"/>
    <w:rsid w:val="004E423A"/>
    <w:rsid w:val="004E42E8"/>
    <w:rsid w:val="004E435D"/>
    <w:rsid w:val="004E4374"/>
    <w:rsid w:val="004E4582"/>
    <w:rsid w:val="004E45A1"/>
    <w:rsid w:val="004E4615"/>
    <w:rsid w:val="004E46AF"/>
    <w:rsid w:val="004E46FA"/>
    <w:rsid w:val="004E4768"/>
    <w:rsid w:val="004E4796"/>
    <w:rsid w:val="004E47A6"/>
    <w:rsid w:val="004E486D"/>
    <w:rsid w:val="004E499F"/>
    <w:rsid w:val="004E49AF"/>
    <w:rsid w:val="004E4B40"/>
    <w:rsid w:val="004E4B75"/>
    <w:rsid w:val="004E4BA7"/>
    <w:rsid w:val="004E4BB8"/>
    <w:rsid w:val="004E4BC6"/>
    <w:rsid w:val="004E4C91"/>
    <w:rsid w:val="004E4CDF"/>
    <w:rsid w:val="004E4CEC"/>
    <w:rsid w:val="004E4CFC"/>
    <w:rsid w:val="004E4D8E"/>
    <w:rsid w:val="004E4D91"/>
    <w:rsid w:val="004E4F0D"/>
    <w:rsid w:val="004E4F66"/>
    <w:rsid w:val="004E504D"/>
    <w:rsid w:val="004E5165"/>
    <w:rsid w:val="004E537D"/>
    <w:rsid w:val="004E5393"/>
    <w:rsid w:val="004E552A"/>
    <w:rsid w:val="004E55CB"/>
    <w:rsid w:val="004E5618"/>
    <w:rsid w:val="004E5623"/>
    <w:rsid w:val="004E56DE"/>
    <w:rsid w:val="004E56FB"/>
    <w:rsid w:val="004E57D9"/>
    <w:rsid w:val="004E58E5"/>
    <w:rsid w:val="004E59F5"/>
    <w:rsid w:val="004E5A91"/>
    <w:rsid w:val="004E5ACF"/>
    <w:rsid w:val="004E5CE3"/>
    <w:rsid w:val="004E5D13"/>
    <w:rsid w:val="004E5E93"/>
    <w:rsid w:val="004E6002"/>
    <w:rsid w:val="004E6044"/>
    <w:rsid w:val="004E60E6"/>
    <w:rsid w:val="004E6110"/>
    <w:rsid w:val="004E6323"/>
    <w:rsid w:val="004E6326"/>
    <w:rsid w:val="004E63AB"/>
    <w:rsid w:val="004E6597"/>
    <w:rsid w:val="004E669D"/>
    <w:rsid w:val="004E6810"/>
    <w:rsid w:val="004E682F"/>
    <w:rsid w:val="004E6989"/>
    <w:rsid w:val="004E6993"/>
    <w:rsid w:val="004E6B0B"/>
    <w:rsid w:val="004E6B80"/>
    <w:rsid w:val="004E6B89"/>
    <w:rsid w:val="004E6B8B"/>
    <w:rsid w:val="004E6C7A"/>
    <w:rsid w:val="004E6CEA"/>
    <w:rsid w:val="004E6DDB"/>
    <w:rsid w:val="004E6ECC"/>
    <w:rsid w:val="004E6EF2"/>
    <w:rsid w:val="004E6F33"/>
    <w:rsid w:val="004E6F63"/>
    <w:rsid w:val="004E6F83"/>
    <w:rsid w:val="004E6FB0"/>
    <w:rsid w:val="004E6FBE"/>
    <w:rsid w:val="004E6FCF"/>
    <w:rsid w:val="004E709C"/>
    <w:rsid w:val="004E70C2"/>
    <w:rsid w:val="004E714D"/>
    <w:rsid w:val="004E723F"/>
    <w:rsid w:val="004E736C"/>
    <w:rsid w:val="004E73B2"/>
    <w:rsid w:val="004E73D2"/>
    <w:rsid w:val="004E73D4"/>
    <w:rsid w:val="004E73EA"/>
    <w:rsid w:val="004E7467"/>
    <w:rsid w:val="004E748E"/>
    <w:rsid w:val="004E75A0"/>
    <w:rsid w:val="004E761B"/>
    <w:rsid w:val="004E76BF"/>
    <w:rsid w:val="004E76DE"/>
    <w:rsid w:val="004E7762"/>
    <w:rsid w:val="004E7871"/>
    <w:rsid w:val="004E78CB"/>
    <w:rsid w:val="004E7913"/>
    <w:rsid w:val="004E7A48"/>
    <w:rsid w:val="004E7A64"/>
    <w:rsid w:val="004E7A7D"/>
    <w:rsid w:val="004E7B92"/>
    <w:rsid w:val="004E7BB1"/>
    <w:rsid w:val="004E7C3D"/>
    <w:rsid w:val="004E7CB7"/>
    <w:rsid w:val="004E7D28"/>
    <w:rsid w:val="004E7D39"/>
    <w:rsid w:val="004E7DD2"/>
    <w:rsid w:val="004E7E0C"/>
    <w:rsid w:val="004E7F1A"/>
    <w:rsid w:val="004E7F2A"/>
    <w:rsid w:val="004F0016"/>
    <w:rsid w:val="004F0185"/>
    <w:rsid w:val="004F025A"/>
    <w:rsid w:val="004F0341"/>
    <w:rsid w:val="004F03DF"/>
    <w:rsid w:val="004F0591"/>
    <w:rsid w:val="004F075B"/>
    <w:rsid w:val="004F07A3"/>
    <w:rsid w:val="004F086F"/>
    <w:rsid w:val="004F096E"/>
    <w:rsid w:val="004F0972"/>
    <w:rsid w:val="004F0A1F"/>
    <w:rsid w:val="004F0A52"/>
    <w:rsid w:val="004F0A7C"/>
    <w:rsid w:val="004F0A7F"/>
    <w:rsid w:val="004F0B3D"/>
    <w:rsid w:val="004F0BC2"/>
    <w:rsid w:val="004F0C0F"/>
    <w:rsid w:val="004F0C11"/>
    <w:rsid w:val="004F0C1B"/>
    <w:rsid w:val="004F0CDE"/>
    <w:rsid w:val="004F0D57"/>
    <w:rsid w:val="004F0E64"/>
    <w:rsid w:val="004F0E6B"/>
    <w:rsid w:val="004F0FDC"/>
    <w:rsid w:val="004F10B8"/>
    <w:rsid w:val="004F1103"/>
    <w:rsid w:val="004F13DF"/>
    <w:rsid w:val="004F1512"/>
    <w:rsid w:val="004F15E4"/>
    <w:rsid w:val="004F15EC"/>
    <w:rsid w:val="004F15F3"/>
    <w:rsid w:val="004F16BF"/>
    <w:rsid w:val="004F1719"/>
    <w:rsid w:val="004F17C3"/>
    <w:rsid w:val="004F17F8"/>
    <w:rsid w:val="004F1893"/>
    <w:rsid w:val="004F1910"/>
    <w:rsid w:val="004F19FB"/>
    <w:rsid w:val="004F1A35"/>
    <w:rsid w:val="004F1A92"/>
    <w:rsid w:val="004F1B61"/>
    <w:rsid w:val="004F1C1B"/>
    <w:rsid w:val="004F1C98"/>
    <w:rsid w:val="004F1C99"/>
    <w:rsid w:val="004F1D9B"/>
    <w:rsid w:val="004F1DC2"/>
    <w:rsid w:val="004F1E80"/>
    <w:rsid w:val="004F1FC7"/>
    <w:rsid w:val="004F214C"/>
    <w:rsid w:val="004F21E8"/>
    <w:rsid w:val="004F2230"/>
    <w:rsid w:val="004F2275"/>
    <w:rsid w:val="004F235B"/>
    <w:rsid w:val="004F23FB"/>
    <w:rsid w:val="004F2469"/>
    <w:rsid w:val="004F2562"/>
    <w:rsid w:val="004F261D"/>
    <w:rsid w:val="004F267F"/>
    <w:rsid w:val="004F275D"/>
    <w:rsid w:val="004F2770"/>
    <w:rsid w:val="004F2799"/>
    <w:rsid w:val="004F27E3"/>
    <w:rsid w:val="004F284D"/>
    <w:rsid w:val="004F285C"/>
    <w:rsid w:val="004F2891"/>
    <w:rsid w:val="004F2931"/>
    <w:rsid w:val="004F2985"/>
    <w:rsid w:val="004F29DE"/>
    <w:rsid w:val="004F2A95"/>
    <w:rsid w:val="004F2B1A"/>
    <w:rsid w:val="004F2D10"/>
    <w:rsid w:val="004F2D2A"/>
    <w:rsid w:val="004F2DFA"/>
    <w:rsid w:val="004F2E4A"/>
    <w:rsid w:val="004F2E5E"/>
    <w:rsid w:val="004F2EF4"/>
    <w:rsid w:val="004F2F86"/>
    <w:rsid w:val="004F3099"/>
    <w:rsid w:val="004F3138"/>
    <w:rsid w:val="004F3273"/>
    <w:rsid w:val="004F327B"/>
    <w:rsid w:val="004F340A"/>
    <w:rsid w:val="004F3469"/>
    <w:rsid w:val="004F347B"/>
    <w:rsid w:val="004F34B5"/>
    <w:rsid w:val="004F34DB"/>
    <w:rsid w:val="004F353B"/>
    <w:rsid w:val="004F3683"/>
    <w:rsid w:val="004F36AD"/>
    <w:rsid w:val="004F36DB"/>
    <w:rsid w:val="004F36ED"/>
    <w:rsid w:val="004F375E"/>
    <w:rsid w:val="004F3A4C"/>
    <w:rsid w:val="004F3A99"/>
    <w:rsid w:val="004F3BA0"/>
    <w:rsid w:val="004F3BE5"/>
    <w:rsid w:val="004F3C88"/>
    <w:rsid w:val="004F3CF3"/>
    <w:rsid w:val="004F3D40"/>
    <w:rsid w:val="004F3EAD"/>
    <w:rsid w:val="004F3EEB"/>
    <w:rsid w:val="004F3F66"/>
    <w:rsid w:val="004F3FC6"/>
    <w:rsid w:val="004F3FD3"/>
    <w:rsid w:val="004F4011"/>
    <w:rsid w:val="004F4121"/>
    <w:rsid w:val="004F413E"/>
    <w:rsid w:val="004F41E6"/>
    <w:rsid w:val="004F43DC"/>
    <w:rsid w:val="004F4425"/>
    <w:rsid w:val="004F446E"/>
    <w:rsid w:val="004F4479"/>
    <w:rsid w:val="004F44AF"/>
    <w:rsid w:val="004F4517"/>
    <w:rsid w:val="004F459B"/>
    <w:rsid w:val="004F45C7"/>
    <w:rsid w:val="004F477B"/>
    <w:rsid w:val="004F4829"/>
    <w:rsid w:val="004F4858"/>
    <w:rsid w:val="004F4859"/>
    <w:rsid w:val="004F4889"/>
    <w:rsid w:val="004F48FB"/>
    <w:rsid w:val="004F49B6"/>
    <w:rsid w:val="004F49FE"/>
    <w:rsid w:val="004F4A2F"/>
    <w:rsid w:val="004F4A35"/>
    <w:rsid w:val="004F4A51"/>
    <w:rsid w:val="004F4A7E"/>
    <w:rsid w:val="004F4A85"/>
    <w:rsid w:val="004F4A89"/>
    <w:rsid w:val="004F4AD2"/>
    <w:rsid w:val="004F4AEE"/>
    <w:rsid w:val="004F4BB1"/>
    <w:rsid w:val="004F4C79"/>
    <w:rsid w:val="004F4DAC"/>
    <w:rsid w:val="004F4ED0"/>
    <w:rsid w:val="004F4F88"/>
    <w:rsid w:val="004F4FAC"/>
    <w:rsid w:val="004F4FD0"/>
    <w:rsid w:val="004F4FDD"/>
    <w:rsid w:val="004F5014"/>
    <w:rsid w:val="004F50B1"/>
    <w:rsid w:val="004F50E8"/>
    <w:rsid w:val="004F51CE"/>
    <w:rsid w:val="004F522B"/>
    <w:rsid w:val="004F52AD"/>
    <w:rsid w:val="004F52E6"/>
    <w:rsid w:val="004F5371"/>
    <w:rsid w:val="004F5376"/>
    <w:rsid w:val="004F5428"/>
    <w:rsid w:val="004F5460"/>
    <w:rsid w:val="004F54BC"/>
    <w:rsid w:val="004F5609"/>
    <w:rsid w:val="004F562D"/>
    <w:rsid w:val="004F5704"/>
    <w:rsid w:val="004F57BF"/>
    <w:rsid w:val="004F5867"/>
    <w:rsid w:val="004F58CE"/>
    <w:rsid w:val="004F5912"/>
    <w:rsid w:val="004F5968"/>
    <w:rsid w:val="004F5A5A"/>
    <w:rsid w:val="004F5B53"/>
    <w:rsid w:val="004F5C69"/>
    <w:rsid w:val="004F5C7A"/>
    <w:rsid w:val="004F5CA9"/>
    <w:rsid w:val="004F5D4D"/>
    <w:rsid w:val="004F5DAB"/>
    <w:rsid w:val="004F5DE0"/>
    <w:rsid w:val="004F5F15"/>
    <w:rsid w:val="004F5F63"/>
    <w:rsid w:val="004F601A"/>
    <w:rsid w:val="004F607D"/>
    <w:rsid w:val="004F6136"/>
    <w:rsid w:val="004F61EF"/>
    <w:rsid w:val="004F61F4"/>
    <w:rsid w:val="004F6364"/>
    <w:rsid w:val="004F637E"/>
    <w:rsid w:val="004F6454"/>
    <w:rsid w:val="004F66B2"/>
    <w:rsid w:val="004F671D"/>
    <w:rsid w:val="004F6747"/>
    <w:rsid w:val="004F67E6"/>
    <w:rsid w:val="004F67F0"/>
    <w:rsid w:val="004F6878"/>
    <w:rsid w:val="004F68DE"/>
    <w:rsid w:val="004F695E"/>
    <w:rsid w:val="004F6B9A"/>
    <w:rsid w:val="004F6D64"/>
    <w:rsid w:val="004F6E38"/>
    <w:rsid w:val="004F6E4C"/>
    <w:rsid w:val="004F6E8E"/>
    <w:rsid w:val="004F6EC3"/>
    <w:rsid w:val="004F6EF3"/>
    <w:rsid w:val="004F6F51"/>
    <w:rsid w:val="004F6F64"/>
    <w:rsid w:val="004F6FBD"/>
    <w:rsid w:val="004F6FFC"/>
    <w:rsid w:val="004F70FB"/>
    <w:rsid w:val="004F719B"/>
    <w:rsid w:val="004F71C8"/>
    <w:rsid w:val="004F7299"/>
    <w:rsid w:val="004F72E0"/>
    <w:rsid w:val="004F7385"/>
    <w:rsid w:val="004F745A"/>
    <w:rsid w:val="004F74A7"/>
    <w:rsid w:val="004F74B6"/>
    <w:rsid w:val="004F7686"/>
    <w:rsid w:val="004F789A"/>
    <w:rsid w:val="004F78E2"/>
    <w:rsid w:val="004F7944"/>
    <w:rsid w:val="004F7A05"/>
    <w:rsid w:val="004F7A5C"/>
    <w:rsid w:val="004F7A83"/>
    <w:rsid w:val="004F7A8B"/>
    <w:rsid w:val="004F7A8F"/>
    <w:rsid w:val="004F7AA5"/>
    <w:rsid w:val="004F7BE6"/>
    <w:rsid w:val="004F7C35"/>
    <w:rsid w:val="004F7C3C"/>
    <w:rsid w:val="004F7C9A"/>
    <w:rsid w:val="004F7CEC"/>
    <w:rsid w:val="0050001C"/>
    <w:rsid w:val="00500036"/>
    <w:rsid w:val="00500273"/>
    <w:rsid w:val="00500338"/>
    <w:rsid w:val="005003D4"/>
    <w:rsid w:val="00500423"/>
    <w:rsid w:val="00500465"/>
    <w:rsid w:val="00500503"/>
    <w:rsid w:val="00500597"/>
    <w:rsid w:val="005005BC"/>
    <w:rsid w:val="005005EB"/>
    <w:rsid w:val="00500629"/>
    <w:rsid w:val="00500766"/>
    <w:rsid w:val="00500821"/>
    <w:rsid w:val="00500848"/>
    <w:rsid w:val="005008AF"/>
    <w:rsid w:val="005008DF"/>
    <w:rsid w:val="005009D7"/>
    <w:rsid w:val="00500A21"/>
    <w:rsid w:val="00500A53"/>
    <w:rsid w:val="00500A70"/>
    <w:rsid w:val="00500BF0"/>
    <w:rsid w:val="00500C29"/>
    <w:rsid w:val="00500C8C"/>
    <w:rsid w:val="00500D23"/>
    <w:rsid w:val="00500D25"/>
    <w:rsid w:val="00500D61"/>
    <w:rsid w:val="00500D77"/>
    <w:rsid w:val="00500DB9"/>
    <w:rsid w:val="00500E63"/>
    <w:rsid w:val="00500F55"/>
    <w:rsid w:val="00500F78"/>
    <w:rsid w:val="00501044"/>
    <w:rsid w:val="0050138E"/>
    <w:rsid w:val="00501390"/>
    <w:rsid w:val="0050145A"/>
    <w:rsid w:val="005015AB"/>
    <w:rsid w:val="005016E2"/>
    <w:rsid w:val="00501701"/>
    <w:rsid w:val="0050171D"/>
    <w:rsid w:val="0050175E"/>
    <w:rsid w:val="00501804"/>
    <w:rsid w:val="0050184A"/>
    <w:rsid w:val="00501867"/>
    <w:rsid w:val="0050186B"/>
    <w:rsid w:val="00501ABC"/>
    <w:rsid w:val="00501B10"/>
    <w:rsid w:val="00501C5A"/>
    <w:rsid w:val="00501C9C"/>
    <w:rsid w:val="00501D43"/>
    <w:rsid w:val="00501EB3"/>
    <w:rsid w:val="00501F0A"/>
    <w:rsid w:val="005020EF"/>
    <w:rsid w:val="005021EA"/>
    <w:rsid w:val="005021F5"/>
    <w:rsid w:val="005022B1"/>
    <w:rsid w:val="00502412"/>
    <w:rsid w:val="0050243C"/>
    <w:rsid w:val="00502465"/>
    <w:rsid w:val="0050249E"/>
    <w:rsid w:val="00502528"/>
    <w:rsid w:val="00502582"/>
    <w:rsid w:val="0050260D"/>
    <w:rsid w:val="00502666"/>
    <w:rsid w:val="00502736"/>
    <w:rsid w:val="00502744"/>
    <w:rsid w:val="00502758"/>
    <w:rsid w:val="005027D9"/>
    <w:rsid w:val="005028EA"/>
    <w:rsid w:val="00502A0A"/>
    <w:rsid w:val="00502B07"/>
    <w:rsid w:val="00502B23"/>
    <w:rsid w:val="00502B77"/>
    <w:rsid w:val="00502CE9"/>
    <w:rsid w:val="00502DB3"/>
    <w:rsid w:val="00502DD7"/>
    <w:rsid w:val="00502DF0"/>
    <w:rsid w:val="00502E22"/>
    <w:rsid w:val="00502EF4"/>
    <w:rsid w:val="00502F31"/>
    <w:rsid w:val="00502FC4"/>
    <w:rsid w:val="0050303C"/>
    <w:rsid w:val="0050307F"/>
    <w:rsid w:val="00503094"/>
    <w:rsid w:val="005031DF"/>
    <w:rsid w:val="00503398"/>
    <w:rsid w:val="005033B0"/>
    <w:rsid w:val="00503426"/>
    <w:rsid w:val="00503436"/>
    <w:rsid w:val="005034AA"/>
    <w:rsid w:val="00503524"/>
    <w:rsid w:val="00503693"/>
    <w:rsid w:val="005036FC"/>
    <w:rsid w:val="005037D8"/>
    <w:rsid w:val="0050381F"/>
    <w:rsid w:val="005038D8"/>
    <w:rsid w:val="005038F0"/>
    <w:rsid w:val="0050397D"/>
    <w:rsid w:val="00503990"/>
    <w:rsid w:val="005039DF"/>
    <w:rsid w:val="00503A01"/>
    <w:rsid w:val="00503A33"/>
    <w:rsid w:val="00503A5B"/>
    <w:rsid w:val="00503B52"/>
    <w:rsid w:val="00503BF4"/>
    <w:rsid w:val="00503CE9"/>
    <w:rsid w:val="00503D0F"/>
    <w:rsid w:val="00503D2B"/>
    <w:rsid w:val="00503D9B"/>
    <w:rsid w:val="00503DA7"/>
    <w:rsid w:val="00503DB2"/>
    <w:rsid w:val="00503DE8"/>
    <w:rsid w:val="00503F09"/>
    <w:rsid w:val="00503F62"/>
    <w:rsid w:val="00503FEE"/>
    <w:rsid w:val="00504027"/>
    <w:rsid w:val="0050412F"/>
    <w:rsid w:val="005041AE"/>
    <w:rsid w:val="005041D0"/>
    <w:rsid w:val="005041FD"/>
    <w:rsid w:val="00504202"/>
    <w:rsid w:val="0050425B"/>
    <w:rsid w:val="0050437B"/>
    <w:rsid w:val="0050445A"/>
    <w:rsid w:val="00504482"/>
    <w:rsid w:val="00504490"/>
    <w:rsid w:val="00504511"/>
    <w:rsid w:val="00504660"/>
    <w:rsid w:val="0050467A"/>
    <w:rsid w:val="0050469D"/>
    <w:rsid w:val="005046C3"/>
    <w:rsid w:val="005047B0"/>
    <w:rsid w:val="005047E5"/>
    <w:rsid w:val="005048C9"/>
    <w:rsid w:val="00504B19"/>
    <w:rsid w:val="00504B3C"/>
    <w:rsid w:val="00504BE2"/>
    <w:rsid w:val="00504CCA"/>
    <w:rsid w:val="00504CF8"/>
    <w:rsid w:val="00504DB3"/>
    <w:rsid w:val="00504DC3"/>
    <w:rsid w:val="00504DF4"/>
    <w:rsid w:val="00504E48"/>
    <w:rsid w:val="00504E68"/>
    <w:rsid w:val="00504E9E"/>
    <w:rsid w:val="00504F0C"/>
    <w:rsid w:val="00504F7A"/>
    <w:rsid w:val="00504FC7"/>
    <w:rsid w:val="0050502F"/>
    <w:rsid w:val="00505240"/>
    <w:rsid w:val="005052DE"/>
    <w:rsid w:val="005052FF"/>
    <w:rsid w:val="00505417"/>
    <w:rsid w:val="00505420"/>
    <w:rsid w:val="00505424"/>
    <w:rsid w:val="0050546E"/>
    <w:rsid w:val="00505623"/>
    <w:rsid w:val="00505736"/>
    <w:rsid w:val="00505771"/>
    <w:rsid w:val="00505850"/>
    <w:rsid w:val="0050597B"/>
    <w:rsid w:val="00505A21"/>
    <w:rsid w:val="00505C12"/>
    <w:rsid w:val="00505C30"/>
    <w:rsid w:val="00505D11"/>
    <w:rsid w:val="00505D24"/>
    <w:rsid w:val="00505D2B"/>
    <w:rsid w:val="00505D7B"/>
    <w:rsid w:val="00505F80"/>
    <w:rsid w:val="00505F92"/>
    <w:rsid w:val="0050604E"/>
    <w:rsid w:val="0050609B"/>
    <w:rsid w:val="005060DB"/>
    <w:rsid w:val="0050612F"/>
    <w:rsid w:val="00506139"/>
    <w:rsid w:val="00506261"/>
    <w:rsid w:val="005062E5"/>
    <w:rsid w:val="0050634E"/>
    <w:rsid w:val="005063AD"/>
    <w:rsid w:val="005066C9"/>
    <w:rsid w:val="0050672D"/>
    <w:rsid w:val="005067B7"/>
    <w:rsid w:val="00506834"/>
    <w:rsid w:val="00506855"/>
    <w:rsid w:val="00506868"/>
    <w:rsid w:val="00506960"/>
    <w:rsid w:val="00506973"/>
    <w:rsid w:val="00506992"/>
    <w:rsid w:val="00506B79"/>
    <w:rsid w:val="00506BD1"/>
    <w:rsid w:val="00506CCD"/>
    <w:rsid w:val="00506D21"/>
    <w:rsid w:val="00506D38"/>
    <w:rsid w:val="00506DA7"/>
    <w:rsid w:val="00506DAD"/>
    <w:rsid w:val="00506E04"/>
    <w:rsid w:val="00506E1A"/>
    <w:rsid w:val="00506E5E"/>
    <w:rsid w:val="00506ECA"/>
    <w:rsid w:val="00506F66"/>
    <w:rsid w:val="00506F9B"/>
    <w:rsid w:val="005070AA"/>
    <w:rsid w:val="00507108"/>
    <w:rsid w:val="005071AD"/>
    <w:rsid w:val="005071F0"/>
    <w:rsid w:val="00507251"/>
    <w:rsid w:val="00507264"/>
    <w:rsid w:val="00507389"/>
    <w:rsid w:val="005073C1"/>
    <w:rsid w:val="005074B0"/>
    <w:rsid w:val="005074EC"/>
    <w:rsid w:val="00507546"/>
    <w:rsid w:val="005077D0"/>
    <w:rsid w:val="00507857"/>
    <w:rsid w:val="00507886"/>
    <w:rsid w:val="005078A3"/>
    <w:rsid w:val="005078FE"/>
    <w:rsid w:val="00507904"/>
    <w:rsid w:val="00507956"/>
    <w:rsid w:val="00507A1A"/>
    <w:rsid w:val="00507DB4"/>
    <w:rsid w:val="00507E1C"/>
    <w:rsid w:val="00507F3A"/>
    <w:rsid w:val="00510029"/>
    <w:rsid w:val="00510053"/>
    <w:rsid w:val="005100EB"/>
    <w:rsid w:val="005101C3"/>
    <w:rsid w:val="005101DA"/>
    <w:rsid w:val="0051029E"/>
    <w:rsid w:val="00510368"/>
    <w:rsid w:val="00510386"/>
    <w:rsid w:val="0051040E"/>
    <w:rsid w:val="0051046C"/>
    <w:rsid w:val="0051061D"/>
    <w:rsid w:val="005106DB"/>
    <w:rsid w:val="0051082B"/>
    <w:rsid w:val="0051088D"/>
    <w:rsid w:val="0051089E"/>
    <w:rsid w:val="005108BF"/>
    <w:rsid w:val="005108C0"/>
    <w:rsid w:val="005108F3"/>
    <w:rsid w:val="005108F5"/>
    <w:rsid w:val="005109C1"/>
    <w:rsid w:val="00510AEF"/>
    <w:rsid w:val="00510B6F"/>
    <w:rsid w:val="00510BA8"/>
    <w:rsid w:val="00510CA3"/>
    <w:rsid w:val="00510DBB"/>
    <w:rsid w:val="00510E46"/>
    <w:rsid w:val="00511161"/>
    <w:rsid w:val="005111A4"/>
    <w:rsid w:val="005111C7"/>
    <w:rsid w:val="00511334"/>
    <w:rsid w:val="005113A5"/>
    <w:rsid w:val="00511457"/>
    <w:rsid w:val="0051148B"/>
    <w:rsid w:val="00511576"/>
    <w:rsid w:val="005116FF"/>
    <w:rsid w:val="00511715"/>
    <w:rsid w:val="00511747"/>
    <w:rsid w:val="00511767"/>
    <w:rsid w:val="0051182C"/>
    <w:rsid w:val="00511A06"/>
    <w:rsid w:val="00511A71"/>
    <w:rsid w:val="00511AAC"/>
    <w:rsid w:val="00511B15"/>
    <w:rsid w:val="00511BAB"/>
    <w:rsid w:val="00511BB4"/>
    <w:rsid w:val="00511C52"/>
    <w:rsid w:val="00511C77"/>
    <w:rsid w:val="00511C7D"/>
    <w:rsid w:val="00511E50"/>
    <w:rsid w:val="00511F08"/>
    <w:rsid w:val="00511FE3"/>
    <w:rsid w:val="00512056"/>
    <w:rsid w:val="005120B8"/>
    <w:rsid w:val="005120EC"/>
    <w:rsid w:val="0051225B"/>
    <w:rsid w:val="005122B8"/>
    <w:rsid w:val="005122EC"/>
    <w:rsid w:val="0051241E"/>
    <w:rsid w:val="0051242B"/>
    <w:rsid w:val="00512476"/>
    <w:rsid w:val="00512485"/>
    <w:rsid w:val="00512604"/>
    <w:rsid w:val="00512628"/>
    <w:rsid w:val="0051265F"/>
    <w:rsid w:val="005126A2"/>
    <w:rsid w:val="005126E3"/>
    <w:rsid w:val="0051270C"/>
    <w:rsid w:val="00512744"/>
    <w:rsid w:val="00512803"/>
    <w:rsid w:val="00512805"/>
    <w:rsid w:val="00512841"/>
    <w:rsid w:val="00512853"/>
    <w:rsid w:val="0051293C"/>
    <w:rsid w:val="00512A4C"/>
    <w:rsid w:val="00512A5E"/>
    <w:rsid w:val="00512A98"/>
    <w:rsid w:val="00512BBD"/>
    <w:rsid w:val="00512E09"/>
    <w:rsid w:val="00512E3A"/>
    <w:rsid w:val="00512FB7"/>
    <w:rsid w:val="00512FD9"/>
    <w:rsid w:val="0051306B"/>
    <w:rsid w:val="00513115"/>
    <w:rsid w:val="00513250"/>
    <w:rsid w:val="005132D4"/>
    <w:rsid w:val="00513310"/>
    <w:rsid w:val="0051337B"/>
    <w:rsid w:val="005133DA"/>
    <w:rsid w:val="00513504"/>
    <w:rsid w:val="00513507"/>
    <w:rsid w:val="00513517"/>
    <w:rsid w:val="00513518"/>
    <w:rsid w:val="00513541"/>
    <w:rsid w:val="005135FE"/>
    <w:rsid w:val="005136FA"/>
    <w:rsid w:val="005137C5"/>
    <w:rsid w:val="00513868"/>
    <w:rsid w:val="0051388D"/>
    <w:rsid w:val="0051391D"/>
    <w:rsid w:val="0051393F"/>
    <w:rsid w:val="00513966"/>
    <w:rsid w:val="00513A63"/>
    <w:rsid w:val="00513A7F"/>
    <w:rsid w:val="00513ACC"/>
    <w:rsid w:val="00513B1D"/>
    <w:rsid w:val="00513B66"/>
    <w:rsid w:val="00513C39"/>
    <w:rsid w:val="00513CC8"/>
    <w:rsid w:val="00513DF9"/>
    <w:rsid w:val="00513E66"/>
    <w:rsid w:val="00513E6B"/>
    <w:rsid w:val="00513EE1"/>
    <w:rsid w:val="00513F90"/>
    <w:rsid w:val="00513FBB"/>
    <w:rsid w:val="0051400B"/>
    <w:rsid w:val="0051401F"/>
    <w:rsid w:val="00514030"/>
    <w:rsid w:val="005140A7"/>
    <w:rsid w:val="00514263"/>
    <w:rsid w:val="0051432C"/>
    <w:rsid w:val="00514340"/>
    <w:rsid w:val="00514400"/>
    <w:rsid w:val="00514413"/>
    <w:rsid w:val="005144F1"/>
    <w:rsid w:val="00514513"/>
    <w:rsid w:val="00514529"/>
    <w:rsid w:val="00514536"/>
    <w:rsid w:val="0051456F"/>
    <w:rsid w:val="005145CD"/>
    <w:rsid w:val="0051462E"/>
    <w:rsid w:val="00514639"/>
    <w:rsid w:val="0051468F"/>
    <w:rsid w:val="00514707"/>
    <w:rsid w:val="0051472D"/>
    <w:rsid w:val="00514731"/>
    <w:rsid w:val="00514803"/>
    <w:rsid w:val="005148A3"/>
    <w:rsid w:val="005148C3"/>
    <w:rsid w:val="0051490B"/>
    <w:rsid w:val="005149E5"/>
    <w:rsid w:val="00514A57"/>
    <w:rsid w:val="00514B42"/>
    <w:rsid w:val="00514B96"/>
    <w:rsid w:val="00514BB9"/>
    <w:rsid w:val="00514BDC"/>
    <w:rsid w:val="00514CCC"/>
    <w:rsid w:val="00514D24"/>
    <w:rsid w:val="00514D59"/>
    <w:rsid w:val="00514D5F"/>
    <w:rsid w:val="00514E1F"/>
    <w:rsid w:val="00514EE1"/>
    <w:rsid w:val="00514FA9"/>
    <w:rsid w:val="00515032"/>
    <w:rsid w:val="00515067"/>
    <w:rsid w:val="0051511E"/>
    <w:rsid w:val="005151DA"/>
    <w:rsid w:val="005151F4"/>
    <w:rsid w:val="0051527D"/>
    <w:rsid w:val="0051530B"/>
    <w:rsid w:val="005153A3"/>
    <w:rsid w:val="005153B8"/>
    <w:rsid w:val="0051540D"/>
    <w:rsid w:val="00515451"/>
    <w:rsid w:val="005155D5"/>
    <w:rsid w:val="0051568B"/>
    <w:rsid w:val="00515748"/>
    <w:rsid w:val="0051574E"/>
    <w:rsid w:val="00515777"/>
    <w:rsid w:val="00515787"/>
    <w:rsid w:val="0051586A"/>
    <w:rsid w:val="00515894"/>
    <w:rsid w:val="00515910"/>
    <w:rsid w:val="0051597A"/>
    <w:rsid w:val="00515A87"/>
    <w:rsid w:val="00515A8D"/>
    <w:rsid w:val="00515AA2"/>
    <w:rsid w:val="00515AE3"/>
    <w:rsid w:val="00515BC3"/>
    <w:rsid w:val="00515C3B"/>
    <w:rsid w:val="00515C42"/>
    <w:rsid w:val="00515C6B"/>
    <w:rsid w:val="00515CC1"/>
    <w:rsid w:val="00515CE5"/>
    <w:rsid w:val="00515D31"/>
    <w:rsid w:val="00515DC5"/>
    <w:rsid w:val="00515E3A"/>
    <w:rsid w:val="00515E46"/>
    <w:rsid w:val="00515E8A"/>
    <w:rsid w:val="00515E90"/>
    <w:rsid w:val="00515FB0"/>
    <w:rsid w:val="00515FBA"/>
    <w:rsid w:val="00516017"/>
    <w:rsid w:val="00516142"/>
    <w:rsid w:val="00516195"/>
    <w:rsid w:val="0051620B"/>
    <w:rsid w:val="00516219"/>
    <w:rsid w:val="00516286"/>
    <w:rsid w:val="005162D4"/>
    <w:rsid w:val="005163EF"/>
    <w:rsid w:val="005163F0"/>
    <w:rsid w:val="0051642B"/>
    <w:rsid w:val="00516443"/>
    <w:rsid w:val="00516476"/>
    <w:rsid w:val="005164B3"/>
    <w:rsid w:val="00516572"/>
    <w:rsid w:val="005165AE"/>
    <w:rsid w:val="005165E6"/>
    <w:rsid w:val="00516647"/>
    <w:rsid w:val="00516685"/>
    <w:rsid w:val="005166CC"/>
    <w:rsid w:val="00516713"/>
    <w:rsid w:val="0051673E"/>
    <w:rsid w:val="0051688C"/>
    <w:rsid w:val="00516893"/>
    <w:rsid w:val="005168E8"/>
    <w:rsid w:val="00516928"/>
    <w:rsid w:val="00516937"/>
    <w:rsid w:val="005169C6"/>
    <w:rsid w:val="00516A37"/>
    <w:rsid w:val="00516A59"/>
    <w:rsid w:val="00516ACE"/>
    <w:rsid w:val="00516BFD"/>
    <w:rsid w:val="00516D40"/>
    <w:rsid w:val="00516D51"/>
    <w:rsid w:val="00516D7C"/>
    <w:rsid w:val="00516DB1"/>
    <w:rsid w:val="00516DF0"/>
    <w:rsid w:val="00516DF9"/>
    <w:rsid w:val="00517025"/>
    <w:rsid w:val="00517037"/>
    <w:rsid w:val="005170EC"/>
    <w:rsid w:val="00517190"/>
    <w:rsid w:val="005172EF"/>
    <w:rsid w:val="0051744D"/>
    <w:rsid w:val="0051746A"/>
    <w:rsid w:val="0051755D"/>
    <w:rsid w:val="0051760F"/>
    <w:rsid w:val="00517644"/>
    <w:rsid w:val="00517831"/>
    <w:rsid w:val="005178A0"/>
    <w:rsid w:val="005178AE"/>
    <w:rsid w:val="005178E8"/>
    <w:rsid w:val="005179E7"/>
    <w:rsid w:val="00517AD7"/>
    <w:rsid w:val="00517B00"/>
    <w:rsid w:val="00517B14"/>
    <w:rsid w:val="00517C03"/>
    <w:rsid w:val="00517CE4"/>
    <w:rsid w:val="00517DD2"/>
    <w:rsid w:val="00517EA0"/>
    <w:rsid w:val="00517EB2"/>
    <w:rsid w:val="00517EB3"/>
    <w:rsid w:val="00517ECF"/>
    <w:rsid w:val="00517F24"/>
    <w:rsid w:val="00517F3B"/>
    <w:rsid w:val="005200C6"/>
    <w:rsid w:val="00520157"/>
    <w:rsid w:val="0052028F"/>
    <w:rsid w:val="0052029E"/>
    <w:rsid w:val="00520329"/>
    <w:rsid w:val="00520404"/>
    <w:rsid w:val="0052047B"/>
    <w:rsid w:val="005204A4"/>
    <w:rsid w:val="005204B9"/>
    <w:rsid w:val="005204F5"/>
    <w:rsid w:val="005204FC"/>
    <w:rsid w:val="0052055F"/>
    <w:rsid w:val="00520677"/>
    <w:rsid w:val="0052071B"/>
    <w:rsid w:val="005207EF"/>
    <w:rsid w:val="00520887"/>
    <w:rsid w:val="00520894"/>
    <w:rsid w:val="00520A7C"/>
    <w:rsid w:val="00520B20"/>
    <w:rsid w:val="00520C33"/>
    <w:rsid w:val="00520CA0"/>
    <w:rsid w:val="00520D3A"/>
    <w:rsid w:val="00520D89"/>
    <w:rsid w:val="00520DD6"/>
    <w:rsid w:val="00520F50"/>
    <w:rsid w:val="00520F95"/>
    <w:rsid w:val="00520FB1"/>
    <w:rsid w:val="00521008"/>
    <w:rsid w:val="0052109A"/>
    <w:rsid w:val="00521219"/>
    <w:rsid w:val="00521261"/>
    <w:rsid w:val="00521271"/>
    <w:rsid w:val="005212A9"/>
    <w:rsid w:val="005212C2"/>
    <w:rsid w:val="005212DB"/>
    <w:rsid w:val="00521329"/>
    <w:rsid w:val="0052139A"/>
    <w:rsid w:val="00521431"/>
    <w:rsid w:val="005216F5"/>
    <w:rsid w:val="00521705"/>
    <w:rsid w:val="0052178E"/>
    <w:rsid w:val="00521795"/>
    <w:rsid w:val="00521A2B"/>
    <w:rsid w:val="00521A42"/>
    <w:rsid w:val="00521A74"/>
    <w:rsid w:val="00521BA2"/>
    <w:rsid w:val="00521BC4"/>
    <w:rsid w:val="00521C33"/>
    <w:rsid w:val="00521CA0"/>
    <w:rsid w:val="00521D59"/>
    <w:rsid w:val="00521DA0"/>
    <w:rsid w:val="00521F9E"/>
    <w:rsid w:val="0052201C"/>
    <w:rsid w:val="00522039"/>
    <w:rsid w:val="00522049"/>
    <w:rsid w:val="00522059"/>
    <w:rsid w:val="0052209A"/>
    <w:rsid w:val="005220EF"/>
    <w:rsid w:val="00522277"/>
    <w:rsid w:val="005222E1"/>
    <w:rsid w:val="00522314"/>
    <w:rsid w:val="00522321"/>
    <w:rsid w:val="0052234A"/>
    <w:rsid w:val="0052236E"/>
    <w:rsid w:val="005223AE"/>
    <w:rsid w:val="005223FA"/>
    <w:rsid w:val="005224F8"/>
    <w:rsid w:val="005224FF"/>
    <w:rsid w:val="0052255D"/>
    <w:rsid w:val="0052257A"/>
    <w:rsid w:val="00522592"/>
    <w:rsid w:val="005226EC"/>
    <w:rsid w:val="00522709"/>
    <w:rsid w:val="00522795"/>
    <w:rsid w:val="005227D2"/>
    <w:rsid w:val="0052283A"/>
    <w:rsid w:val="00522A0A"/>
    <w:rsid w:val="00522A14"/>
    <w:rsid w:val="00522A22"/>
    <w:rsid w:val="00522A85"/>
    <w:rsid w:val="00522AE8"/>
    <w:rsid w:val="00522B00"/>
    <w:rsid w:val="00522B46"/>
    <w:rsid w:val="00522D34"/>
    <w:rsid w:val="00522D63"/>
    <w:rsid w:val="00522D8D"/>
    <w:rsid w:val="00522DB7"/>
    <w:rsid w:val="00522DC7"/>
    <w:rsid w:val="00522E7E"/>
    <w:rsid w:val="00522EAC"/>
    <w:rsid w:val="00522F49"/>
    <w:rsid w:val="00522FCD"/>
    <w:rsid w:val="00523003"/>
    <w:rsid w:val="0052300C"/>
    <w:rsid w:val="00523258"/>
    <w:rsid w:val="005232B4"/>
    <w:rsid w:val="00523306"/>
    <w:rsid w:val="0052343E"/>
    <w:rsid w:val="005234B4"/>
    <w:rsid w:val="005234FB"/>
    <w:rsid w:val="0052350D"/>
    <w:rsid w:val="00523533"/>
    <w:rsid w:val="005235D2"/>
    <w:rsid w:val="0052365F"/>
    <w:rsid w:val="00523665"/>
    <w:rsid w:val="00523717"/>
    <w:rsid w:val="00523783"/>
    <w:rsid w:val="005237A6"/>
    <w:rsid w:val="005237C1"/>
    <w:rsid w:val="0052384B"/>
    <w:rsid w:val="00523944"/>
    <w:rsid w:val="00523A09"/>
    <w:rsid w:val="00523A72"/>
    <w:rsid w:val="00523A94"/>
    <w:rsid w:val="00523A9A"/>
    <w:rsid w:val="00523C27"/>
    <w:rsid w:val="00523D30"/>
    <w:rsid w:val="00523D71"/>
    <w:rsid w:val="00523D72"/>
    <w:rsid w:val="00523D80"/>
    <w:rsid w:val="00523E1C"/>
    <w:rsid w:val="00523ED9"/>
    <w:rsid w:val="0052400B"/>
    <w:rsid w:val="005240A9"/>
    <w:rsid w:val="0052438B"/>
    <w:rsid w:val="00524463"/>
    <w:rsid w:val="0052452F"/>
    <w:rsid w:val="0052453B"/>
    <w:rsid w:val="00524569"/>
    <w:rsid w:val="00524579"/>
    <w:rsid w:val="00524610"/>
    <w:rsid w:val="00524777"/>
    <w:rsid w:val="00524821"/>
    <w:rsid w:val="0052484E"/>
    <w:rsid w:val="005248B1"/>
    <w:rsid w:val="005248B5"/>
    <w:rsid w:val="005248C2"/>
    <w:rsid w:val="0052498D"/>
    <w:rsid w:val="005249DC"/>
    <w:rsid w:val="005249E5"/>
    <w:rsid w:val="005249FE"/>
    <w:rsid w:val="00524A70"/>
    <w:rsid w:val="00524AC8"/>
    <w:rsid w:val="00524B43"/>
    <w:rsid w:val="00524BD6"/>
    <w:rsid w:val="00524BFE"/>
    <w:rsid w:val="00524CC0"/>
    <w:rsid w:val="00524CE2"/>
    <w:rsid w:val="00524D50"/>
    <w:rsid w:val="00524E39"/>
    <w:rsid w:val="00524F4E"/>
    <w:rsid w:val="00524FEC"/>
    <w:rsid w:val="00524FEE"/>
    <w:rsid w:val="00525028"/>
    <w:rsid w:val="0052518E"/>
    <w:rsid w:val="00525287"/>
    <w:rsid w:val="00525292"/>
    <w:rsid w:val="00525296"/>
    <w:rsid w:val="0052530C"/>
    <w:rsid w:val="0052536F"/>
    <w:rsid w:val="005253F4"/>
    <w:rsid w:val="00525473"/>
    <w:rsid w:val="005255D8"/>
    <w:rsid w:val="00525799"/>
    <w:rsid w:val="005257BA"/>
    <w:rsid w:val="005257D7"/>
    <w:rsid w:val="00525879"/>
    <w:rsid w:val="00525899"/>
    <w:rsid w:val="0052589C"/>
    <w:rsid w:val="005258D7"/>
    <w:rsid w:val="005258F4"/>
    <w:rsid w:val="00525992"/>
    <w:rsid w:val="005259AC"/>
    <w:rsid w:val="00525A93"/>
    <w:rsid w:val="00525AF2"/>
    <w:rsid w:val="00525B25"/>
    <w:rsid w:val="00525B30"/>
    <w:rsid w:val="00525BD3"/>
    <w:rsid w:val="00525C69"/>
    <w:rsid w:val="00525CB7"/>
    <w:rsid w:val="00525E12"/>
    <w:rsid w:val="00525E3C"/>
    <w:rsid w:val="00525E75"/>
    <w:rsid w:val="00525E76"/>
    <w:rsid w:val="00525F8D"/>
    <w:rsid w:val="00526107"/>
    <w:rsid w:val="00526145"/>
    <w:rsid w:val="00526149"/>
    <w:rsid w:val="0052617A"/>
    <w:rsid w:val="005261A5"/>
    <w:rsid w:val="0052627E"/>
    <w:rsid w:val="0052632B"/>
    <w:rsid w:val="00526344"/>
    <w:rsid w:val="005263A8"/>
    <w:rsid w:val="0052641F"/>
    <w:rsid w:val="0052649C"/>
    <w:rsid w:val="00526567"/>
    <w:rsid w:val="00526583"/>
    <w:rsid w:val="00526664"/>
    <w:rsid w:val="00526937"/>
    <w:rsid w:val="005269AB"/>
    <w:rsid w:val="00526A11"/>
    <w:rsid w:val="00526B0A"/>
    <w:rsid w:val="00526B98"/>
    <w:rsid w:val="00526BFC"/>
    <w:rsid w:val="00526C92"/>
    <w:rsid w:val="00526CA6"/>
    <w:rsid w:val="00526D3C"/>
    <w:rsid w:val="00526D69"/>
    <w:rsid w:val="00526F0D"/>
    <w:rsid w:val="00526F36"/>
    <w:rsid w:val="00526F75"/>
    <w:rsid w:val="00526FDC"/>
    <w:rsid w:val="0052709A"/>
    <w:rsid w:val="005270D1"/>
    <w:rsid w:val="00527176"/>
    <w:rsid w:val="00527201"/>
    <w:rsid w:val="0052744F"/>
    <w:rsid w:val="00527595"/>
    <w:rsid w:val="00527627"/>
    <w:rsid w:val="00527647"/>
    <w:rsid w:val="00527709"/>
    <w:rsid w:val="0052772B"/>
    <w:rsid w:val="00527802"/>
    <w:rsid w:val="005278F9"/>
    <w:rsid w:val="00527931"/>
    <w:rsid w:val="0052799B"/>
    <w:rsid w:val="00527A86"/>
    <w:rsid w:val="00527AA3"/>
    <w:rsid w:val="00527B18"/>
    <w:rsid w:val="00527B4A"/>
    <w:rsid w:val="00527B77"/>
    <w:rsid w:val="00527C1D"/>
    <w:rsid w:val="00527C22"/>
    <w:rsid w:val="00527C50"/>
    <w:rsid w:val="00527C57"/>
    <w:rsid w:val="00527CD4"/>
    <w:rsid w:val="00527CE3"/>
    <w:rsid w:val="00527CEA"/>
    <w:rsid w:val="00527CEC"/>
    <w:rsid w:val="00527EA8"/>
    <w:rsid w:val="00527EAF"/>
    <w:rsid w:val="00527F3B"/>
    <w:rsid w:val="0053006D"/>
    <w:rsid w:val="00530271"/>
    <w:rsid w:val="005302FE"/>
    <w:rsid w:val="00530391"/>
    <w:rsid w:val="005303C3"/>
    <w:rsid w:val="005304B4"/>
    <w:rsid w:val="005305F0"/>
    <w:rsid w:val="00530621"/>
    <w:rsid w:val="005306AA"/>
    <w:rsid w:val="005306B4"/>
    <w:rsid w:val="005306C4"/>
    <w:rsid w:val="0053082A"/>
    <w:rsid w:val="00530870"/>
    <w:rsid w:val="005308F8"/>
    <w:rsid w:val="0053090D"/>
    <w:rsid w:val="00530A05"/>
    <w:rsid w:val="00530B05"/>
    <w:rsid w:val="00530C46"/>
    <w:rsid w:val="00530C89"/>
    <w:rsid w:val="00530CED"/>
    <w:rsid w:val="00530D05"/>
    <w:rsid w:val="00530E7F"/>
    <w:rsid w:val="00530EE8"/>
    <w:rsid w:val="00530F08"/>
    <w:rsid w:val="0053104E"/>
    <w:rsid w:val="00531171"/>
    <w:rsid w:val="0053134E"/>
    <w:rsid w:val="005314DA"/>
    <w:rsid w:val="00531661"/>
    <w:rsid w:val="0053171D"/>
    <w:rsid w:val="00531840"/>
    <w:rsid w:val="00531853"/>
    <w:rsid w:val="005318ED"/>
    <w:rsid w:val="005319A8"/>
    <w:rsid w:val="00531A39"/>
    <w:rsid w:val="00531B29"/>
    <w:rsid w:val="00531BA7"/>
    <w:rsid w:val="00531D5B"/>
    <w:rsid w:val="00531EA6"/>
    <w:rsid w:val="00531F16"/>
    <w:rsid w:val="00531F8E"/>
    <w:rsid w:val="0053204F"/>
    <w:rsid w:val="0053205A"/>
    <w:rsid w:val="00532074"/>
    <w:rsid w:val="005320AF"/>
    <w:rsid w:val="005321A0"/>
    <w:rsid w:val="005321AA"/>
    <w:rsid w:val="0053220D"/>
    <w:rsid w:val="0053223C"/>
    <w:rsid w:val="005322CC"/>
    <w:rsid w:val="005323DA"/>
    <w:rsid w:val="005323E4"/>
    <w:rsid w:val="005323FC"/>
    <w:rsid w:val="00532478"/>
    <w:rsid w:val="00532483"/>
    <w:rsid w:val="005324B0"/>
    <w:rsid w:val="005324DE"/>
    <w:rsid w:val="00532632"/>
    <w:rsid w:val="0053269E"/>
    <w:rsid w:val="005326B7"/>
    <w:rsid w:val="00532731"/>
    <w:rsid w:val="005327AB"/>
    <w:rsid w:val="00532826"/>
    <w:rsid w:val="00532830"/>
    <w:rsid w:val="005328EC"/>
    <w:rsid w:val="0053290A"/>
    <w:rsid w:val="00532BC0"/>
    <w:rsid w:val="00532C56"/>
    <w:rsid w:val="00532D84"/>
    <w:rsid w:val="00532D9E"/>
    <w:rsid w:val="00532DB6"/>
    <w:rsid w:val="00532DFD"/>
    <w:rsid w:val="00532E82"/>
    <w:rsid w:val="00532ED7"/>
    <w:rsid w:val="00532F3F"/>
    <w:rsid w:val="00532F50"/>
    <w:rsid w:val="00532FB4"/>
    <w:rsid w:val="00533006"/>
    <w:rsid w:val="00533054"/>
    <w:rsid w:val="00533069"/>
    <w:rsid w:val="0053310A"/>
    <w:rsid w:val="00533187"/>
    <w:rsid w:val="00533294"/>
    <w:rsid w:val="005332B9"/>
    <w:rsid w:val="005333EF"/>
    <w:rsid w:val="0053361E"/>
    <w:rsid w:val="005336D5"/>
    <w:rsid w:val="00533749"/>
    <w:rsid w:val="0053381E"/>
    <w:rsid w:val="00533878"/>
    <w:rsid w:val="00533881"/>
    <w:rsid w:val="0053388F"/>
    <w:rsid w:val="0053391A"/>
    <w:rsid w:val="00533974"/>
    <w:rsid w:val="005339F9"/>
    <w:rsid w:val="00533A5E"/>
    <w:rsid w:val="00533B0D"/>
    <w:rsid w:val="00533B6D"/>
    <w:rsid w:val="00533C25"/>
    <w:rsid w:val="00533C43"/>
    <w:rsid w:val="00533C63"/>
    <w:rsid w:val="00533CA8"/>
    <w:rsid w:val="00533CDC"/>
    <w:rsid w:val="00533D51"/>
    <w:rsid w:val="00533D63"/>
    <w:rsid w:val="00533DDD"/>
    <w:rsid w:val="00533E3E"/>
    <w:rsid w:val="00533E77"/>
    <w:rsid w:val="00533E79"/>
    <w:rsid w:val="00533FDA"/>
    <w:rsid w:val="00533FE7"/>
    <w:rsid w:val="005340A0"/>
    <w:rsid w:val="00534127"/>
    <w:rsid w:val="00534174"/>
    <w:rsid w:val="00534254"/>
    <w:rsid w:val="00534259"/>
    <w:rsid w:val="00534271"/>
    <w:rsid w:val="005342A1"/>
    <w:rsid w:val="005343AE"/>
    <w:rsid w:val="0053447C"/>
    <w:rsid w:val="0053448D"/>
    <w:rsid w:val="00534537"/>
    <w:rsid w:val="0053459E"/>
    <w:rsid w:val="005345D0"/>
    <w:rsid w:val="005345D2"/>
    <w:rsid w:val="005345EF"/>
    <w:rsid w:val="0053461A"/>
    <w:rsid w:val="005346AD"/>
    <w:rsid w:val="005346DA"/>
    <w:rsid w:val="00534772"/>
    <w:rsid w:val="005348A5"/>
    <w:rsid w:val="005348D2"/>
    <w:rsid w:val="0053490B"/>
    <w:rsid w:val="00534A0B"/>
    <w:rsid w:val="00534A50"/>
    <w:rsid w:val="00534A78"/>
    <w:rsid w:val="00534D61"/>
    <w:rsid w:val="00534D79"/>
    <w:rsid w:val="00534D99"/>
    <w:rsid w:val="00534D9A"/>
    <w:rsid w:val="00534DE6"/>
    <w:rsid w:val="00534E01"/>
    <w:rsid w:val="00534F8A"/>
    <w:rsid w:val="00534FB2"/>
    <w:rsid w:val="00534FF0"/>
    <w:rsid w:val="0053504B"/>
    <w:rsid w:val="0053505B"/>
    <w:rsid w:val="00535102"/>
    <w:rsid w:val="0053518A"/>
    <w:rsid w:val="00535278"/>
    <w:rsid w:val="00535318"/>
    <w:rsid w:val="00535594"/>
    <w:rsid w:val="00535675"/>
    <w:rsid w:val="0053568B"/>
    <w:rsid w:val="005356F4"/>
    <w:rsid w:val="00535722"/>
    <w:rsid w:val="0053576B"/>
    <w:rsid w:val="005357A2"/>
    <w:rsid w:val="00535848"/>
    <w:rsid w:val="005358CB"/>
    <w:rsid w:val="0053596B"/>
    <w:rsid w:val="005359BE"/>
    <w:rsid w:val="00535A15"/>
    <w:rsid w:val="00535ABE"/>
    <w:rsid w:val="00535C2C"/>
    <w:rsid w:val="00535C98"/>
    <w:rsid w:val="00535C9B"/>
    <w:rsid w:val="00535D38"/>
    <w:rsid w:val="00535D4B"/>
    <w:rsid w:val="00535DEE"/>
    <w:rsid w:val="00535E10"/>
    <w:rsid w:val="00535E9F"/>
    <w:rsid w:val="00535F19"/>
    <w:rsid w:val="00536057"/>
    <w:rsid w:val="005360A5"/>
    <w:rsid w:val="00536103"/>
    <w:rsid w:val="005361C1"/>
    <w:rsid w:val="005361D4"/>
    <w:rsid w:val="00536223"/>
    <w:rsid w:val="0053625B"/>
    <w:rsid w:val="005362AD"/>
    <w:rsid w:val="00536301"/>
    <w:rsid w:val="0053631A"/>
    <w:rsid w:val="0053632D"/>
    <w:rsid w:val="00536349"/>
    <w:rsid w:val="00536499"/>
    <w:rsid w:val="005364C6"/>
    <w:rsid w:val="00536586"/>
    <w:rsid w:val="00536661"/>
    <w:rsid w:val="0053667B"/>
    <w:rsid w:val="005366B5"/>
    <w:rsid w:val="005366DB"/>
    <w:rsid w:val="0053672A"/>
    <w:rsid w:val="0053672D"/>
    <w:rsid w:val="005367C7"/>
    <w:rsid w:val="005368AA"/>
    <w:rsid w:val="0053696C"/>
    <w:rsid w:val="005369AA"/>
    <w:rsid w:val="005369CF"/>
    <w:rsid w:val="005369E5"/>
    <w:rsid w:val="00536A67"/>
    <w:rsid w:val="00536AD1"/>
    <w:rsid w:val="00536BAA"/>
    <w:rsid w:val="00536BE8"/>
    <w:rsid w:val="00536BF7"/>
    <w:rsid w:val="00536C12"/>
    <w:rsid w:val="00536CAF"/>
    <w:rsid w:val="00536CCF"/>
    <w:rsid w:val="00536CF6"/>
    <w:rsid w:val="00536EBD"/>
    <w:rsid w:val="00536EFD"/>
    <w:rsid w:val="00536F31"/>
    <w:rsid w:val="005370E4"/>
    <w:rsid w:val="00537138"/>
    <w:rsid w:val="00537292"/>
    <w:rsid w:val="00537297"/>
    <w:rsid w:val="0053729D"/>
    <w:rsid w:val="0053729F"/>
    <w:rsid w:val="00537400"/>
    <w:rsid w:val="00537444"/>
    <w:rsid w:val="00537447"/>
    <w:rsid w:val="005374AC"/>
    <w:rsid w:val="00537541"/>
    <w:rsid w:val="00537552"/>
    <w:rsid w:val="0053760C"/>
    <w:rsid w:val="00537786"/>
    <w:rsid w:val="005378CB"/>
    <w:rsid w:val="005378EA"/>
    <w:rsid w:val="0053791C"/>
    <w:rsid w:val="0053792E"/>
    <w:rsid w:val="00537950"/>
    <w:rsid w:val="00537971"/>
    <w:rsid w:val="005379B1"/>
    <w:rsid w:val="00537B5D"/>
    <w:rsid w:val="00537BD6"/>
    <w:rsid w:val="00537BF0"/>
    <w:rsid w:val="00537BF3"/>
    <w:rsid w:val="00537C0D"/>
    <w:rsid w:val="00537C2F"/>
    <w:rsid w:val="00537C31"/>
    <w:rsid w:val="00537C4F"/>
    <w:rsid w:val="00537C56"/>
    <w:rsid w:val="00537DC8"/>
    <w:rsid w:val="00537E47"/>
    <w:rsid w:val="00537E9D"/>
    <w:rsid w:val="00537F23"/>
    <w:rsid w:val="00537FB1"/>
    <w:rsid w:val="00537FB6"/>
    <w:rsid w:val="00537FD8"/>
    <w:rsid w:val="00540010"/>
    <w:rsid w:val="00540094"/>
    <w:rsid w:val="005400AD"/>
    <w:rsid w:val="00540183"/>
    <w:rsid w:val="005401DB"/>
    <w:rsid w:val="00540297"/>
    <w:rsid w:val="005403A2"/>
    <w:rsid w:val="0054043F"/>
    <w:rsid w:val="005404E2"/>
    <w:rsid w:val="005405AB"/>
    <w:rsid w:val="005406AA"/>
    <w:rsid w:val="005406C7"/>
    <w:rsid w:val="0054074F"/>
    <w:rsid w:val="00540844"/>
    <w:rsid w:val="00540845"/>
    <w:rsid w:val="00540860"/>
    <w:rsid w:val="00540967"/>
    <w:rsid w:val="005409D3"/>
    <w:rsid w:val="00540A05"/>
    <w:rsid w:val="00540A4A"/>
    <w:rsid w:val="00540A51"/>
    <w:rsid w:val="00540C64"/>
    <w:rsid w:val="00540C97"/>
    <w:rsid w:val="00540D49"/>
    <w:rsid w:val="00540DCD"/>
    <w:rsid w:val="00540EDE"/>
    <w:rsid w:val="00540F47"/>
    <w:rsid w:val="00540F56"/>
    <w:rsid w:val="00540FAB"/>
    <w:rsid w:val="005410CD"/>
    <w:rsid w:val="005410F2"/>
    <w:rsid w:val="0054114C"/>
    <w:rsid w:val="005411E2"/>
    <w:rsid w:val="00541237"/>
    <w:rsid w:val="005412F2"/>
    <w:rsid w:val="0054134C"/>
    <w:rsid w:val="005413D8"/>
    <w:rsid w:val="005414A1"/>
    <w:rsid w:val="005414B7"/>
    <w:rsid w:val="00541603"/>
    <w:rsid w:val="00541616"/>
    <w:rsid w:val="00541651"/>
    <w:rsid w:val="00541690"/>
    <w:rsid w:val="0054184B"/>
    <w:rsid w:val="0054186D"/>
    <w:rsid w:val="005418A2"/>
    <w:rsid w:val="005418BA"/>
    <w:rsid w:val="005418DF"/>
    <w:rsid w:val="00541965"/>
    <w:rsid w:val="0054196F"/>
    <w:rsid w:val="00541A52"/>
    <w:rsid w:val="00541A63"/>
    <w:rsid w:val="00541B0A"/>
    <w:rsid w:val="00541B71"/>
    <w:rsid w:val="00541C0B"/>
    <w:rsid w:val="00541C41"/>
    <w:rsid w:val="00541CAF"/>
    <w:rsid w:val="00541CEB"/>
    <w:rsid w:val="00541D48"/>
    <w:rsid w:val="00541E0A"/>
    <w:rsid w:val="00541EA4"/>
    <w:rsid w:val="00541F05"/>
    <w:rsid w:val="00541F1A"/>
    <w:rsid w:val="00541F2C"/>
    <w:rsid w:val="00541F51"/>
    <w:rsid w:val="00542003"/>
    <w:rsid w:val="00542036"/>
    <w:rsid w:val="005420AF"/>
    <w:rsid w:val="005420D9"/>
    <w:rsid w:val="00542139"/>
    <w:rsid w:val="0054218C"/>
    <w:rsid w:val="005421BD"/>
    <w:rsid w:val="00542234"/>
    <w:rsid w:val="00542471"/>
    <w:rsid w:val="0054247C"/>
    <w:rsid w:val="0054251E"/>
    <w:rsid w:val="0054252F"/>
    <w:rsid w:val="005425AD"/>
    <w:rsid w:val="005425D2"/>
    <w:rsid w:val="005425FE"/>
    <w:rsid w:val="00542625"/>
    <w:rsid w:val="00542699"/>
    <w:rsid w:val="005426A0"/>
    <w:rsid w:val="0054279A"/>
    <w:rsid w:val="005427DB"/>
    <w:rsid w:val="0054298B"/>
    <w:rsid w:val="005429DE"/>
    <w:rsid w:val="00542B1B"/>
    <w:rsid w:val="00542BE1"/>
    <w:rsid w:val="00542C05"/>
    <w:rsid w:val="00542C60"/>
    <w:rsid w:val="00542E49"/>
    <w:rsid w:val="00542E5D"/>
    <w:rsid w:val="00542EAA"/>
    <w:rsid w:val="00542EB7"/>
    <w:rsid w:val="00542F5F"/>
    <w:rsid w:val="00542F8F"/>
    <w:rsid w:val="005430D2"/>
    <w:rsid w:val="005430FB"/>
    <w:rsid w:val="0054317E"/>
    <w:rsid w:val="00543183"/>
    <w:rsid w:val="005431DC"/>
    <w:rsid w:val="0054320A"/>
    <w:rsid w:val="00543251"/>
    <w:rsid w:val="00543322"/>
    <w:rsid w:val="00543496"/>
    <w:rsid w:val="005434B9"/>
    <w:rsid w:val="005435D5"/>
    <w:rsid w:val="005435E4"/>
    <w:rsid w:val="00543640"/>
    <w:rsid w:val="00543648"/>
    <w:rsid w:val="005436D8"/>
    <w:rsid w:val="005436DB"/>
    <w:rsid w:val="005437CA"/>
    <w:rsid w:val="0054383D"/>
    <w:rsid w:val="0054385E"/>
    <w:rsid w:val="005438E0"/>
    <w:rsid w:val="005438F3"/>
    <w:rsid w:val="00543991"/>
    <w:rsid w:val="00543A1B"/>
    <w:rsid w:val="00543A48"/>
    <w:rsid w:val="00543B1A"/>
    <w:rsid w:val="00543B8A"/>
    <w:rsid w:val="00543BE7"/>
    <w:rsid w:val="00543CAD"/>
    <w:rsid w:val="00543CAE"/>
    <w:rsid w:val="00543D5D"/>
    <w:rsid w:val="00543D96"/>
    <w:rsid w:val="00543DA7"/>
    <w:rsid w:val="00543E05"/>
    <w:rsid w:val="00543EEF"/>
    <w:rsid w:val="0054406C"/>
    <w:rsid w:val="005440AC"/>
    <w:rsid w:val="005440E3"/>
    <w:rsid w:val="00544110"/>
    <w:rsid w:val="00544163"/>
    <w:rsid w:val="00544164"/>
    <w:rsid w:val="00544173"/>
    <w:rsid w:val="00544201"/>
    <w:rsid w:val="00544286"/>
    <w:rsid w:val="00544374"/>
    <w:rsid w:val="0054437E"/>
    <w:rsid w:val="005443D2"/>
    <w:rsid w:val="00544506"/>
    <w:rsid w:val="005445BA"/>
    <w:rsid w:val="00544615"/>
    <w:rsid w:val="005446D8"/>
    <w:rsid w:val="005446F4"/>
    <w:rsid w:val="005447F5"/>
    <w:rsid w:val="005447FE"/>
    <w:rsid w:val="00544886"/>
    <w:rsid w:val="005448A4"/>
    <w:rsid w:val="0054499B"/>
    <w:rsid w:val="005449D6"/>
    <w:rsid w:val="005449F4"/>
    <w:rsid w:val="00544B79"/>
    <w:rsid w:val="00544BF8"/>
    <w:rsid w:val="00544D37"/>
    <w:rsid w:val="00544D52"/>
    <w:rsid w:val="00544EFF"/>
    <w:rsid w:val="00544FBC"/>
    <w:rsid w:val="00544FEB"/>
    <w:rsid w:val="005450FF"/>
    <w:rsid w:val="0054519D"/>
    <w:rsid w:val="005451E8"/>
    <w:rsid w:val="00545244"/>
    <w:rsid w:val="00545329"/>
    <w:rsid w:val="0054535C"/>
    <w:rsid w:val="00545423"/>
    <w:rsid w:val="005454B9"/>
    <w:rsid w:val="005454D9"/>
    <w:rsid w:val="00545512"/>
    <w:rsid w:val="0054557A"/>
    <w:rsid w:val="0054561C"/>
    <w:rsid w:val="0054577A"/>
    <w:rsid w:val="00545798"/>
    <w:rsid w:val="005457A0"/>
    <w:rsid w:val="005457AC"/>
    <w:rsid w:val="005457DA"/>
    <w:rsid w:val="00545898"/>
    <w:rsid w:val="005458C7"/>
    <w:rsid w:val="005458F9"/>
    <w:rsid w:val="00545997"/>
    <w:rsid w:val="005459DC"/>
    <w:rsid w:val="00545B02"/>
    <w:rsid w:val="00545BAE"/>
    <w:rsid w:val="00545C14"/>
    <w:rsid w:val="00545CBC"/>
    <w:rsid w:val="00545CD2"/>
    <w:rsid w:val="00545D09"/>
    <w:rsid w:val="00545D7F"/>
    <w:rsid w:val="00545E7A"/>
    <w:rsid w:val="00545ECB"/>
    <w:rsid w:val="00545F62"/>
    <w:rsid w:val="00546045"/>
    <w:rsid w:val="00546109"/>
    <w:rsid w:val="00546149"/>
    <w:rsid w:val="00546161"/>
    <w:rsid w:val="00546187"/>
    <w:rsid w:val="005461F6"/>
    <w:rsid w:val="00546208"/>
    <w:rsid w:val="005462DB"/>
    <w:rsid w:val="00546455"/>
    <w:rsid w:val="005464B5"/>
    <w:rsid w:val="005464BA"/>
    <w:rsid w:val="0054650B"/>
    <w:rsid w:val="00546538"/>
    <w:rsid w:val="00546555"/>
    <w:rsid w:val="005466A9"/>
    <w:rsid w:val="005466BC"/>
    <w:rsid w:val="00546A6C"/>
    <w:rsid w:val="00546BDC"/>
    <w:rsid w:val="00546BEE"/>
    <w:rsid w:val="00546CB2"/>
    <w:rsid w:val="00546F7C"/>
    <w:rsid w:val="00546F8C"/>
    <w:rsid w:val="00546FAA"/>
    <w:rsid w:val="00546FFC"/>
    <w:rsid w:val="00547024"/>
    <w:rsid w:val="005470B4"/>
    <w:rsid w:val="00547165"/>
    <w:rsid w:val="0054717A"/>
    <w:rsid w:val="00547200"/>
    <w:rsid w:val="00547217"/>
    <w:rsid w:val="0054722C"/>
    <w:rsid w:val="00547343"/>
    <w:rsid w:val="00547387"/>
    <w:rsid w:val="0054741F"/>
    <w:rsid w:val="0054748D"/>
    <w:rsid w:val="0054775C"/>
    <w:rsid w:val="00547761"/>
    <w:rsid w:val="005477A3"/>
    <w:rsid w:val="005477FC"/>
    <w:rsid w:val="00547854"/>
    <w:rsid w:val="005478F4"/>
    <w:rsid w:val="00547911"/>
    <w:rsid w:val="00547970"/>
    <w:rsid w:val="00547993"/>
    <w:rsid w:val="005479E3"/>
    <w:rsid w:val="00547A29"/>
    <w:rsid w:val="00547B92"/>
    <w:rsid w:val="00547BDE"/>
    <w:rsid w:val="00547CF3"/>
    <w:rsid w:val="00547D9B"/>
    <w:rsid w:val="00547EA6"/>
    <w:rsid w:val="00547EB3"/>
    <w:rsid w:val="00547EF1"/>
    <w:rsid w:val="00547F02"/>
    <w:rsid w:val="0055006D"/>
    <w:rsid w:val="00550339"/>
    <w:rsid w:val="00550354"/>
    <w:rsid w:val="0055037D"/>
    <w:rsid w:val="00550565"/>
    <w:rsid w:val="005505E5"/>
    <w:rsid w:val="00550691"/>
    <w:rsid w:val="00550697"/>
    <w:rsid w:val="005506D2"/>
    <w:rsid w:val="005507A1"/>
    <w:rsid w:val="00550881"/>
    <w:rsid w:val="0055094F"/>
    <w:rsid w:val="005509FF"/>
    <w:rsid w:val="00550A10"/>
    <w:rsid w:val="00550A3A"/>
    <w:rsid w:val="00550B47"/>
    <w:rsid w:val="00550D79"/>
    <w:rsid w:val="00550D93"/>
    <w:rsid w:val="0055101D"/>
    <w:rsid w:val="0055105F"/>
    <w:rsid w:val="005512DA"/>
    <w:rsid w:val="005512F3"/>
    <w:rsid w:val="005512FD"/>
    <w:rsid w:val="005513B7"/>
    <w:rsid w:val="0055148F"/>
    <w:rsid w:val="005514A4"/>
    <w:rsid w:val="005515B3"/>
    <w:rsid w:val="00551637"/>
    <w:rsid w:val="0055165C"/>
    <w:rsid w:val="00551860"/>
    <w:rsid w:val="00551875"/>
    <w:rsid w:val="005518AA"/>
    <w:rsid w:val="005518B9"/>
    <w:rsid w:val="005518BC"/>
    <w:rsid w:val="00551A36"/>
    <w:rsid w:val="00551A71"/>
    <w:rsid w:val="00551A80"/>
    <w:rsid w:val="00551A88"/>
    <w:rsid w:val="00551ADA"/>
    <w:rsid w:val="00551B52"/>
    <w:rsid w:val="00551B57"/>
    <w:rsid w:val="00551B86"/>
    <w:rsid w:val="00551C32"/>
    <w:rsid w:val="00551CA2"/>
    <w:rsid w:val="00551CE4"/>
    <w:rsid w:val="00551D24"/>
    <w:rsid w:val="00551D3C"/>
    <w:rsid w:val="00551D55"/>
    <w:rsid w:val="00551DC2"/>
    <w:rsid w:val="00551E27"/>
    <w:rsid w:val="00551F38"/>
    <w:rsid w:val="00551F7D"/>
    <w:rsid w:val="00551F8C"/>
    <w:rsid w:val="00551FAC"/>
    <w:rsid w:val="0055206B"/>
    <w:rsid w:val="005520CA"/>
    <w:rsid w:val="0055210A"/>
    <w:rsid w:val="005521D2"/>
    <w:rsid w:val="0055226C"/>
    <w:rsid w:val="005522F7"/>
    <w:rsid w:val="00552320"/>
    <w:rsid w:val="00552338"/>
    <w:rsid w:val="005523EC"/>
    <w:rsid w:val="0055250E"/>
    <w:rsid w:val="005525A4"/>
    <w:rsid w:val="005525B1"/>
    <w:rsid w:val="00552641"/>
    <w:rsid w:val="0055266B"/>
    <w:rsid w:val="00552703"/>
    <w:rsid w:val="00552780"/>
    <w:rsid w:val="0055279B"/>
    <w:rsid w:val="005528ED"/>
    <w:rsid w:val="00552959"/>
    <w:rsid w:val="00552995"/>
    <w:rsid w:val="00552B06"/>
    <w:rsid w:val="00552B25"/>
    <w:rsid w:val="00552B33"/>
    <w:rsid w:val="00552BB3"/>
    <w:rsid w:val="00552BDC"/>
    <w:rsid w:val="00552C2E"/>
    <w:rsid w:val="00552C7E"/>
    <w:rsid w:val="00552D07"/>
    <w:rsid w:val="00552D1E"/>
    <w:rsid w:val="00552D29"/>
    <w:rsid w:val="00552D64"/>
    <w:rsid w:val="00552D7E"/>
    <w:rsid w:val="00552DC0"/>
    <w:rsid w:val="00552E0C"/>
    <w:rsid w:val="00552EFC"/>
    <w:rsid w:val="00552FEB"/>
    <w:rsid w:val="005530EE"/>
    <w:rsid w:val="00553301"/>
    <w:rsid w:val="00553405"/>
    <w:rsid w:val="00553424"/>
    <w:rsid w:val="00553493"/>
    <w:rsid w:val="00553519"/>
    <w:rsid w:val="005535BF"/>
    <w:rsid w:val="00553683"/>
    <w:rsid w:val="005536D8"/>
    <w:rsid w:val="0055374C"/>
    <w:rsid w:val="0055374D"/>
    <w:rsid w:val="0055389E"/>
    <w:rsid w:val="005538AB"/>
    <w:rsid w:val="00553965"/>
    <w:rsid w:val="00553978"/>
    <w:rsid w:val="005539E4"/>
    <w:rsid w:val="00553C4F"/>
    <w:rsid w:val="00553C5E"/>
    <w:rsid w:val="00553CBE"/>
    <w:rsid w:val="00553ED8"/>
    <w:rsid w:val="00553EF9"/>
    <w:rsid w:val="00553F03"/>
    <w:rsid w:val="00553F2A"/>
    <w:rsid w:val="00553F88"/>
    <w:rsid w:val="00554324"/>
    <w:rsid w:val="0055432B"/>
    <w:rsid w:val="00554362"/>
    <w:rsid w:val="005543F3"/>
    <w:rsid w:val="0055448A"/>
    <w:rsid w:val="005544F4"/>
    <w:rsid w:val="0055451D"/>
    <w:rsid w:val="00554533"/>
    <w:rsid w:val="00554545"/>
    <w:rsid w:val="00554549"/>
    <w:rsid w:val="0055456A"/>
    <w:rsid w:val="005545A8"/>
    <w:rsid w:val="00554736"/>
    <w:rsid w:val="00554857"/>
    <w:rsid w:val="0055494E"/>
    <w:rsid w:val="005549D9"/>
    <w:rsid w:val="005549F1"/>
    <w:rsid w:val="00554A17"/>
    <w:rsid w:val="00554A81"/>
    <w:rsid w:val="00554AD5"/>
    <w:rsid w:val="00554B4B"/>
    <w:rsid w:val="00554C2C"/>
    <w:rsid w:val="00554CE1"/>
    <w:rsid w:val="00554D3B"/>
    <w:rsid w:val="00554D8F"/>
    <w:rsid w:val="00554F88"/>
    <w:rsid w:val="0055511B"/>
    <w:rsid w:val="005551E6"/>
    <w:rsid w:val="00555217"/>
    <w:rsid w:val="00555228"/>
    <w:rsid w:val="0055527A"/>
    <w:rsid w:val="005552AE"/>
    <w:rsid w:val="005552B7"/>
    <w:rsid w:val="005553BB"/>
    <w:rsid w:val="00555406"/>
    <w:rsid w:val="00555426"/>
    <w:rsid w:val="00555482"/>
    <w:rsid w:val="0055560E"/>
    <w:rsid w:val="005556ED"/>
    <w:rsid w:val="0055570E"/>
    <w:rsid w:val="00555772"/>
    <w:rsid w:val="00555775"/>
    <w:rsid w:val="00555785"/>
    <w:rsid w:val="00555826"/>
    <w:rsid w:val="005559AE"/>
    <w:rsid w:val="00555A0D"/>
    <w:rsid w:val="00555A29"/>
    <w:rsid w:val="00555A39"/>
    <w:rsid w:val="00555A5B"/>
    <w:rsid w:val="00555B06"/>
    <w:rsid w:val="00555B3E"/>
    <w:rsid w:val="00555BCA"/>
    <w:rsid w:val="00555C31"/>
    <w:rsid w:val="00555CD8"/>
    <w:rsid w:val="00555CF7"/>
    <w:rsid w:val="00555D35"/>
    <w:rsid w:val="00555D84"/>
    <w:rsid w:val="00555DC7"/>
    <w:rsid w:val="00555DCD"/>
    <w:rsid w:val="00555EDB"/>
    <w:rsid w:val="00555EFD"/>
    <w:rsid w:val="00555F03"/>
    <w:rsid w:val="00555F0E"/>
    <w:rsid w:val="005560FB"/>
    <w:rsid w:val="00556113"/>
    <w:rsid w:val="0055615F"/>
    <w:rsid w:val="00556168"/>
    <w:rsid w:val="0055621D"/>
    <w:rsid w:val="00556249"/>
    <w:rsid w:val="0055627C"/>
    <w:rsid w:val="00556281"/>
    <w:rsid w:val="005562B3"/>
    <w:rsid w:val="00556386"/>
    <w:rsid w:val="00556471"/>
    <w:rsid w:val="0055649C"/>
    <w:rsid w:val="0055656E"/>
    <w:rsid w:val="0055658C"/>
    <w:rsid w:val="005565AE"/>
    <w:rsid w:val="005565D8"/>
    <w:rsid w:val="005565E1"/>
    <w:rsid w:val="0055660E"/>
    <w:rsid w:val="005566AC"/>
    <w:rsid w:val="005566B1"/>
    <w:rsid w:val="00556707"/>
    <w:rsid w:val="0055670B"/>
    <w:rsid w:val="005567B1"/>
    <w:rsid w:val="00556814"/>
    <w:rsid w:val="00556872"/>
    <w:rsid w:val="0055691F"/>
    <w:rsid w:val="00556951"/>
    <w:rsid w:val="0055698E"/>
    <w:rsid w:val="00556A5F"/>
    <w:rsid w:val="00556B5E"/>
    <w:rsid w:val="00556B75"/>
    <w:rsid w:val="00556BC5"/>
    <w:rsid w:val="00556BF7"/>
    <w:rsid w:val="00556C9C"/>
    <w:rsid w:val="00556DDA"/>
    <w:rsid w:val="00556DE9"/>
    <w:rsid w:val="00556E9A"/>
    <w:rsid w:val="00557019"/>
    <w:rsid w:val="00557122"/>
    <w:rsid w:val="00557184"/>
    <w:rsid w:val="00557219"/>
    <w:rsid w:val="005572B4"/>
    <w:rsid w:val="00557310"/>
    <w:rsid w:val="005573AF"/>
    <w:rsid w:val="00557447"/>
    <w:rsid w:val="005576E2"/>
    <w:rsid w:val="0055770A"/>
    <w:rsid w:val="0055773D"/>
    <w:rsid w:val="00557772"/>
    <w:rsid w:val="005577B9"/>
    <w:rsid w:val="00557808"/>
    <w:rsid w:val="00557834"/>
    <w:rsid w:val="005578C0"/>
    <w:rsid w:val="00557A3F"/>
    <w:rsid w:val="00557AD2"/>
    <w:rsid w:val="00557AEC"/>
    <w:rsid w:val="00557BEE"/>
    <w:rsid w:val="00557C5C"/>
    <w:rsid w:val="00557D05"/>
    <w:rsid w:val="00557D0F"/>
    <w:rsid w:val="00557E36"/>
    <w:rsid w:val="00557FD5"/>
    <w:rsid w:val="00557FF0"/>
    <w:rsid w:val="00560083"/>
    <w:rsid w:val="0056009A"/>
    <w:rsid w:val="005602FB"/>
    <w:rsid w:val="00560373"/>
    <w:rsid w:val="005603AC"/>
    <w:rsid w:val="00560407"/>
    <w:rsid w:val="0056041F"/>
    <w:rsid w:val="00560437"/>
    <w:rsid w:val="00560466"/>
    <w:rsid w:val="00560539"/>
    <w:rsid w:val="00560548"/>
    <w:rsid w:val="00560571"/>
    <w:rsid w:val="005606B5"/>
    <w:rsid w:val="005606BF"/>
    <w:rsid w:val="005607E9"/>
    <w:rsid w:val="005608A5"/>
    <w:rsid w:val="005608FF"/>
    <w:rsid w:val="00560A1E"/>
    <w:rsid w:val="00560A29"/>
    <w:rsid w:val="00560A50"/>
    <w:rsid w:val="00560A74"/>
    <w:rsid w:val="00560A8C"/>
    <w:rsid w:val="00560AB1"/>
    <w:rsid w:val="00560B6F"/>
    <w:rsid w:val="00560BAA"/>
    <w:rsid w:val="00560C9C"/>
    <w:rsid w:val="00560D88"/>
    <w:rsid w:val="00560E32"/>
    <w:rsid w:val="00560E50"/>
    <w:rsid w:val="00560E53"/>
    <w:rsid w:val="00560F09"/>
    <w:rsid w:val="00560F12"/>
    <w:rsid w:val="005610D6"/>
    <w:rsid w:val="00561182"/>
    <w:rsid w:val="00561225"/>
    <w:rsid w:val="0056122D"/>
    <w:rsid w:val="00561260"/>
    <w:rsid w:val="005612AB"/>
    <w:rsid w:val="0056132F"/>
    <w:rsid w:val="00561492"/>
    <w:rsid w:val="005614EC"/>
    <w:rsid w:val="00561537"/>
    <w:rsid w:val="00561567"/>
    <w:rsid w:val="0056162D"/>
    <w:rsid w:val="005616D3"/>
    <w:rsid w:val="005617CE"/>
    <w:rsid w:val="005618F1"/>
    <w:rsid w:val="0056190F"/>
    <w:rsid w:val="0056196B"/>
    <w:rsid w:val="00561A95"/>
    <w:rsid w:val="00561AA7"/>
    <w:rsid w:val="00561ABC"/>
    <w:rsid w:val="00561ACC"/>
    <w:rsid w:val="00561BA6"/>
    <w:rsid w:val="00561C32"/>
    <w:rsid w:val="00561DD7"/>
    <w:rsid w:val="00561E59"/>
    <w:rsid w:val="00561E89"/>
    <w:rsid w:val="00561E9A"/>
    <w:rsid w:val="00561ED6"/>
    <w:rsid w:val="00561F43"/>
    <w:rsid w:val="00561F73"/>
    <w:rsid w:val="00562023"/>
    <w:rsid w:val="00562078"/>
    <w:rsid w:val="005620FB"/>
    <w:rsid w:val="00562162"/>
    <w:rsid w:val="005621A3"/>
    <w:rsid w:val="005621B9"/>
    <w:rsid w:val="005623AA"/>
    <w:rsid w:val="0056247D"/>
    <w:rsid w:val="00562551"/>
    <w:rsid w:val="0056255A"/>
    <w:rsid w:val="0056266F"/>
    <w:rsid w:val="005626A2"/>
    <w:rsid w:val="00562799"/>
    <w:rsid w:val="005627F2"/>
    <w:rsid w:val="00562810"/>
    <w:rsid w:val="00562820"/>
    <w:rsid w:val="0056283E"/>
    <w:rsid w:val="00562888"/>
    <w:rsid w:val="00562942"/>
    <w:rsid w:val="005629ED"/>
    <w:rsid w:val="00562A63"/>
    <w:rsid w:val="00562B76"/>
    <w:rsid w:val="00562CCF"/>
    <w:rsid w:val="00562E8C"/>
    <w:rsid w:val="0056309C"/>
    <w:rsid w:val="005630D7"/>
    <w:rsid w:val="00563125"/>
    <w:rsid w:val="0056320D"/>
    <w:rsid w:val="00563263"/>
    <w:rsid w:val="005632EC"/>
    <w:rsid w:val="00563303"/>
    <w:rsid w:val="005633C5"/>
    <w:rsid w:val="005633E7"/>
    <w:rsid w:val="0056341B"/>
    <w:rsid w:val="0056343F"/>
    <w:rsid w:val="00563468"/>
    <w:rsid w:val="00563492"/>
    <w:rsid w:val="005634A9"/>
    <w:rsid w:val="005634B3"/>
    <w:rsid w:val="005635BE"/>
    <w:rsid w:val="005635EC"/>
    <w:rsid w:val="005635F7"/>
    <w:rsid w:val="0056364D"/>
    <w:rsid w:val="00563730"/>
    <w:rsid w:val="0056390B"/>
    <w:rsid w:val="0056391A"/>
    <w:rsid w:val="00563A54"/>
    <w:rsid w:val="00563B59"/>
    <w:rsid w:val="00563B6A"/>
    <w:rsid w:val="00563B7B"/>
    <w:rsid w:val="00563B9C"/>
    <w:rsid w:val="00563BC2"/>
    <w:rsid w:val="00563C68"/>
    <w:rsid w:val="00563CFB"/>
    <w:rsid w:val="00563F45"/>
    <w:rsid w:val="00563FCC"/>
    <w:rsid w:val="005640A9"/>
    <w:rsid w:val="00564104"/>
    <w:rsid w:val="0056410F"/>
    <w:rsid w:val="0056419B"/>
    <w:rsid w:val="005641AC"/>
    <w:rsid w:val="00564228"/>
    <w:rsid w:val="00564267"/>
    <w:rsid w:val="00564301"/>
    <w:rsid w:val="00564337"/>
    <w:rsid w:val="005643FF"/>
    <w:rsid w:val="00564424"/>
    <w:rsid w:val="00564445"/>
    <w:rsid w:val="0056455F"/>
    <w:rsid w:val="00564567"/>
    <w:rsid w:val="005645DD"/>
    <w:rsid w:val="0056468D"/>
    <w:rsid w:val="00564716"/>
    <w:rsid w:val="00564843"/>
    <w:rsid w:val="00564848"/>
    <w:rsid w:val="00564872"/>
    <w:rsid w:val="0056487E"/>
    <w:rsid w:val="005648AA"/>
    <w:rsid w:val="005648FB"/>
    <w:rsid w:val="00564925"/>
    <w:rsid w:val="005649E6"/>
    <w:rsid w:val="00564A37"/>
    <w:rsid w:val="00564A52"/>
    <w:rsid w:val="00564AC8"/>
    <w:rsid w:val="00564D41"/>
    <w:rsid w:val="00564DD8"/>
    <w:rsid w:val="00564DFC"/>
    <w:rsid w:val="00564EB9"/>
    <w:rsid w:val="00564F86"/>
    <w:rsid w:val="00564FB4"/>
    <w:rsid w:val="00565005"/>
    <w:rsid w:val="005650CA"/>
    <w:rsid w:val="00565120"/>
    <w:rsid w:val="00565142"/>
    <w:rsid w:val="00565384"/>
    <w:rsid w:val="00565442"/>
    <w:rsid w:val="00565500"/>
    <w:rsid w:val="0056550B"/>
    <w:rsid w:val="0056552A"/>
    <w:rsid w:val="00565534"/>
    <w:rsid w:val="00565726"/>
    <w:rsid w:val="00565855"/>
    <w:rsid w:val="005659DA"/>
    <w:rsid w:val="005659E4"/>
    <w:rsid w:val="005659FF"/>
    <w:rsid w:val="00565A0A"/>
    <w:rsid w:val="00565A7E"/>
    <w:rsid w:val="00565B05"/>
    <w:rsid w:val="00565B36"/>
    <w:rsid w:val="00565B7D"/>
    <w:rsid w:val="00565BF6"/>
    <w:rsid w:val="00565D3E"/>
    <w:rsid w:val="00565DD6"/>
    <w:rsid w:val="00565E01"/>
    <w:rsid w:val="00565F13"/>
    <w:rsid w:val="00565F78"/>
    <w:rsid w:val="00565F8A"/>
    <w:rsid w:val="005660FE"/>
    <w:rsid w:val="00566121"/>
    <w:rsid w:val="00566218"/>
    <w:rsid w:val="00566410"/>
    <w:rsid w:val="0056643E"/>
    <w:rsid w:val="00566544"/>
    <w:rsid w:val="00566638"/>
    <w:rsid w:val="005666D8"/>
    <w:rsid w:val="005666FB"/>
    <w:rsid w:val="00566707"/>
    <w:rsid w:val="00566720"/>
    <w:rsid w:val="00566765"/>
    <w:rsid w:val="0056681A"/>
    <w:rsid w:val="0056688F"/>
    <w:rsid w:val="005668D8"/>
    <w:rsid w:val="0056692A"/>
    <w:rsid w:val="005669C8"/>
    <w:rsid w:val="005669D4"/>
    <w:rsid w:val="005669F3"/>
    <w:rsid w:val="00566B8A"/>
    <w:rsid w:val="00566BB8"/>
    <w:rsid w:val="00566CBF"/>
    <w:rsid w:val="00566D32"/>
    <w:rsid w:val="00566D93"/>
    <w:rsid w:val="00566DD2"/>
    <w:rsid w:val="00566E10"/>
    <w:rsid w:val="00566E3D"/>
    <w:rsid w:val="00566E81"/>
    <w:rsid w:val="00566EB1"/>
    <w:rsid w:val="00566F27"/>
    <w:rsid w:val="00566F6D"/>
    <w:rsid w:val="00566F99"/>
    <w:rsid w:val="00566FDF"/>
    <w:rsid w:val="0056707A"/>
    <w:rsid w:val="005670A6"/>
    <w:rsid w:val="005670D9"/>
    <w:rsid w:val="00567164"/>
    <w:rsid w:val="00567196"/>
    <w:rsid w:val="005671BD"/>
    <w:rsid w:val="00567204"/>
    <w:rsid w:val="00567279"/>
    <w:rsid w:val="005672D0"/>
    <w:rsid w:val="005672EB"/>
    <w:rsid w:val="005672ED"/>
    <w:rsid w:val="005672FC"/>
    <w:rsid w:val="00567307"/>
    <w:rsid w:val="00567340"/>
    <w:rsid w:val="005673B7"/>
    <w:rsid w:val="005673E5"/>
    <w:rsid w:val="0056750A"/>
    <w:rsid w:val="00567518"/>
    <w:rsid w:val="0056752C"/>
    <w:rsid w:val="00567628"/>
    <w:rsid w:val="00567654"/>
    <w:rsid w:val="005676A8"/>
    <w:rsid w:val="00567705"/>
    <w:rsid w:val="0056773A"/>
    <w:rsid w:val="00567752"/>
    <w:rsid w:val="005677A1"/>
    <w:rsid w:val="005677D0"/>
    <w:rsid w:val="005677E3"/>
    <w:rsid w:val="00567874"/>
    <w:rsid w:val="005678ED"/>
    <w:rsid w:val="00567961"/>
    <w:rsid w:val="0056797F"/>
    <w:rsid w:val="0056799F"/>
    <w:rsid w:val="005679EF"/>
    <w:rsid w:val="00567A1C"/>
    <w:rsid w:val="00567A28"/>
    <w:rsid w:val="00567B76"/>
    <w:rsid w:val="00567C17"/>
    <w:rsid w:val="00567E2E"/>
    <w:rsid w:val="00567E71"/>
    <w:rsid w:val="00567FAF"/>
    <w:rsid w:val="00567FCD"/>
    <w:rsid w:val="00567FF4"/>
    <w:rsid w:val="005702A6"/>
    <w:rsid w:val="0057031F"/>
    <w:rsid w:val="0057033E"/>
    <w:rsid w:val="005703B2"/>
    <w:rsid w:val="005703F2"/>
    <w:rsid w:val="0057044E"/>
    <w:rsid w:val="005705BD"/>
    <w:rsid w:val="00570726"/>
    <w:rsid w:val="00570741"/>
    <w:rsid w:val="00570836"/>
    <w:rsid w:val="005708A2"/>
    <w:rsid w:val="00570A33"/>
    <w:rsid w:val="00570A99"/>
    <w:rsid w:val="00570ACA"/>
    <w:rsid w:val="00570C43"/>
    <w:rsid w:val="00570C4F"/>
    <w:rsid w:val="00570D56"/>
    <w:rsid w:val="00570DAC"/>
    <w:rsid w:val="00570E19"/>
    <w:rsid w:val="00570E55"/>
    <w:rsid w:val="00570E5F"/>
    <w:rsid w:val="00570E82"/>
    <w:rsid w:val="00570F24"/>
    <w:rsid w:val="00570F76"/>
    <w:rsid w:val="005710F9"/>
    <w:rsid w:val="00571165"/>
    <w:rsid w:val="0057120A"/>
    <w:rsid w:val="00571248"/>
    <w:rsid w:val="0057132C"/>
    <w:rsid w:val="0057133A"/>
    <w:rsid w:val="0057149C"/>
    <w:rsid w:val="005714BF"/>
    <w:rsid w:val="005714E1"/>
    <w:rsid w:val="00571518"/>
    <w:rsid w:val="005715E1"/>
    <w:rsid w:val="0057160C"/>
    <w:rsid w:val="00571632"/>
    <w:rsid w:val="00571814"/>
    <w:rsid w:val="005718EB"/>
    <w:rsid w:val="0057195D"/>
    <w:rsid w:val="00571ABD"/>
    <w:rsid w:val="00571B61"/>
    <w:rsid w:val="00571B75"/>
    <w:rsid w:val="00571B90"/>
    <w:rsid w:val="00571BD7"/>
    <w:rsid w:val="00571BF3"/>
    <w:rsid w:val="00571C44"/>
    <w:rsid w:val="00571CDA"/>
    <w:rsid w:val="00571CF8"/>
    <w:rsid w:val="00571D20"/>
    <w:rsid w:val="00571D56"/>
    <w:rsid w:val="00571D96"/>
    <w:rsid w:val="00571DB0"/>
    <w:rsid w:val="00571DC1"/>
    <w:rsid w:val="00571DE6"/>
    <w:rsid w:val="00571FBB"/>
    <w:rsid w:val="00571FC0"/>
    <w:rsid w:val="00572072"/>
    <w:rsid w:val="00572098"/>
    <w:rsid w:val="005720A7"/>
    <w:rsid w:val="0057210C"/>
    <w:rsid w:val="00572122"/>
    <w:rsid w:val="00572174"/>
    <w:rsid w:val="005721B2"/>
    <w:rsid w:val="005721E1"/>
    <w:rsid w:val="0057223A"/>
    <w:rsid w:val="00572297"/>
    <w:rsid w:val="005722CA"/>
    <w:rsid w:val="0057233D"/>
    <w:rsid w:val="0057235D"/>
    <w:rsid w:val="0057265F"/>
    <w:rsid w:val="00572668"/>
    <w:rsid w:val="00572671"/>
    <w:rsid w:val="005726E0"/>
    <w:rsid w:val="0057270D"/>
    <w:rsid w:val="00572772"/>
    <w:rsid w:val="0057279D"/>
    <w:rsid w:val="00572889"/>
    <w:rsid w:val="00572A70"/>
    <w:rsid w:val="00572A7C"/>
    <w:rsid w:val="00572ADC"/>
    <w:rsid w:val="00572B19"/>
    <w:rsid w:val="00572C88"/>
    <w:rsid w:val="00572EF8"/>
    <w:rsid w:val="00572F41"/>
    <w:rsid w:val="00572F6C"/>
    <w:rsid w:val="00572F9E"/>
    <w:rsid w:val="00572FAB"/>
    <w:rsid w:val="00573013"/>
    <w:rsid w:val="005731E0"/>
    <w:rsid w:val="005731FA"/>
    <w:rsid w:val="00573236"/>
    <w:rsid w:val="0057325D"/>
    <w:rsid w:val="0057325F"/>
    <w:rsid w:val="0057333B"/>
    <w:rsid w:val="00573377"/>
    <w:rsid w:val="00573398"/>
    <w:rsid w:val="00573516"/>
    <w:rsid w:val="0057351D"/>
    <w:rsid w:val="0057355B"/>
    <w:rsid w:val="005735BB"/>
    <w:rsid w:val="005735CE"/>
    <w:rsid w:val="005735F3"/>
    <w:rsid w:val="0057364E"/>
    <w:rsid w:val="00573652"/>
    <w:rsid w:val="005736CD"/>
    <w:rsid w:val="005737E8"/>
    <w:rsid w:val="00573890"/>
    <w:rsid w:val="005738B2"/>
    <w:rsid w:val="0057396A"/>
    <w:rsid w:val="005739D8"/>
    <w:rsid w:val="00573B48"/>
    <w:rsid w:val="00573CB8"/>
    <w:rsid w:val="00573F28"/>
    <w:rsid w:val="00573FE0"/>
    <w:rsid w:val="005740CD"/>
    <w:rsid w:val="005740F4"/>
    <w:rsid w:val="00574136"/>
    <w:rsid w:val="00574187"/>
    <w:rsid w:val="005741FD"/>
    <w:rsid w:val="00574214"/>
    <w:rsid w:val="005742AF"/>
    <w:rsid w:val="005743AF"/>
    <w:rsid w:val="005743E3"/>
    <w:rsid w:val="0057445C"/>
    <w:rsid w:val="005744F5"/>
    <w:rsid w:val="005744FA"/>
    <w:rsid w:val="005745C3"/>
    <w:rsid w:val="005745DE"/>
    <w:rsid w:val="005746DA"/>
    <w:rsid w:val="005746DF"/>
    <w:rsid w:val="0057487D"/>
    <w:rsid w:val="00574892"/>
    <w:rsid w:val="005748B6"/>
    <w:rsid w:val="005748D2"/>
    <w:rsid w:val="005748E0"/>
    <w:rsid w:val="0057493A"/>
    <w:rsid w:val="005749BF"/>
    <w:rsid w:val="005749C3"/>
    <w:rsid w:val="00574A40"/>
    <w:rsid w:val="00574A85"/>
    <w:rsid w:val="00574A88"/>
    <w:rsid w:val="00574ACD"/>
    <w:rsid w:val="00574B88"/>
    <w:rsid w:val="00574C60"/>
    <w:rsid w:val="00574CA6"/>
    <w:rsid w:val="00574CBA"/>
    <w:rsid w:val="00574CE5"/>
    <w:rsid w:val="00574CFF"/>
    <w:rsid w:val="00574D16"/>
    <w:rsid w:val="00574DBA"/>
    <w:rsid w:val="00574E0B"/>
    <w:rsid w:val="00574F17"/>
    <w:rsid w:val="00574F39"/>
    <w:rsid w:val="00574F46"/>
    <w:rsid w:val="00574F9B"/>
    <w:rsid w:val="00574F9C"/>
    <w:rsid w:val="00575027"/>
    <w:rsid w:val="0057507B"/>
    <w:rsid w:val="00575166"/>
    <w:rsid w:val="00575178"/>
    <w:rsid w:val="00575232"/>
    <w:rsid w:val="005753E2"/>
    <w:rsid w:val="00575411"/>
    <w:rsid w:val="00575549"/>
    <w:rsid w:val="0057556C"/>
    <w:rsid w:val="0057558C"/>
    <w:rsid w:val="005756FD"/>
    <w:rsid w:val="00575760"/>
    <w:rsid w:val="005757CC"/>
    <w:rsid w:val="005757CF"/>
    <w:rsid w:val="00575837"/>
    <w:rsid w:val="005758F3"/>
    <w:rsid w:val="005758FD"/>
    <w:rsid w:val="005759B2"/>
    <w:rsid w:val="005759E7"/>
    <w:rsid w:val="00575A06"/>
    <w:rsid w:val="00575AC3"/>
    <w:rsid w:val="00575BC9"/>
    <w:rsid w:val="00575C5A"/>
    <w:rsid w:val="00575CE6"/>
    <w:rsid w:val="00575F3E"/>
    <w:rsid w:val="00575F8A"/>
    <w:rsid w:val="00575FA4"/>
    <w:rsid w:val="00576040"/>
    <w:rsid w:val="005760A2"/>
    <w:rsid w:val="005760AB"/>
    <w:rsid w:val="005760BE"/>
    <w:rsid w:val="005761F0"/>
    <w:rsid w:val="00576284"/>
    <w:rsid w:val="005762B8"/>
    <w:rsid w:val="00576302"/>
    <w:rsid w:val="00576316"/>
    <w:rsid w:val="00576350"/>
    <w:rsid w:val="005763A5"/>
    <w:rsid w:val="0057648A"/>
    <w:rsid w:val="0057651E"/>
    <w:rsid w:val="005765DC"/>
    <w:rsid w:val="00576611"/>
    <w:rsid w:val="00576693"/>
    <w:rsid w:val="005766DF"/>
    <w:rsid w:val="00576833"/>
    <w:rsid w:val="00576870"/>
    <w:rsid w:val="00576894"/>
    <w:rsid w:val="005768CA"/>
    <w:rsid w:val="0057695C"/>
    <w:rsid w:val="00576967"/>
    <w:rsid w:val="00576A2A"/>
    <w:rsid w:val="00576AB2"/>
    <w:rsid w:val="00576AD3"/>
    <w:rsid w:val="00576BA6"/>
    <w:rsid w:val="00576BEB"/>
    <w:rsid w:val="00576CEB"/>
    <w:rsid w:val="00576CEC"/>
    <w:rsid w:val="00576D62"/>
    <w:rsid w:val="00576D8E"/>
    <w:rsid w:val="00576E04"/>
    <w:rsid w:val="00576E29"/>
    <w:rsid w:val="00576E3F"/>
    <w:rsid w:val="00576FA8"/>
    <w:rsid w:val="00577013"/>
    <w:rsid w:val="0057703D"/>
    <w:rsid w:val="005771F1"/>
    <w:rsid w:val="00577349"/>
    <w:rsid w:val="0057736F"/>
    <w:rsid w:val="0057744A"/>
    <w:rsid w:val="005775B5"/>
    <w:rsid w:val="005776B4"/>
    <w:rsid w:val="005776D0"/>
    <w:rsid w:val="0057770A"/>
    <w:rsid w:val="00577773"/>
    <w:rsid w:val="00577784"/>
    <w:rsid w:val="00577800"/>
    <w:rsid w:val="00577885"/>
    <w:rsid w:val="0057798E"/>
    <w:rsid w:val="005779A1"/>
    <w:rsid w:val="005779E1"/>
    <w:rsid w:val="00577A5E"/>
    <w:rsid w:val="00577B1F"/>
    <w:rsid w:val="00577B3B"/>
    <w:rsid w:val="00577C5E"/>
    <w:rsid w:val="00577D1A"/>
    <w:rsid w:val="00577D5A"/>
    <w:rsid w:val="00577EAC"/>
    <w:rsid w:val="00577EF8"/>
    <w:rsid w:val="00577F39"/>
    <w:rsid w:val="00577FEB"/>
    <w:rsid w:val="0058002E"/>
    <w:rsid w:val="0058010D"/>
    <w:rsid w:val="0058021A"/>
    <w:rsid w:val="005802ED"/>
    <w:rsid w:val="005803D2"/>
    <w:rsid w:val="005804BA"/>
    <w:rsid w:val="0058050F"/>
    <w:rsid w:val="00580608"/>
    <w:rsid w:val="00580618"/>
    <w:rsid w:val="00580760"/>
    <w:rsid w:val="0058084F"/>
    <w:rsid w:val="00580860"/>
    <w:rsid w:val="00580940"/>
    <w:rsid w:val="005809F6"/>
    <w:rsid w:val="00580ABB"/>
    <w:rsid w:val="00580B04"/>
    <w:rsid w:val="00580B49"/>
    <w:rsid w:val="00580C08"/>
    <w:rsid w:val="00580C5A"/>
    <w:rsid w:val="00580CBC"/>
    <w:rsid w:val="00580DBF"/>
    <w:rsid w:val="00580E28"/>
    <w:rsid w:val="00580EA6"/>
    <w:rsid w:val="00580EE8"/>
    <w:rsid w:val="00580F4A"/>
    <w:rsid w:val="00580F4D"/>
    <w:rsid w:val="0058104B"/>
    <w:rsid w:val="00581067"/>
    <w:rsid w:val="0058107B"/>
    <w:rsid w:val="0058123D"/>
    <w:rsid w:val="00581303"/>
    <w:rsid w:val="0058130F"/>
    <w:rsid w:val="0058136C"/>
    <w:rsid w:val="005813F4"/>
    <w:rsid w:val="005814C6"/>
    <w:rsid w:val="005814D7"/>
    <w:rsid w:val="00581544"/>
    <w:rsid w:val="0058174F"/>
    <w:rsid w:val="005817B2"/>
    <w:rsid w:val="005817E1"/>
    <w:rsid w:val="00581902"/>
    <w:rsid w:val="00581969"/>
    <w:rsid w:val="00581A19"/>
    <w:rsid w:val="00581AB2"/>
    <w:rsid w:val="00581B24"/>
    <w:rsid w:val="00581D07"/>
    <w:rsid w:val="00581DE5"/>
    <w:rsid w:val="00581DF2"/>
    <w:rsid w:val="00581FA7"/>
    <w:rsid w:val="00581FBF"/>
    <w:rsid w:val="00581FD6"/>
    <w:rsid w:val="00582060"/>
    <w:rsid w:val="00582123"/>
    <w:rsid w:val="0058214F"/>
    <w:rsid w:val="005822B9"/>
    <w:rsid w:val="005822E5"/>
    <w:rsid w:val="0058230D"/>
    <w:rsid w:val="0058231B"/>
    <w:rsid w:val="00582341"/>
    <w:rsid w:val="00582365"/>
    <w:rsid w:val="00582384"/>
    <w:rsid w:val="005823D1"/>
    <w:rsid w:val="0058247E"/>
    <w:rsid w:val="00582512"/>
    <w:rsid w:val="00582548"/>
    <w:rsid w:val="00582579"/>
    <w:rsid w:val="0058257D"/>
    <w:rsid w:val="0058261F"/>
    <w:rsid w:val="0058265C"/>
    <w:rsid w:val="005826DB"/>
    <w:rsid w:val="005827CC"/>
    <w:rsid w:val="00582896"/>
    <w:rsid w:val="00582981"/>
    <w:rsid w:val="00582995"/>
    <w:rsid w:val="00582C92"/>
    <w:rsid w:val="00582D65"/>
    <w:rsid w:val="00582D70"/>
    <w:rsid w:val="00582DA1"/>
    <w:rsid w:val="00582DC8"/>
    <w:rsid w:val="00582DEF"/>
    <w:rsid w:val="00582E13"/>
    <w:rsid w:val="00582F38"/>
    <w:rsid w:val="00582F5E"/>
    <w:rsid w:val="00582FB8"/>
    <w:rsid w:val="0058308C"/>
    <w:rsid w:val="005831DE"/>
    <w:rsid w:val="00583214"/>
    <w:rsid w:val="0058322C"/>
    <w:rsid w:val="0058326C"/>
    <w:rsid w:val="0058330A"/>
    <w:rsid w:val="0058335D"/>
    <w:rsid w:val="005833C0"/>
    <w:rsid w:val="005833F5"/>
    <w:rsid w:val="0058343B"/>
    <w:rsid w:val="00583460"/>
    <w:rsid w:val="00583502"/>
    <w:rsid w:val="005835CA"/>
    <w:rsid w:val="0058366B"/>
    <w:rsid w:val="0058378C"/>
    <w:rsid w:val="005837F0"/>
    <w:rsid w:val="0058383D"/>
    <w:rsid w:val="0058386A"/>
    <w:rsid w:val="005838F3"/>
    <w:rsid w:val="00583990"/>
    <w:rsid w:val="00583AAC"/>
    <w:rsid w:val="00583AAE"/>
    <w:rsid w:val="00583B08"/>
    <w:rsid w:val="00583BC2"/>
    <w:rsid w:val="00583BD5"/>
    <w:rsid w:val="00583C08"/>
    <w:rsid w:val="00583C18"/>
    <w:rsid w:val="00583C51"/>
    <w:rsid w:val="00583CD2"/>
    <w:rsid w:val="00583CEA"/>
    <w:rsid w:val="00583D30"/>
    <w:rsid w:val="00583D5E"/>
    <w:rsid w:val="00583DDA"/>
    <w:rsid w:val="00583E3E"/>
    <w:rsid w:val="00583E85"/>
    <w:rsid w:val="00583F2E"/>
    <w:rsid w:val="00584003"/>
    <w:rsid w:val="0058401D"/>
    <w:rsid w:val="00584095"/>
    <w:rsid w:val="005840D6"/>
    <w:rsid w:val="005840E0"/>
    <w:rsid w:val="0058420A"/>
    <w:rsid w:val="005842F0"/>
    <w:rsid w:val="00584302"/>
    <w:rsid w:val="00584405"/>
    <w:rsid w:val="005844B2"/>
    <w:rsid w:val="00584538"/>
    <w:rsid w:val="00584575"/>
    <w:rsid w:val="005845C1"/>
    <w:rsid w:val="0058467A"/>
    <w:rsid w:val="0058475A"/>
    <w:rsid w:val="005847C7"/>
    <w:rsid w:val="005847E2"/>
    <w:rsid w:val="005848BC"/>
    <w:rsid w:val="005848F4"/>
    <w:rsid w:val="005849B5"/>
    <w:rsid w:val="00584AE4"/>
    <w:rsid w:val="00584B37"/>
    <w:rsid w:val="00584BFB"/>
    <w:rsid w:val="00584CE0"/>
    <w:rsid w:val="00584D33"/>
    <w:rsid w:val="00584E3F"/>
    <w:rsid w:val="00584EC8"/>
    <w:rsid w:val="00584EF5"/>
    <w:rsid w:val="00584FA4"/>
    <w:rsid w:val="00585086"/>
    <w:rsid w:val="0058517A"/>
    <w:rsid w:val="00585274"/>
    <w:rsid w:val="00585289"/>
    <w:rsid w:val="0058544B"/>
    <w:rsid w:val="0058547A"/>
    <w:rsid w:val="00585498"/>
    <w:rsid w:val="00585504"/>
    <w:rsid w:val="0058555A"/>
    <w:rsid w:val="005855A0"/>
    <w:rsid w:val="00585686"/>
    <w:rsid w:val="0058576B"/>
    <w:rsid w:val="005857B8"/>
    <w:rsid w:val="00585829"/>
    <w:rsid w:val="0058586B"/>
    <w:rsid w:val="00585A66"/>
    <w:rsid w:val="00585AAC"/>
    <w:rsid w:val="00585AC9"/>
    <w:rsid w:val="00585ACF"/>
    <w:rsid w:val="00585BAB"/>
    <w:rsid w:val="00585CCB"/>
    <w:rsid w:val="00585CFA"/>
    <w:rsid w:val="00585EA1"/>
    <w:rsid w:val="00585EEC"/>
    <w:rsid w:val="00585F2A"/>
    <w:rsid w:val="00585F2C"/>
    <w:rsid w:val="00586075"/>
    <w:rsid w:val="0058607C"/>
    <w:rsid w:val="005860F4"/>
    <w:rsid w:val="005861D8"/>
    <w:rsid w:val="005861E8"/>
    <w:rsid w:val="00586271"/>
    <w:rsid w:val="00586283"/>
    <w:rsid w:val="005863D4"/>
    <w:rsid w:val="005863ED"/>
    <w:rsid w:val="0058641A"/>
    <w:rsid w:val="005864A2"/>
    <w:rsid w:val="00586570"/>
    <w:rsid w:val="005865D2"/>
    <w:rsid w:val="0058663E"/>
    <w:rsid w:val="005866DD"/>
    <w:rsid w:val="005866F8"/>
    <w:rsid w:val="00586721"/>
    <w:rsid w:val="00586756"/>
    <w:rsid w:val="00586781"/>
    <w:rsid w:val="0058678B"/>
    <w:rsid w:val="005867AE"/>
    <w:rsid w:val="005867BF"/>
    <w:rsid w:val="00586802"/>
    <w:rsid w:val="00586855"/>
    <w:rsid w:val="0058685F"/>
    <w:rsid w:val="0058687C"/>
    <w:rsid w:val="00586916"/>
    <w:rsid w:val="00586936"/>
    <w:rsid w:val="0058697F"/>
    <w:rsid w:val="00586A26"/>
    <w:rsid w:val="00586AF4"/>
    <w:rsid w:val="00586B71"/>
    <w:rsid w:val="00586C33"/>
    <w:rsid w:val="00586C53"/>
    <w:rsid w:val="00586C82"/>
    <w:rsid w:val="00586DF0"/>
    <w:rsid w:val="00586E0E"/>
    <w:rsid w:val="00586E92"/>
    <w:rsid w:val="00586FB2"/>
    <w:rsid w:val="00587053"/>
    <w:rsid w:val="00587071"/>
    <w:rsid w:val="005870B4"/>
    <w:rsid w:val="005870E8"/>
    <w:rsid w:val="0058722D"/>
    <w:rsid w:val="005872AA"/>
    <w:rsid w:val="005872D9"/>
    <w:rsid w:val="0058747E"/>
    <w:rsid w:val="00587500"/>
    <w:rsid w:val="005876B4"/>
    <w:rsid w:val="005877D6"/>
    <w:rsid w:val="00587806"/>
    <w:rsid w:val="0058786C"/>
    <w:rsid w:val="005878CF"/>
    <w:rsid w:val="0058795F"/>
    <w:rsid w:val="00587A11"/>
    <w:rsid w:val="00587A4F"/>
    <w:rsid w:val="00587AA1"/>
    <w:rsid w:val="00587AF7"/>
    <w:rsid w:val="00587B51"/>
    <w:rsid w:val="00587C4B"/>
    <w:rsid w:val="00587CEE"/>
    <w:rsid w:val="00587D23"/>
    <w:rsid w:val="00587D29"/>
    <w:rsid w:val="00587D41"/>
    <w:rsid w:val="00587D96"/>
    <w:rsid w:val="00587E0E"/>
    <w:rsid w:val="00587F02"/>
    <w:rsid w:val="00587F4F"/>
    <w:rsid w:val="00587F9E"/>
    <w:rsid w:val="00587FA0"/>
    <w:rsid w:val="00587FE9"/>
    <w:rsid w:val="0059004F"/>
    <w:rsid w:val="0059015F"/>
    <w:rsid w:val="0059019C"/>
    <w:rsid w:val="005902AD"/>
    <w:rsid w:val="005902F4"/>
    <w:rsid w:val="0059052E"/>
    <w:rsid w:val="0059054B"/>
    <w:rsid w:val="00590609"/>
    <w:rsid w:val="00590683"/>
    <w:rsid w:val="005907A9"/>
    <w:rsid w:val="005907C4"/>
    <w:rsid w:val="005907FA"/>
    <w:rsid w:val="0059088F"/>
    <w:rsid w:val="005908B2"/>
    <w:rsid w:val="00590A46"/>
    <w:rsid w:val="00590AEB"/>
    <w:rsid w:val="00590B00"/>
    <w:rsid w:val="00590B8F"/>
    <w:rsid w:val="00590B9A"/>
    <w:rsid w:val="00590BB0"/>
    <w:rsid w:val="00590C8D"/>
    <w:rsid w:val="00590CB2"/>
    <w:rsid w:val="00590D02"/>
    <w:rsid w:val="00590D8A"/>
    <w:rsid w:val="00590EC2"/>
    <w:rsid w:val="00590EDD"/>
    <w:rsid w:val="00591001"/>
    <w:rsid w:val="00591030"/>
    <w:rsid w:val="005910A4"/>
    <w:rsid w:val="005911C7"/>
    <w:rsid w:val="0059122B"/>
    <w:rsid w:val="0059125E"/>
    <w:rsid w:val="00591276"/>
    <w:rsid w:val="005912DB"/>
    <w:rsid w:val="00591311"/>
    <w:rsid w:val="0059133E"/>
    <w:rsid w:val="00591346"/>
    <w:rsid w:val="0059139C"/>
    <w:rsid w:val="005913DF"/>
    <w:rsid w:val="005913FE"/>
    <w:rsid w:val="005915DD"/>
    <w:rsid w:val="00591715"/>
    <w:rsid w:val="00591832"/>
    <w:rsid w:val="00591868"/>
    <w:rsid w:val="0059188F"/>
    <w:rsid w:val="005918D2"/>
    <w:rsid w:val="00591924"/>
    <w:rsid w:val="00591998"/>
    <w:rsid w:val="005919A3"/>
    <w:rsid w:val="005919FC"/>
    <w:rsid w:val="00591A21"/>
    <w:rsid w:val="00591A43"/>
    <w:rsid w:val="00591A83"/>
    <w:rsid w:val="00591A9B"/>
    <w:rsid w:val="00591B04"/>
    <w:rsid w:val="00591B40"/>
    <w:rsid w:val="00591B42"/>
    <w:rsid w:val="00591B88"/>
    <w:rsid w:val="00591BB9"/>
    <w:rsid w:val="00591BC6"/>
    <w:rsid w:val="00591BEF"/>
    <w:rsid w:val="00591E32"/>
    <w:rsid w:val="00591E46"/>
    <w:rsid w:val="00591E8C"/>
    <w:rsid w:val="00591EA2"/>
    <w:rsid w:val="00591F4A"/>
    <w:rsid w:val="00591F55"/>
    <w:rsid w:val="0059202F"/>
    <w:rsid w:val="00592060"/>
    <w:rsid w:val="00592084"/>
    <w:rsid w:val="005920EA"/>
    <w:rsid w:val="00592110"/>
    <w:rsid w:val="00592142"/>
    <w:rsid w:val="005921F2"/>
    <w:rsid w:val="00592200"/>
    <w:rsid w:val="00592208"/>
    <w:rsid w:val="005922E0"/>
    <w:rsid w:val="005922E2"/>
    <w:rsid w:val="00592314"/>
    <w:rsid w:val="0059231E"/>
    <w:rsid w:val="00592434"/>
    <w:rsid w:val="00592477"/>
    <w:rsid w:val="00592483"/>
    <w:rsid w:val="005924A4"/>
    <w:rsid w:val="005924F8"/>
    <w:rsid w:val="005925A8"/>
    <w:rsid w:val="005925F3"/>
    <w:rsid w:val="005926F6"/>
    <w:rsid w:val="005927E0"/>
    <w:rsid w:val="005928B7"/>
    <w:rsid w:val="0059292E"/>
    <w:rsid w:val="00592A05"/>
    <w:rsid w:val="00592A08"/>
    <w:rsid w:val="00592BA4"/>
    <w:rsid w:val="00592BB7"/>
    <w:rsid w:val="00592D1D"/>
    <w:rsid w:val="00592DAE"/>
    <w:rsid w:val="00592E84"/>
    <w:rsid w:val="00592EE7"/>
    <w:rsid w:val="00592EEE"/>
    <w:rsid w:val="00592F11"/>
    <w:rsid w:val="00592F1C"/>
    <w:rsid w:val="00592FBA"/>
    <w:rsid w:val="00592FC0"/>
    <w:rsid w:val="0059308B"/>
    <w:rsid w:val="0059309D"/>
    <w:rsid w:val="00593185"/>
    <w:rsid w:val="005931BB"/>
    <w:rsid w:val="005932A9"/>
    <w:rsid w:val="005932BA"/>
    <w:rsid w:val="005932BE"/>
    <w:rsid w:val="0059341A"/>
    <w:rsid w:val="0059344D"/>
    <w:rsid w:val="005934B3"/>
    <w:rsid w:val="00593535"/>
    <w:rsid w:val="00593554"/>
    <w:rsid w:val="005935D9"/>
    <w:rsid w:val="005936A4"/>
    <w:rsid w:val="00593797"/>
    <w:rsid w:val="005937B3"/>
    <w:rsid w:val="0059383E"/>
    <w:rsid w:val="0059391A"/>
    <w:rsid w:val="00593998"/>
    <w:rsid w:val="00593A26"/>
    <w:rsid w:val="00593ABA"/>
    <w:rsid w:val="00593B1B"/>
    <w:rsid w:val="00593B64"/>
    <w:rsid w:val="00593CCD"/>
    <w:rsid w:val="00593E27"/>
    <w:rsid w:val="00593E3A"/>
    <w:rsid w:val="00593E84"/>
    <w:rsid w:val="00593E8A"/>
    <w:rsid w:val="00593EBE"/>
    <w:rsid w:val="00593EEE"/>
    <w:rsid w:val="00593F9F"/>
    <w:rsid w:val="00593FCC"/>
    <w:rsid w:val="00594003"/>
    <w:rsid w:val="00594027"/>
    <w:rsid w:val="00594111"/>
    <w:rsid w:val="005941D6"/>
    <w:rsid w:val="00594224"/>
    <w:rsid w:val="0059422E"/>
    <w:rsid w:val="00594282"/>
    <w:rsid w:val="00594300"/>
    <w:rsid w:val="005943F8"/>
    <w:rsid w:val="0059457F"/>
    <w:rsid w:val="005945C9"/>
    <w:rsid w:val="005945E8"/>
    <w:rsid w:val="00594619"/>
    <w:rsid w:val="00594724"/>
    <w:rsid w:val="00594785"/>
    <w:rsid w:val="0059479C"/>
    <w:rsid w:val="005947A0"/>
    <w:rsid w:val="005947A2"/>
    <w:rsid w:val="0059480C"/>
    <w:rsid w:val="00594835"/>
    <w:rsid w:val="00594858"/>
    <w:rsid w:val="00594870"/>
    <w:rsid w:val="00594894"/>
    <w:rsid w:val="00594971"/>
    <w:rsid w:val="00594983"/>
    <w:rsid w:val="00594BCF"/>
    <w:rsid w:val="00594C8F"/>
    <w:rsid w:val="00594CB9"/>
    <w:rsid w:val="00594D4B"/>
    <w:rsid w:val="00594E23"/>
    <w:rsid w:val="00594EBF"/>
    <w:rsid w:val="00594F2F"/>
    <w:rsid w:val="00594FF7"/>
    <w:rsid w:val="005951CD"/>
    <w:rsid w:val="00595215"/>
    <w:rsid w:val="0059525C"/>
    <w:rsid w:val="00595284"/>
    <w:rsid w:val="005952AE"/>
    <w:rsid w:val="00595317"/>
    <w:rsid w:val="00595388"/>
    <w:rsid w:val="0059538A"/>
    <w:rsid w:val="00595481"/>
    <w:rsid w:val="00595617"/>
    <w:rsid w:val="00595694"/>
    <w:rsid w:val="005956A0"/>
    <w:rsid w:val="0059573D"/>
    <w:rsid w:val="00595883"/>
    <w:rsid w:val="005959F4"/>
    <w:rsid w:val="005959FD"/>
    <w:rsid w:val="00595A68"/>
    <w:rsid w:val="00595B35"/>
    <w:rsid w:val="00595C41"/>
    <w:rsid w:val="00595C48"/>
    <w:rsid w:val="00595CDE"/>
    <w:rsid w:val="00595E04"/>
    <w:rsid w:val="00595E1E"/>
    <w:rsid w:val="00595E77"/>
    <w:rsid w:val="00595EDF"/>
    <w:rsid w:val="00595EE4"/>
    <w:rsid w:val="00595EE8"/>
    <w:rsid w:val="00595FDB"/>
    <w:rsid w:val="0059618D"/>
    <w:rsid w:val="0059621B"/>
    <w:rsid w:val="00596316"/>
    <w:rsid w:val="00596319"/>
    <w:rsid w:val="0059639B"/>
    <w:rsid w:val="00596402"/>
    <w:rsid w:val="00596439"/>
    <w:rsid w:val="005965D1"/>
    <w:rsid w:val="0059660F"/>
    <w:rsid w:val="00596630"/>
    <w:rsid w:val="00596633"/>
    <w:rsid w:val="0059666A"/>
    <w:rsid w:val="0059672C"/>
    <w:rsid w:val="00596733"/>
    <w:rsid w:val="00596734"/>
    <w:rsid w:val="0059674C"/>
    <w:rsid w:val="005967A2"/>
    <w:rsid w:val="005967A4"/>
    <w:rsid w:val="00596925"/>
    <w:rsid w:val="00596969"/>
    <w:rsid w:val="00596982"/>
    <w:rsid w:val="005969C3"/>
    <w:rsid w:val="00596A03"/>
    <w:rsid w:val="00596AEA"/>
    <w:rsid w:val="00596B55"/>
    <w:rsid w:val="00596C13"/>
    <w:rsid w:val="00596C3A"/>
    <w:rsid w:val="00596C7D"/>
    <w:rsid w:val="00596DCF"/>
    <w:rsid w:val="00596DE1"/>
    <w:rsid w:val="00596DFE"/>
    <w:rsid w:val="00596E71"/>
    <w:rsid w:val="00596F06"/>
    <w:rsid w:val="00596FE9"/>
    <w:rsid w:val="00597024"/>
    <w:rsid w:val="0059709A"/>
    <w:rsid w:val="00597107"/>
    <w:rsid w:val="00597141"/>
    <w:rsid w:val="005971D9"/>
    <w:rsid w:val="0059726F"/>
    <w:rsid w:val="005973A9"/>
    <w:rsid w:val="00597401"/>
    <w:rsid w:val="00597444"/>
    <w:rsid w:val="00597478"/>
    <w:rsid w:val="00597484"/>
    <w:rsid w:val="0059753A"/>
    <w:rsid w:val="00597590"/>
    <w:rsid w:val="005975AB"/>
    <w:rsid w:val="005975E7"/>
    <w:rsid w:val="0059768E"/>
    <w:rsid w:val="00597695"/>
    <w:rsid w:val="005976D6"/>
    <w:rsid w:val="00597719"/>
    <w:rsid w:val="0059778C"/>
    <w:rsid w:val="005977F6"/>
    <w:rsid w:val="00597A42"/>
    <w:rsid w:val="00597A63"/>
    <w:rsid w:val="00597B02"/>
    <w:rsid w:val="00597B4F"/>
    <w:rsid w:val="00597B73"/>
    <w:rsid w:val="00597BBF"/>
    <w:rsid w:val="00597C28"/>
    <w:rsid w:val="00597CDF"/>
    <w:rsid w:val="00597CF4"/>
    <w:rsid w:val="00597D9D"/>
    <w:rsid w:val="00597E31"/>
    <w:rsid w:val="00597E87"/>
    <w:rsid w:val="00597E9C"/>
    <w:rsid w:val="00597EBF"/>
    <w:rsid w:val="005A0013"/>
    <w:rsid w:val="005A00B4"/>
    <w:rsid w:val="005A01CE"/>
    <w:rsid w:val="005A01D6"/>
    <w:rsid w:val="005A02BA"/>
    <w:rsid w:val="005A0332"/>
    <w:rsid w:val="005A03A5"/>
    <w:rsid w:val="005A0479"/>
    <w:rsid w:val="005A04D5"/>
    <w:rsid w:val="005A0565"/>
    <w:rsid w:val="005A0571"/>
    <w:rsid w:val="005A0600"/>
    <w:rsid w:val="005A0630"/>
    <w:rsid w:val="005A0780"/>
    <w:rsid w:val="005A07BF"/>
    <w:rsid w:val="005A0831"/>
    <w:rsid w:val="005A08C3"/>
    <w:rsid w:val="005A08DF"/>
    <w:rsid w:val="005A098E"/>
    <w:rsid w:val="005A09A4"/>
    <w:rsid w:val="005A0A3A"/>
    <w:rsid w:val="005A0AB5"/>
    <w:rsid w:val="005A0B06"/>
    <w:rsid w:val="005A0B18"/>
    <w:rsid w:val="005A0B99"/>
    <w:rsid w:val="005A0BF3"/>
    <w:rsid w:val="005A0C41"/>
    <w:rsid w:val="005A0D86"/>
    <w:rsid w:val="005A0DE6"/>
    <w:rsid w:val="005A0E13"/>
    <w:rsid w:val="005A0FDB"/>
    <w:rsid w:val="005A1014"/>
    <w:rsid w:val="005A11FE"/>
    <w:rsid w:val="005A1222"/>
    <w:rsid w:val="005A124F"/>
    <w:rsid w:val="005A1339"/>
    <w:rsid w:val="005A145B"/>
    <w:rsid w:val="005A14DF"/>
    <w:rsid w:val="005A15CB"/>
    <w:rsid w:val="005A15D1"/>
    <w:rsid w:val="005A1799"/>
    <w:rsid w:val="005A179F"/>
    <w:rsid w:val="005A17A3"/>
    <w:rsid w:val="005A17D5"/>
    <w:rsid w:val="005A1809"/>
    <w:rsid w:val="005A18A6"/>
    <w:rsid w:val="005A18BA"/>
    <w:rsid w:val="005A18BE"/>
    <w:rsid w:val="005A18F8"/>
    <w:rsid w:val="005A199A"/>
    <w:rsid w:val="005A19A3"/>
    <w:rsid w:val="005A1A45"/>
    <w:rsid w:val="005A1BE9"/>
    <w:rsid w:val="005A1CBC"/>
    <w:rsid w:val="005A1D13"/>
    <w:rsid w:val="005A1D3D"/>
    <w:rsid w:val="005A1FA0"/>
    <w:rsid w:val="005A2009"/>
    <w:rsid w:val="005A2028"/>
    <w:rsid w:val="005A2063"/>
    <w:rsid w:val="005A207E"/>
    <w:rsid w:val="005A20FE"/>
    <w:rsid w:val="005A215A"/>
    <w:rsid w:val="005A223C"/>
    <w:rsid w:val="005A2283"/>
    <w:rsid w:val="005A228B"/>
    <w:rsid w:val="005A23BB"/>
    <w:rsid w:val="005A23C5"/>
    <w:rsid w:val="005A2558"/>
    <w:rsid w:val="005A258C"/>
    <w:rsid w:val="005A25B5"/>
    <w:rsid w:val="005A25ED"/>
    <w:rsid w:val="005A2658"/>
    <w:rsid w:val="005A26D1"/>
    <w:rsid w:val="005A26F7"/>
    <w:rsid w:val="005A271A"/>
    <w:rsid w:val="005A275D"/>
    <w:rsid w:val="005A27AD"/>
    <w:rsid w:val="005A2902"/>
    <w:rsid w:val="005A297E"/>
    <w:rsid w:val="005A2981"/>
    <w:rsid w:val="005A2A43"/>
    <w:rsid w:val="005A2B22"/>
    <w:rsid w:val="005A2B5A"/>
    <w:rsid w:val="005A2BEB"/>
    <w:rsid w:val="005A2CE5"/>
    <w:rsid w:val="005A2DB0"/>
    <w:rsid w:val="005A2EEF"/>
    <w:rsid w:val="005A2F04"/>
    <w:rsid w:val="005A2F10"/>
    <w:rsid w:val="005A2F69"/>
    <w:rsid w:val="005A3035"/>
    <w:rsid w:val="005A3083"/>
    <w:rsid w:val="005A3138"/>
    <w:rsid w:val="005A3167"/>
    <w:rsid w:val="005A318D"/>
    <w:rsid w:val="005A325F"/>
    <w:rsid w:val="005A3439"/>
    <w:rsid w:val="005A343A"/>
    <w:rsid w:val="005A34C2"/>
    <w:rsid w:val="005A3545"/>
    <w:rsid w:val="005A35A1"/>
    <w:rsid w:val="005A35A5"/>
    <w:rsid w:val="005A3610"/>
    <w:rsid w:val="005A36E8"/>
    <w:rsid w:val="005A371A"/>
    <w:rsid w:val="005A37B6"/>
    <w:rsid w:val="005A37B9"/>
    <w:rsid w:val="005A37F1"/>
    <w:rsid w:val="005A3829"/>
    <w:rsid w:val="005A382D"/>
    <w:rsid w:val="005A3839"/>
    <w:rsid w:val="005A384D"/>
    <w:rsid w:val="005A38B4"/>
    <w:rsid w:val="005A38C6"/>
    <w:rsid w:val="005A38DE"/>
    <w:rsid w:val="005A398B"/>
    <w:rsid w:val="005A3A45"/>
    <w:rsid w:val="005A3A70"/>
    <w:rsid w:val="005A3B09"/>
    <w:rsid w:val="005A3D25"/>
    <w:rsid w:val="005A3D55"/>
    <w:rsid w:val="005A3D73"/>
    <w:rsid w:val="005A3DE5"/>
    <w:rsid w:val="005A3EDC"/>
    <w:rsid w:val="005A3FB2"/>
    <w:rsid w:val="005A3FF5"/>
    <w:rsid w:val="005A3FF9"/>
    <w:rsid w:val="005A400D"/>
    <w:rsid w:val="005A4044"/>
    <w:rsid w:val="005A4076"/>
    <w:rsid w:val="005A40D9"/>
    <w:rsid w:val="005A426B"/>
    <w:rsid w:val="005A427A"/>
    <w:rsid w:val="005A43E2"/>
    <w:rsid w:val="005A44DD"/>
    <w:rsid w:val="005A45D3"/>
    <w:rsid w:val="005A45E9"/>
    <w:rsid w:val="005A469A"/>
    <w:rsid w:val="005A4776"/>
    <w:rsid w:val="005A47D6"/>
    <w:rsid w:val="005A48CF"/>
    <w:rsid w:val="005A4914"/>
    <w:rsid w:val="005A4916"/>
    <w:rsid w:val="005A49C9"/>
    <w:rsid w:val="005A49D5"/>
    <w:rsid w:val="005A4A23"/>
    <w:rsid w:val="005A4A4B"/>
    <w:rsid w:val="005A4B45"/>
    <w:rsid w:val="005A4BF9"/>
    <w:rsid w:val="005A4C20"/>
    <w:rsid w:val="005A4C51"/>
    <w:rsid w:val="005A4C64"/>
    <w:rsid w:val="005A4D2A"/>
    <w:rsid w:val="005A4EE4"/>
    <w:rsid w:val="005A4F18"/>
    <w:rsid w:val="005A5024"/>
    <w:rsid w:val="005A516F"/>
    <w:rsid w:val="005A5329"/>
    <w:rsid w:val="005A5372"/>
    <w:rsid w:val="005A5490"/>
    <w:rsid w:val="005A5546"/>
    <w:rsid w:val="005A55CB"/>
    <w:rsid w:val="005A55CD"/>
    <w:rsid w:val="005A56C9"/>
    <w:rsid w:val="005A5742"/>
    <w:rsid w:val="005A5753"/>
    <w:rsid w:val="005A57F2"/>
    <w:rsid w:val="005A5863"/>
    <w:rsid w:val="005A58A7"/>
    <w:rsid w:val="005A5B02"/>
    <w:rsid w:val="005A5B6C"/>
    <w:rsid w:val="005A5BAF"/>
    <w:rsid w:val="005A5CB4"/>
    <w:rsid w:val="005A5D36"/>
    <w:rsid w:val="005A5DC9"/>
    <w:rsid w:val="005A5DF2"/>
    <w:rsid w:val="005A5ECB"/>
    <w:rsid w:val="005A5FB8"/>
    <w:rsid w:val="005A5FE7"/>
    <w:rsid w:val="005A602F"/>
    <w:rsid w:val="005A6050"/>
    <w:rsid w:val="005A608F"/>
    <w:rsid w:val="005A60B9"/>
    <w:rsid w:val="005A6125"/>
    <w:rsid w:val="005A6257"/>
    <w:rsid w:val="005A62D7"/>
    <w:rsid w:val="005A634B"/>
    <w:rsid w:val="005A634C"/>
    <w:rsid w:val="005A6364"/>
    <w:rsid w:val="005A665B"/>
    <w:rsid w:val="005A668A"/>
    <w:rsid w:val="005A672D"/>
    <w:rsid w:val="005A679A"/>
    <w:rsid w:val="005A679B"/>
    <w:rsid w:val="005A67E0"/>
    <w:rsid w:val="005A67F6"/>
    <w:rsid w:val="005A695E"/>
    <w:rsid w:val="005A6968"/>
    <w:rsid w:val="005A696B"/>
    <w:rsid w:val="005A69E5"/>
    <w:rsid w:val="005A6A1E"/>
    <w:rsid w:val="005A6AD6"/>
    <w:rsid w:val="005A6ADD"/>
    <w:rsid w:val="005A6D7E"/>
    <w:rsid w:val="005A6D96"/>
    <w:rsid w:val="005A6F64"/>
    <w:rsid w:val="005A6F9F"/>
    <w:rsid w:val="005A6FB2"/>
    <w:rsid w:val="005A7089"/>
    <w:rsid w:val="005A708C"/>
    <w:rsid w:val="005A70D4"/>
    <w:rsid w:val="005A70E5"/>
    <w:rsid w:val="005A713E"/>
    <w:rsid w:val="005A7158"/>
    <w:rsid w:val="005A7207"/>
    <w:rsid w:val="005A7217"/>
    <w:rsid w:val="005A7251"/>
    <w:rsid w:val="005A7341"/>
    <w:rsid w:val="005A7382"/>
    <w:rsid w:val="005A7396"/>
    <w:rsid w:val="005A73E6"/>
    <w:rsid w:val="005A73E9"/>
    <w:rsid w:val="005A7550"/>
    <w:rsid w:val="005A757B"/>
    <w:rsid w:val="005A7651"/>
    <w:rsid w:val="005A77A1"/>
    <w:rsid w:val="005A77DB"/>
    <w:rsid w:val="005A7813"/>
    <w:rsid w:val="005A78E9"/>
    <w:rsid w:val="005A7907"/>
    <w:rsid w:val="005A79AB"/>
    <w:rsid w:val="005A79AC"/>
    <w:rsid w:val="005A79CF"/>
    <w:rsid w:val="005A7A17"/>
    <w:rsid w:val="005A7AD3"/>
    <w:rsid w:val="005A7B4F"/>
    <w:rsid w:val="005A7BB7"/>
    <w:rsid w:val="005A7C5A"/>
    <w:rsid w:val="005A7CB8"/>
    <w:rsid w:val="005A7D4E"/>
    <w:rsid w:val="005A7D4F"/>
    <w:rsid w:val="005A7E27"/>
    <w:rsid w:val="005A7E2B"/>
    <w:rsid w:val="005A7E7A"/>
    <w:rsid w:val="005A7EA2"/>
    <w:rsid w:val="005A7EB3"/>
    <w:rsid w:val="005A7FE5"/>
    <w:rsid w:val="005B0022"/>
    <w:rsid w:val="005B0026"/>
    <w:rsid w:val="005B00F5"/>
    <w:rsid w:val="005B0335"/>
    <w:rsid w:val="005B036E"/>
    <w:rsid w:val="005B037F"/>
    <w:rsid w:val="005B03A2"/>
    <w:rsid w:val="005B03ED"/>
    <w:rsid w:val="005B05BD"/>
    <w:rsid w:val="005B05C8"/>
    <w:rsid w:val="005B0732"/>
    <w:rsid w:val="005B0758"/>
    <w:rsid w:val="005B07A1"/>
    <w:rsid w:val="005B07B9"/>
    <w:rsid w:val="005B080F"/>
    <w:rsid w:val="005B083F"/>
    <w:rsid w:val="005B0953"/>
    <w:rsid w:val="005B099F"/>
    <w:rsid w:val="005B0ABA"/>
    <w:rsid w:val="005B0B0F"/>
    <w:rsid w:val="005B0B2C"/>
    <w:rsid w:val="005B0B8B"/>
    <w:rsid w:val="005B0D1A"/>
    <w:rsid w:val="005B0DF2"/>
    <w:rsid w:val="005B0E54"/>
    <w:rsid w:val="005B0E7F"/>
    <w:rsid w:val="005B0F3D"/>
    <w:rsid w:val="005B0F40"/>
    <w:rsid w:val="005B0F57"/>
    <w:rsid w:val="005B101E"/>
    <w:rsid w:val="005B10A1"/>
    <w:rsid w:val="005B10D7"/>
    <w:rsid w:val="005B11D1"/>
    <w:rsid w:val="005B122A"/>
    <w:rsid w:val="005B13F8"/>
    <w:rsid w:val="005B140D"/>
    <w:rsid w:val="005B1547"/>
    <w:rsid w:val="005B16AE"/>
    <w:rsid w:val="005B17FC"/>
    <w:rsid w:val="005B18A0"/>
    <w:rsid w:val="005B19A2"/>
    <w:rsid w:val="005B19D7"/>
    <w:rsid w:val="005B19DE"/>
    <w:rsid w:val="005B1A7D"/>
    <w:rsid w:val="005B1B9A"/>
    <w:rsid w:val="005B1BA1"/>
    <w:rsid w:val="005B1D2B"/>
    <w:rsid w:val="005B1D3D"/>
    <w:rsid w:val="005B1D94"/>
    <w:rsid w:val="005B1E1B"/>
    <w:rsid w:val="005B1E8B"/>
    <w:rsid w:val="005B1FAC"/>
    <w:rsid w:val="005B1FB7"/>
    <w:rsid w:val="005B2117"/>
    <w:rsid w:val="005B215B"/>
    <w:rsid w:val="005B2201"/>
    <w:rsid w:val="005B2297"/>
    <w:rsid w:val="005B230F"/>
    <w:rsid w:val="005B2353"/>
    <w:rsid w:val="005B23D8"/>
    <w:rsid w:val="005B241D"/>
    <w:rsid w:val="005B241F"/>
    <w:rsid w:val="005B2449"/>
    <w:rsid w:val="005B25F2"/>
    <w:rsid w:val="005B25FB"/>
    <w:rsid w:val="005B27E7"/>
    <w:rsid w:val="005B29BB"/>
    <w:rsid w:val="005B29CB"/>
    <w:rsid w:val="005B2B27"/>
    <w:rsid w:val="005B2B47"/>
    <w:rsid w:val="005B2B95"/>
    <w:rsid w:val="005B2BFF"/>
    <w:rsid w:val="005B2C17"/>
    <w:rsid w:val="005B2C99"/>
    <w:rsid w:val="005B2D37"/>
    <w:rsid w:val="005B2EA3"/>
    <w:rsid w:val="005B2EE4"/>
    <w:rsid w:val="005B2EF8"/>
    <w:rsid w:val="005B2F53"/>
    <w:rsid w:val="005B2FF8"/>
    <w:rsid w:val="005B30B2"/>
    <w:rsid w:val="005B3188"/>
    <w:rsid w:val="005B3282"/>
    <w:rsid w:val="005B329F"/>
    <w:rsid w:val="005B32B4"/>
    <w:rsid w:val="005B349E"/>
    <w:rsid w:val="005B34A8"/>
    <w:rsid w:val="005B34F3"/>
    <w:rsid w:val="005B3568"/>
    <w:rsid w:val="005B367D"/>
    <w:rsid w:val="005B36AF"/>
    <w:rsid w:val="005B3701"/>
    <w:rsid w:val="005B3740"/>
    <w:rsid w:val="005B37B4"/>
    <w:rsid w:val="005B3863"/>
    <w:rsid w:val="005B3867"/>
    <w:rsid w:val="005B3868"/>
    <w:rsid w:val="005B3926"/>
    <w:rsid w:val="005B399E"/>
    <w:rsid w:val="005B39FE"/>
    <w:rsid w:val="005B3A0F"/>
    <w:rsid w:val="005B3B56"/>
    <w:rsid w:val="005B3C03"/>
    <w:rsid w:val="005B3C76"/>
    <w:rsid w:val="005B3CB1"/>
    <w:rsid w:val="005B3CB8"/>
    <w:rsid w:val="005B3D52"/>
    <w:rsid w:val="005B3E3E"/>
    <w:rsid w:val="005B3E5A"/>
    <w:rsid w:val="005B3E99"/>
    <w:rsid w:val="005B3EC5"/>
    <w:rsid w:val="005B3FDE"/>
    <w:rsid w:val="005B413F"/>
    <w:rsid w:val="005B41B5"/>
    <w:rsid w:val="005B42EB"/>
    <w:rsid w:val="005B43C2"/>
    <w:rsid w:val="005B43F4"/>
    <w:rsid w:val="005B4404"/>
    <w:rsid w:val="005B4556"/>
    <w:rsid w:val="005B4572"/>
    <w:rsid w:val="005B4587"/>
    <w:rsid w:val="005B47B8"/>
    <w:rsid w:val="005B47C6"/>
    <w:rsid w:val="005B4832"/>
    <w:rsid w:val="005B4934"/>
    <w:rsid w:val="005B4994"/>
    <w:rsid w:val="005B49E6"/>
    <w:rsid w:val="005B4A6A"/>
    <w:rsid w:val="005B4A96"/>
    <w:rsid w:val="005B4AA1"/>
    <w:rsid w:val="005B4AE2"/>
    <w:rsid w:val="005B4B2C"/>
    <w:rsid w:val="005B4B9B"/>
    <w:rsid w:val="005B4BAA"/>
    <w:rsid w:val="005B4C5C"/>
    <w:rsid w:val="005B4CE5"/>
    <w:rsid w:val="005B4D60"/>
    <w:rsid w:val="005B4DF4"/>
    <w:rsid w:val="005B4F05"/>
    <w:rsid w:val="005B4F9D"/>
    <w:rsid w:val="005B4FEB"/>
    <w:rsid w:val="005B4FF7"/>
    <w:rsid w:val="005B50D2"/>
    <w:rsid w:val="005B50FC"/>
    <w:rsid w:val="005B516E"/>
    <w:rsid w:val="005B51B0"/>
    <w:rsid w:val="005B51C2"/>
    <w:rsid w:val="005B521C"/>
    <w:rsid w:val="005B5223"/>
    <w:rsid w:val="005B52F0"/>
    <w:rsid w:val="005B52F9"/>
    <w:rsid w:val="005B5334"/>
    <w:rsid w:val="005B53F6"/>
    <w:rsid w:val="005B5407"/>
    <w:rsid w:val="005B5411"/>
    <w:rsid w:val="005B549F"/>
    <w:rsid w:val="005B54EE"/>
    <w:rsid w:val="005B5529"/>
    <w:rsid w:val="005B5534"/>
    <w:rsid w:val="005B56CE"/>
    <w:rsid w:val="005B57D7"/>
    <w:rsid w:val="005B58C7"/>
    <w:rsid w:val="005B5927"/>
    <w:rsid w:val="005B5993"/>
    <w:rsid w:val="005B59C0"/>
    <w:rsid w:val="005B5A1B"/>
    <w:rsid w:val="005B5A2C"/>
    <w:rsid w:val="005B5A58"/>
    <w:rsid w:val="005B5B83"/>
    <w:rsid w:val="005B5C13"/>
    <w:rsid w:val="005B5C22"/>
    <w:rsid w:val="005B5C97"/>
    <w:rsid w:val="005B5D7B"/>
    <w:rsid w:val="005B5F1A"/>
    <w:rsid w:val="005B5F50"/>
    <w:rsid w:val="005B5F92"/>
    <w:rsid w:val="005B5FE7"/>
    <w:rsid w:val="005B6008"/>
    <w:rsid w:val="005B6039"/>
    <w:rsid w:val="005B6057"/>
    <w:rsid w:val="005B608C"/>
    <w:rsid w:val="005B60E4"/>
    <w:rsid w:val="005B61D5"/>
    <w:rsid w:val="005B622A"/>
    <w:rsid w:val="005B6336"/>
    <w:rsid w:val="005B634C"/>
    <w:rsid w:val="005B6350"/>
    <w:rsid w:val="005B6384"/>
    <w:rsid w:val="005B6430"/>
    <w:rsid w:val="005B644E"/>
    <w:rsid w:val="005B6509"/>
    <w:rsid w:val="005B6541"/>
    <w:rsid w:val="005B6594"/>
    <w:rsid w:val="005B670E"/>
    <w:rsid w:val="005B68D2"/>
    <w:rsid w:val="005B6916"/>
    <w:rsid w:val="005B6943"/>
    <w:rsid w:val="005B6966"/>
    <w:rsid w:val="005B6975"/>
    <w:rsid w:val="005B6A7D"/>
    <w:rsid w:val="005B6A89"/>
    <w:rsid w:val="005B6B03"/>
    <w:rsid w:val="005B6B40"/>
    <w:rsid w:val="005B6B6D"/>
    <w:rsid w:val="005B6B8D"/>
    <w:rsid w:val="005B6BE2"/>
    <w:rsid w:val="005B6D45"/>
    <w:rsid w:val="005B6DAA"/>
    <w:rsid w:val="005B6F0D"/>
    <w:rsid w:val="005B6FB5"/>
    <w:rsid w:val="005B7038"/>
    <w:rsid w:val="005B7041"/>
    <w:rsid w:val="005B7069"/>
    <w:rsid w:val="005B71F5"/>
    <w:rsid w:val="005B72F5"/>
    <w:rsid w:val="005B7337"/>
    <w:rsid w:val="005B7347"/>
    <w:rsid w:val="005B739E"/>
    <w:rsid w:val="005B7400"/>
    <w:rsid w:val="005B7450"/>
    <w:rsid w:val="005B7773"/>
    <w:rsid w:val="005B7901"/>
    <w:rsid w:val="005B791C"/>
    <w:rsid w:val="005B7939"/>
    <w:rsid w:val="005B79E1"/>
    <w:rsid w:val="005B7A02"/>
    <w:rsid w:val="005B7A37"/>
    <w:rsid w:val="005B7BFE"/>
    <w:rsid w:val="005B7C0B"/>
    <w:rsid w:val="005B7CBA"/>
    <w:rsid w:val="005B7CC8"/>
    <w:rsid w:val="005B7D2E"/>
    <w:rsid w:val="005B7D90"/>
    <w:rsid w:val="005B7E17"/>
    <w:rsid w:val="005B7F4E"/>
    <w:rsid w:val="005C011F"/>
    <w:rsid w:val="005C028F"/>
    <w:rsid w:val="005C036B"/>
    <w:rsid w:val="005C037F"/>
    <w:rsid w:val="005C039A"/>
    <w:rsid w:val="005C0504"/>
    <w:rsid w:val="005C0535"/>
    <w:rsid w:val="005C05AE"/>
    <w:rsid w:val="005C0629"/>
    <w:rsid w:val="005C069E"/>
    <w:rsid w:val="005C06A4"/>
    <w:rsid w:val="005C06AE"/>
    <w:rsid w:val="005C06B8"/>
    <w:rsid w:val="005C06EC"/>
    <w:rsid w:val="005C0891"/>
    <w:rsid w:val="005C091A"/>
    <w:rsid w:val="005C0986"/>
    <w:rsid w:val="005C0A53"/>
    <w:rsid w:val="005C0A8C"/>
    <w:rsid w:val="005C0A91"/>
    <w:rsid w:val="005C0AA1"/>
    <w:rsid w:val="005C0B35"/>
    <w:rsid w:val="005C0B65"/>
    <w:rsid w:val="005C0B7E"/>
    <w:rsid w:val="005C0BEC"/>
    <w:rsid w:val="005C0D36"/>
    <w:rsid w:val="005C0DCE"/>
    <w:rsid w:val="005C0EA9"/>
    <w:rsid w:val="005C0EDC"/>
    <w:rsid w:val="005C0F59"/>
    <w:rsid w:val="005C0F60"/>
    <w:rsid w:val="005C112E"/>
    <w:rsid w:val="005C1206"/>
    <w:rsid w:val="005C1461"/>
    <w:rsid w:val="005C149B"/>
    <w:rsid w:val="005C14BA"/>
    <w:rsid w:val="005C14FF"/>
    <w:rsid w:val="005C1672"/>
    <w:rsid w:val="005C16B3"/>
    <w:rsid w:val="005C178F"/>
    <w:rsid w:val="005C17CC"/>
    <w:rsid w:val="005C1983"/>
    <w:rsid w:val="005C1ABF"/>
    <w:rsid w:val="005C1AF7"/>
    <w:rsid w:val="005C1B9B"/>
    <w:rsid w:val="005C1BBE"/>
    <w:rsid w:val="005C1C9D"/>
    <w:rsid w:val="005C1CCE"/>
    <w:rsid w:val="005C1D28"/>
    <w:rsid w:val="005C1EF3"/>
    <w:rsid w:val="005C1F6C"/>
    <w:rsid w:val="005C2013"/>
    <w:rsid w:val="005C2040"/>
    <w:rsid w:val="005C2078"/>
    <w:rsid w:val="005C20BD"/>
    <w:rsid w:val="005C20DE"/>
    <w:rsid w:val="005C2270"/>
    <w:rsid w:val="005C22FD"/>
    <w:rsid w:val="005C247B"/>
    <w:rsid w:val="005C2579"/>
    <w:rsid w:val="005C268F"/>
    <w:rsid w:val="005C26DF"/>
    <w:rsid w:val="005C277C"/>
    <w:rsid w:val="005C279B"/>
    <w:rsid w:val="005C27F4"/>
    <w:rsid w:val="005C2811"/>
    <w:rsid w:val="005C282A"/>
    <w:rsid w:val="005C2836"/>
    <w:rsid w:val="005C28E8"/>
    <w:rsid w:val="005C29C6"/>
    <w:rsid w:val="005C29F9"/>
    <w:rsid w:val="005C2A12"/>
    <w:rsid w:val="005C2BB6"/>
    <w:rsid w:val="005C2CEC"/>
    <w:rsid w:val="005C2D5D"/>
    <w:rsid w:val="005C2DAF"/>
    <w:rsid w:val="005C2EDE"/>
    <w:rsid w:val="005C2F0D"/>
    <w:rsid w:val="005C2F7A"/>
    <w:rsid w:val="005C2FE3"/>
    <w:rsid w:val="005C3000"/>
    <w:rsid w:val="005C3054"/>
    <w:rsid w:val="005C308E"/>
    <w:rsid w:val="005C314C"/>
    <w:rsid w:val="005C328E"/>
    <w:rsid w:val="005C32A8"/>
    <w:rsid w:val="005C33AB"/>
    <w:rsid w:val="005C33FE"/>
    <w:rsid w:val="005C35A1"/>
    <w:rsid w:val="005C35E3"/>
    <w:rsid w:val="005C3632"/>
    <w:rsid w:val="005C36CF"/>
    <w:rsid w:val="005C36F1"/>
    <w:rsid w:val="005C36F4"/>
    <w:rsid w:val="005C3825"/>
    <w:rsid w:val="005C396A"/>
    <w:rsid w:val="005C3A5E"/>
    <w:rsid w:val="005C3A89"/>
    <w:rsid w:val="005C3AC0"/>
    <w:rsid w:val="005C3B4C"/>
    <w:rsid w:val="005C3B62"/>
    <w:rsid w:val="005C3BCD"/>
    <w:rsid w:val="005C3CC2"/>
    <w:rsid w:val="005C3DDA"/>
    <w:rsid w:val="005C40E0"/>
    <w:rsid w:val="005C40E8"/>
    <w:rsid w:val="005C4118"/>
    <w:rsid w:val="005C4163"/>
    <w:rsid w:val="005C41A0"/>
    <w:rsid w:val="005C4256"/>
    <w:rsid w:val="005C4411"/>
    <w:rsid w:val="005C4468"/>
    <w:rsid w:val="005C4477"/>
    <w:rsid w:val="005C44C3"/>
    <w:rsid w:val="005C454C"/>
    <w:rsid w:val="005C4581"/>
    <w:rsid w:val="005C46C3"/>
    <w:rsid w:val="005C46EE"/>
    <w:rsid w:val="005C479A"/>
    <w:rsid w:val="005C47D0"/>
    <w:rsid w:val="005C4896"/>
    <w:rsid w:val="005C48AD"/>
    <w:rsid w:val="005C48E9"/>
    <w:rsid w:val="005C48FC"/>
    <w:rsid w:val="005C4906"/>
    <w:rsid w:val="005C4B13"/>
    <w:rsid w:val="005C4BB6"/>
    <w:rsid w:val="005C4BB8"/>
    <w:rsid w:val="005C4F66"/>
    <w:rsid w:val="005C4F8F"/>
    <w:rsid w:val="005C4FC4"/>
    <w:rsid w:val="005C5077"/>
    <w:rsid w:val="005C509B"/>
    <w:rsid w:val="005C51C7"/>
    <w:rsid w:val="005C53E4"/>
    <w:rsid w:val="005C53F3"/>
    <w:rsid w:val="005C54C7"/>
    <w:rsid w:val="005C5529"/>
    <w:rsid w:val="005C55C1"/>
    <w:rsid w:val="005C55C2"/>
    <w:rsid w:val="005C56C6"/>
    <w:rsid w:val="005C5789"/>
    <w:rsid w:val="005C57C6"/>
    <w:rsid w:val="005C5A0C"/>
    <w:rsid w:val="005C5B9A"/>
    <w:rsid w:val="005C5C6D"/>
    <w:rsid w:val="005C5C97"/>
    <w:rsid w:val="005C5D26"/>
    <w:rsid w:val="005C5ED0"/>
    <w:rsid w:val="005C5ED6"/>
    <w:rsid w:val="005C5FAE"/>
    <w:rsid w:val="005C6040"/>
    <w:rsid w:val="005C62A7"/>
    <w:rsid w:val="005C62FB"/>
    <w:rsid w:val="005C6540"/>
    <w:rsid w:val="005C6543"/>
    <w:rsid w:val="005C66C2"/>
    <w:rsid w:val="005C66F6"/>
    <w:rsid w:val="005C67A9"/>
    <w:rsid w:val="005C6811"/>
    <w:rsid w:val="005C683E"/>
    <w:rsid w:val="005C6864"/>
    <w:rsid w:val="005C6952"/>
    <w:rsid w:val="005C6A59"/>
    <w:rsid w:val="005C6A5D"/>
    <w:rsid w:val="005C6ABB"/>
    <w:rsid w:val="005C6CD0"/>
    <w:rsid w:val="005C6D75"/>
    <w:rsid w:val="005C6E7A"/>
    <w:rsid w:val="005C6E9C"/>
    <w:rsid w:val="005C6F43"/>
    <w:rsid w:val="005C70A7"/>
    <w:rsid w:val="005C7107"/>
    <w:rsid w:val="005C720A"/>
    <w:rsid w:val="005C7286"/>
    <w:rsid w:val="005C739C"/>
    <w:rsid w:val="005C7412"/>
    <w:rsid w:val="005C7557"/>
    <w:rsid w:val="005C76F8"/>
    <w:rsid w:val="005C7711"/>
    <w:rsid w:val="005C7712"/>
    <w:rsid w:val="005C777C"/>
    <w:rsid w:val="005C779A"/>
    <w:rsid w:val="005C77B0"/>
    <w:rsid w:val="005C7895"/>
    <w:rsid w:val="005C78A4"/>
    <w:rsid w:val="005C7926"/>
    <w:rsid w:val="005C7AE4"/>
    <w:rsid w:val="005C7B39"/>
    <w:rsid w:val="005C7BAF"/>
    <w:rsid w:val="005C7BB9"/>
    <w:rsid w:val="005C7C01"/>
    <w:rsid w:val="005C7D74"/>
    <w:rsid w:val="005C7F12"/>
    <w:rsid w:val="005D008B"/>
    <w:rsid w:val="005D01E1"/>
    <w:rsid w:val="005D0209"/>
    <w:rsid w:val="005D02D1"/>
    <w:rsid w:val="005D032D"/>
    <w:rsid w:val="005D035A"/>
    <w:rsid w:val="005D03A4"/>
    <w:rsid w:val="005D042A"/>
    <w:rsid w:val="005D0518"/>
    <w:rsid w:val="005D057B"/>
    <w:rsid w:val="005D0629"/>
    <w:rsid w:val="005D0647"/>
    <w:rsid w:val="005D072B"/>
    <w:rsid w:val="005D077C"/>
    <w:rsid w:val="005D08CC"/>
    <w:rsid w:val="005D093A"/>
    <w:rsid w:val="005D09B1"/>
    <w:rsid w:val="005D09EA"/>
    <w:rsid w:val="005D0A7B"/>
    <w:rsid w:val="005D0BC6"/>
    <w:rsid w:val="005D0C71"/>
    <w:rsid w:val="005D0D33"/>
    <w:rsid w:val="005D0D6E"/>
    <w:rsid w:val="005D0DF6"/>
    <w:rsid w:val="005D0EC8"/>
    <w:rsid w:val="005D0F97"/>
    <w:rsid w:val="005D1000"/>
    <w:rsid w:val="005D10AB"/>
    <w:rsid w:val="005D118F"/>
    <w:rsid w:val="005D12BF"/>
    <w:rsid w:val="005D1340"/>
    <w:rsid w:val="005D1371"/>
    <w:rsid w:val="005D14C8"/>
    <w:rsid w:val="005D14D9"/>
    <w:rsid w:val="005D160D"/>
    <w:rsid w:val="005D167D"/>
    <w:rsid w:val="005D171F"/>
    <w:rsid w:val="005D1726"/>
    <w:rsid w:val="005D17B6"/>
    <w:rsid w:val="005D17C0"/>
    <w:rsid w:val="005D1845"/>
    <w:rsid w:val="005D18D5"/>
    <w:rsid w:val="005D1919"/>
    <w:rsid w:val="005D1952"/>
    <w:rsid w:val="005D1959"/>
    <w:rsid w:val="005D195D"/>
    <w:rsid w:val="005D197D"/>
    <w:rsid w:val="005D1981"/>
    <w:rsid w:val="005D1A31"/>
    <w:rsid w:val="005D1A43"/>
    <w:rsid w:val="005D1B11"/>
    <w:rsid w:val="005D1B28"/>
    <w:rsid w:val="005D1B5A"/>
    <w:rsid w:val="005D1B8E"/>
    <w:rsid w:val="005D1BD8"/>
    <w:rsid w:val="005D1C98"/>
    <w:rsid w:val="005D1CB2"/>
    <w:rsid w:val="005D1DA0"/>
    <w:rsid w:val="005D1E0F"/>
    <w:rsid w:val="005D1E7A"/>
    <w:rsid w:val="005D1EA8"/>
    <w:rsid w:val="005D1EAD"/>
    <w:rsid w:val="005D1EBB"/>
    <w:rsid w:val="005D1EF0"/>
    <w:rsid w:val="005D1EF1"/>
    <w:rsid w:val="005D2057"/>
    <w:rsid w:val="005D20B1"/>
    <w:rsid w:val="005D2212"/>
    <w:rsid w:val="005D226C"/>
    <w:rsid w:val="005D2294"/>
    <w:rsid w:val="005D22B6"/>
    <w:rsid w:val="005D2353"/>
    <w:rsid w:val="005D23AF"/>
    <w:rsid w:val="005D2445"/>
    <w:rsid w:val="005D24B6"/>
    <w:rsid w:val="005D2516"/>
    <w:rsid w:val="005D2533"/>
    <w:rsid w:val="005D2574"/>
    <w:rsid w:val="005D25B9"/>
    <w:rsid w:val="005D25C6"/>
    <w:rsid w:val="005D26B0"/>
    <w:rsid w:val="005D275E"/>
    <w:rsid w:val="005D2767"/>
    <w:rsid w:val="005D27EE"/>
    <w:rsid w:val="005D2837"/>
    <w:rsid w:val="005D29CD"/>
    <w:rsid w:val="005D2A85"/>
    <w:rsid w:val="005D2A98"/>
    <w:rsid w:val="005D2AE4"/>
    <w:rsid w:val="005D2BF8"/>
    <w:rsid w:val="005D2BFA"/>
    <w:rsid w:val="005D2C18"/>
    <w:rsid w:val="005D2C3F"/>
    <w:rsid w:val="005D2C9A"/>
    <w:rsid w:val="005D2CC8"/>
    <w:rsid w:val="005D2D05"/>
    <w:rsid w:val="005D2D5E"/>
    <w:rsid w:val="005D2ECC"/>
    <w:rsid w:val="005D2F12"/>
    <w:rsid w:val="005D2F46"/>
    <w:rsid w:val="005D2F84"/>
    <w:rsid w:val="005D2FE3"/>
    <w:rsid w:val="005D30D0"/>
    <w:rsid w:val="005D30DD"/>
    <w:rsid w:val="005D3136"/>
    <w:rsid w:val="005D3161"/>
    <w:rsid w:val="005D3461"/>
    <w:rsid w:val="005D3486"/>
    <w:rsid w:val="005D34B6"/>
    <w:rsid w:val="005D34B9"/>
    <w:rsid w:val="005D3592"/>
    <w:rsid w:val="005D371B"/>
    <w:rsid w:val="005D3826"/>
    <w:rsid w:val="005D38B0"/>
    <w:rsid w:val="005D38C6"/>
    <w:rsid w:val="005D38E1"/>
    <w:rsid w:val="005D390E"/>
    <w:rsid w:val="005D3996"/>
    <w:rsid w:val="005D3B92"/>
    <w:rsid w:val="005D3BEE"/>
    <w:rsid w:val="005D3D41"/>
    <w:rsid w:val="005D3D5D"/>
    <w:rsid w:val="005D3D92"/>
    <w:rsid w:val="005D3DE4"/>
    <w:rsid w:val="005D3F78"/>
    <w:rsid w:val="005D3F79"/>
    <w:rsid w:val="005D3FB0"/>
    <w:rsid w:val="005D3FC1"/>
    <w:rsid w:val="005D40C9"/>
    <w:rsid w:val="005D41B7"/>
    <w:rsid w:val="005D41F8"/>
    <w:rsid w:val="005D4249"/>
    <w:rsid w:val="005D43A6"/>
    <w:rsid w:val="005D43C5"/>
    <w:rsid w:val="005D441D"/>
    <w:rsid w:val="005D4430"/>
    <w:rsid w:val="005D4441"/>
    <w:rsid w:val="005D4589"/>
    <w:rsid w:val="005D45F3"/>
    <w:rsid w:val="005D467C"/>
    <w:rsid w:val="005D477C"/>
    <w:rsid w:val="005D47EC"/>
    <w:rsid w:val="005D49BC"/>
    <w:rsid w:val="005D49D4"/>
    <w:rsid w:val="005D4C58"/>
    <w:rsid w:val="005D4CD9"/>
    <w:rsid w:val="005D4D43"/>
    <w:rsid w:val="005D4D5A"/>
    <w:rsid w:val="005D4D84"/>
    <w:rsid w:val="005D4D8C"/>
    <w:rsid w:val="005D4E9E"/>
    <w:rsid w:val="005D4EDD"/>
    <w:rsid w:val="005D4FF0"/>
    <w:rsid w:val="005D5116"/>
    <w:rsid w:val="005D525F"/>
    <w:rsid w:val="005D52EF"/>
    <w:rsid w:val="005D53F1"/>
    <w:rsid w:val="005D54D0"/>
    <w:rsid w:val="005D5737"/>
    <w:rsid w:val="005D5741"/>
    <w:rsid w:val="005D57AC"/>
    <w:rsid w:val="005D5826"/>
    <w:rsid w:val="005D5900"/>
    <w:rsid w:val="005D591F"/>
    <w:rsid w:val="005D5934"/>
    <w:rsid w:val="005D59D5"/>
    <w:rsid w:val="005D59E4"/>
    <w:rsid w:val="005D5A2C"/>
    <w:rsid w:val="005D5A97"/>
    <w:rsid w:val="005D5AB2"/>
    <w:rsid w:val="005D5AEB"/>
    <w:rsid w:val="005D5AF7"/>
    <w:rsid w:val="005D5BAB"/>
    <w:rsid w:val="005D5C60"/>
    <w:rsid w:val="005D5C70"/>
    <w:rsid w:val="005D5C75"/>
    <w:rsid w:val="005D5F15"/>
    <w:rsid w:val="005D5F2D"/>
    <w:rsid w:val="005D5F5D"/>
    <w:rsid w:val="005D6004"/>
    <w:rsid w:val="005D60AD"/>
    <w:rsid w:val="005D6165"/>
    <w:rsid w:val="005D61A6"/>
    <w:rsid w:val="005D61CB"/>
    <w:rsid w:val="005D628A"/>
    <w:rsid w:val="005D62E8"/>
    <w:rsid w:val="005D630F"/>
    <w:rsid w:val="005D6315"/>
    <w:rsid w:val="005D6492"/>
    <w:rsid w:val="005D656E"/>
    <w:rsid w:val="005D665E"/>
    <w:rsid w:val="005D6699"/>
    <w:rsid w:val="005D669E"/>
    <w:rsid w:val="005D6707"/>
    <w:rsid w:val="005D674D"/>
    <w:rsid w:val="005D6922"/>
    <w:rsid w:val="005D69AD"/>
    <w:rsid w:val="005D6A01"/>
    <w:rsid w:val="005D6AAA"/>
    <w:rsid w:val="005D6AC7"/>
    <w:rsid w:val="005D6BC7"/>
    <w:rsid w:val="005D6C35"/>
    <w:rsid w:val="005D6C48"/>
    <w:rsid w:val="005D6D0A"/>
    <w:rsid w:val="005D6D40"/>
    <w:rsid w:val="005D6D98"/>
    <w:rsid w:val="005D6EA8"/>
    <w:rsid w:val="005D6F60"/>
    <w:rsid w:val="005D7010"/>
    <w:rsid w:val="005D71FB"/>
    <w:rsid w:val="005D71FD"/>
    <w:rsid w:val="005D7236"/>
    <w:rsid w:val="005D72B0"/>
    <w:rsid w:val="005D7323"/>
    <w:rsid w:val="005D73BB"/>
    <w:rsid w:val="005D741A"/>
    <w:rsid w:val="005D7512"/>
    <w:rsid w:val="005D754C"/>
    <w:rsid w:val="005D7558"/>
    <w:rsid w:val="005D75B6"/>
    <w:rsid w:val="005D76D3"/>
    <w:rsid w:val="005D7726"/>
    <w:rsid w:val="005D78CA"/>
    <w:rsid w:val="005D78DF"/>
    <w:rsid w:val="005D78F1"/>
    <w:rsid w:val="005D792C"/>
    <w:rsid w:val="005D796F"/>
    <w:rsid w:val="005D7A3C"/>
    <w:rsid w:val="005D7AA8"/>
    <w:rsid w:val="005D7ADA"/>
    <w:rsid w:val="005D7B0E"/>
    <w:rsid w:val="005D7B10"/>
    <w:rsid w:val="005D7BD7"/>
    <w:rsid w:val="005D7CE0"/>
    <w:rsid w:val="005D7D07"/>
    <w:rsid w:val="005D7D62"/>
    <w:rsid w:val="005D7E28"/>
    <w:rsid w:val="005D7E51"/>
    <w:rsid w:val="005D7E7A"/>
    <w:rsid w:val="005D7ED5"/>
    <w:rsid w:val="005D7F1C"/>
    <w:rsid w:val="005D7F42"/>
    <w:rsid w:val="005E0006"/>
    <w:rsid w:val="005E019D"/>
    <w:rsid w:val="005E022D"/>
    <w:rsid w:val="005E026B"/>
    <w:rsid w:val="005E02B5"/>
    <w:rsid w:val="005E030B"/>
    <w:rsid w:val="005E0332"/>
    <w:rsid w:val="005E0457"/>
    <w:rsid w:val="005E0488"/>
    <w:rsid w:val="005E0610"/>
    <w:rsid w:val="005E0781"/>
    <w:rsid w:val="005E07A7"/>
    <w:rsid w:val="005E091C"/>
    <w:rsid w:val="005E094D"/>
    <w:rsid w:val="005E09D1"/>
    <w:rsid w:val="005E0A8D"/>
    <w:rsid w:val="005E0B3E"/>
    <w:rsid w:val="005E0B5C"/>
    <w:rsid w:val="005E0C1E"/>
    <w:rsid w:val="005E0C64"/>
    <w:rsid w:val="005E0C7B"/>
    <w:rsid w:val="005E0D8D"/>
    <w:rsid w:val="005E0F77"/>
    <w:rsid w:val="005E1055"/>
    <w:rsid w:val="005E1094"/>
    <w:rsid w:val="005E112B"/>
    <w:rsid w:val="005E11B2"/>
    <w:rsid w:val="005E1283"/>
    <w:rsid w:val="005E1330"/>
    <w:rsid w:val="005E1385"/>
    <w:rsid w:val="005E13BB"/>
    <w:rsid w:val="005E1588"/>
    <w:rsid w:val="005E15A1"/>
    <w:rsid w:val="005E15E7"/>
    <w:rsid w:val="005E1724"/>
    <w:rsid w:val="005E1863"/>
    <w:rsid w:val="005E187B"/>
    <w:rsid w:val="005E1942"/>
    <w:rsid w:val="005E19F7"/>
    <w:rsid w:val="005E1A96"/>
    <w:rsid w:val="005E1ACC"/>
    <w:rsid w:val="005E1B60"/>
    <w:rsid w:val="005E1DAF"/>
    <w:rsid w:val="005E1DDE"/>
    <w:rsid w:val="005E1DF5"/>
    <w:rsid w:val="005E1EEB"/>
    <w:rsid w:val="005E1F3C"/>
    <w:rsid w:val="005E1FBE"/>
    <w:rsid w:val="005E1FD0"/>
    <w:rsid w:val="005E2059"/>
    <w:rsid w:val="005E2142"/>
    <w:rsid w:val="005E2167"/>
    <w:rsid w:val="005E221D"/>
    <w:rsid w:val="005E22F6"/>
    <w:rsid w:val="005E23CD"/>
    <w:rsid w:val="005E2406"/>
    <w:rsid w:val="005E243C"/>
    <w:rsid w:val="005E2478"/>
    <w:rsid w:val="005E25B5"/>
    <w:rsid w:val="005E25EA"/>
    <w:rsid w:val="005E2607"/>
    <w:rsid w:val="005E2721"/>
    <w:rsid w:val="005E2745"/>
    <w:rsid w:val="005E276A"/>
    <w:rsid w:val="005E2799"/>
    <w:rsid w:val="005E27BC"/>
    <w:rsid w:val="005E27E6"/>
    <w:rsid w:val="005E2838"/>
    <w:rsid w:val="005E290D"/>
    <w:rsid w:val="005E295A"/>
    <w:rsid w:val="005E2981"/>
    <w:rsid w:val="005E29B8"/>
    <w:rsid w:val="005E2B1A"/>
    <w:rsid w:val="005E2B22"/>
    <w:rsid w:val="005E2C4E"/>
    <w:rsid w:val="005E2CE3"/>
    <w:rsid w:val="005E2D08"/>
    <w:rsid w:val="005E2D28"/>
    <w:rsid w:val="005E2E06"/>
    <w:rsid w:val="005E2E4E"/>
    <w:rsid w:val="005E3168"/>
    <w:rsid w:val="005E31A8"/>
    <w:rsid w:val="005E3266"/>
    <w:rsid w:val="005E3280"/>
    <w:rsid w:val="005E32BE"/>
    <w:rsid w:val="005E32D7"/>
    <w:rsid w:val="005E3397"/>
    <w:rsid w:val="005E34AF"/>
    <w:rsid w:val="005E34B8"/>
    <w:rsid w:val="005E351A"/>
    <w:rsid w:val="005E352A"/>
    <w:rsid w:val="005E356B"/>
    <w:rsid w:val="005E35A0"/>
    <w:rsid w:val="005E35E6"/>
    <w:rsid w:val="005E3761"/>
    <w:rsid w:val="005E3879"/>
    <w:rsid w:val="005E3893"/>
    <w:rsid w:val="005E3938"/>
    <w:rsid w:val="005E3A13"/>
    <w:rsid w:val="005E3B12"/>
    <w:rsid w:val="005E3B83"/>
    <w:rsid w:val="005E3BEE"/>
    <w:rsid w:val="005E3C19"/>
    <w:rsid w:val="005E3D09"/>
    <w:rsid w:val="005E3DAC"/>
    <w:rsid w:val="005E3DC0"/>
    <w:rsid w:val="005E3DE0"/>
    <w:rsid w:val="005E3E60"/>
    <w:rsid w:val="005E3EC9"/>
    <w:rsid w:val="005E3FA6"/>
    <w:rsid w:val="005E3FF9"/>
    <w:rsid w:val="005E407B"/>
    <w:rsid w:val="005E4131"/>
    <w:rsid w:val="005E4148"/>
    <w:rsid w:val="005E415A"/>
    <w:rsid w:val="005E4163"/>
    <w:rsid w:val="005E42A7"/>
    <w:rsid w:val="005E447F"/>
    <w:rsid w:val="005E4492"/>
    <w:rsid w:val="005E4494"/>
    <w:rsid w:val="005E44DE"/>
    <w:rsid w:val="005E44E7"/>
    <w:rsid w:val="005E4522"/>
    <w:rsid w:val="005E4556"/>
    <w:rsid w:val="005E4573"/>
    <w:rsid w:val="005E4611"/>
    <w:rsid w:val="005E46FE"/>
    <w:rsid w:val="005E4771"/>
    <w:rsid w:val="005E4824"/>
    <w:rsid w:val="005E48E9"/>
    <w:rsid w:val="005E4B3B"/>
    <w:rsid w:val="005E4B6F"/>
    <w:rsid w:val="005E4B77"/>
    <w:rsid w:val="005E4BE5"/>
    <w:rsid w:val="005E4C8F"/>
    <w:rsid w:val="005E4C94"/>
    <w:rsid w:val="005E4C95"/>
    <w:rsid w:val="005E4C9C"/>
    <w:rsid w:val="005E4D76"/>
    <w:rsid w:val="005E4DA4"/>
    <w:rsid w:val="005E4E1B"/>
    <w:rsid w:val="005E4E7F"/>
    <w:rsid w:val="005E4EB3"/>
    <w:rsid w:val="005E4ED7"/>
    <w:rsid w:val="005E4F55"/>
    <w:rsid w:val="005E4FB8"/>
    <w:rsid w:val="005E4FBE"/>
    <w:rsid w:val="005E5048"/>
    <w:rsid w:val="005E5193"/>
    <w:rsid w:val="005E51BF"/>
    <w:rsid w:val="005E51CD"/>
    <w:rsid w:val="005E521D"/>
    <w:rsid w:val="005E529F"/>
    <w:rsid w:val="005E52E9"/>
    <w:rsid w:val="005E5338"/>
    <w:rsid w:val="005E53B4"/>
    <w:rsid w:val="005E54DA"/>
    <w:rsid w:val="005E55E6"/>
    <w:rsid w:val="005E5658"/>
    <w:rsid w:val="005E5709"/>
    <w:rsid w:val="005E5729"/>
    <w:rsid w:val="005E5750"/>
    <w:rsid w:val="005E5768"/>
    <w:rsid w:val="005E57A4"/>
    <w:rsid w:val="005E5945"/>
    <w:rsid w:val="005E5A28"/>
    <w:rsid w:val="005E5B0A"/>
    <w:rsid w:val="005E5B33"/>
    <w:rsid w:val="005E5B58"/>
    <w:rsid w:val="005E5CCC"/>
    <w:rsid w:val="005E5CE8"/>
    <w:rsid w:val="005E5E4E"/>
    <w:rsid w:val="005E5E85"/>
    <w:rsid w:val="005E5FE4"/>
    <w:rsid w:val="005E600D"/>
    <w:rsid w:val="005E61DB"/>
    <w:rsid w:val="005E63DA"/>
    <w:rsid w:val="005E63E2"/>
    <w:rsid w:val="005E644E"/>
    <w:rsid w:val="005E661E"/>
    <w:rsid w:val="005E69DC"/>
    <w:rsid w:val="005E6A7F"/>
    <w:rsid w:val="005E6AA6"/>
    <w:rsid w:val="005E6AC9"/>
    <w:rsid w:val="005E6DD1"/>
    <w:rsid w:val="005E6DF9"/>
    <w:rsid w:val="005E6DFC"/>
    <w:rsid w:val="005E6EF8"/>
    <w:rsid w:val="005E6FA0"/>
    <w:rsid w:val="005E6FB7"/>
    <w:rsid w:val="005E700A"/>
    <w:rsid w:val="005E707B"/>
    <w:rsid w:val="005E7102"/>
    <w:rsid w:val="005E72EC"/>
    <w:rsid w:val="005E7357"/>
    <w:rsid w:val="005E7366"/>
    <w:rsid w:val="005E7379"/>
    <w:rsid w:val="005E7467"/>
    <w:rsid w:val="005E7534"/>
    <w:rsid w:val="005E75DB"/>
    <w:rsid w:val="005E76C4"/>
    <w:rsid w:val="005E7771"/>
    <w:rsid w:val="005E78D0"/>
    <w:rsid w:val="005E7A0B"/>
    <w:rsid w:val="005E7C05"/>
    <w:rsid w:val="005E7CF9"/>
    <w:rsid w:val="005E7D2C"/>
    <w:rsid w:val="005E7D30"/>
    <w:rsid w:val="005E7E83"/>
    <w:rsid w:val="005E7EB1"/>
    <w:rsid w:val="005E7EBF"/>
    <w:rsid w:val="005E7F48"/>
    <w:rsid w:val="005E7F52"/>
    <w:rsid w:val="005F0208"/>
    <w:rsid w:val="005F03A9"/>
    <w:rsid w:val="005F0539"/>
    <w:rsid w:val="005F0672"/>
    <w:rsid w:val="005F07F0"/>
    <w:rsid w:val="005F0841"/>
    <w:rsid w:val="005F0947"/>
    <w:rsid w:val="005F09CC"/>
    <w:rsid w:val="005F0B63"/>
    <w:rsid w:val="005F0B71"/>
    <w:rsid w:val="005F0C73"/>
    <w:rsid w:val="005F0CB7"/>
    <w:rsid w:val="005F0E12"/>
    <w:rsid w:val="005F0E53"/>
    <w:rsid w:val="005F0EB2"/>
    <w:rsid w:val="005F0F36"/>
    <w:rsid w:val="005F0FAA"/>
    <w:rsid w:val="005F0FDA"/>
    <w:rsid w:val="005F1087"/>
    <w:rsid w:val="005F10D9"/>
    <w:rsid w:val="005F1378"/>
    <w:rsid w:val="005F1427"/>
    <w:rsid w:val="005F1438"/>
    <w:rsid w:val="005F14DA"/>
    <w:rsid w:val="005F1520"/>
    <w:rsid w:val="005F164E"/>
    <w:rsid w:val="005F1696"/>
    <w:rsid w:val="005F16BB"/>
    <w:rsid w:val="005F17C5"/>
    <w:rsid w:val="005F17D1"/>
    <w:rsid w:val="005F183B"/>
    <w:rsid w:val="005F18A8"/>
    <w:rsid w:val="005F18B0"/>
    <w:rsid w:val="005F1AFD"/>
    <w:rsid w:val="005F1B4C"/>
    <w:rsid w:val="005F1B61"/>
    <w:rsid w:val="005F1BCB"/>
    <w:rsid w:val="005F1CD2"/>
    <w:rsid w:val="005F1CF3"/>
    <w:rsid w:val="005F1D6D"/>
    <w:rsid w:val="005F1EB3"/>
    <w:rsid w:val="005F1EBC"/>
    <w:rsid w:val="005F1F22"/>
    <w:rsid w:val="005F1F4B"/>
    <w:rsid w:val="005F2006"/>
    <w:rsid w:val="005F20A1"/>
    <w:rsid w:val="005F2148"/>
    <w:rsid w:val="005F2364"/>
    <w:rsid w:val="005F2467"/>
    <w:rsid w:val="005F24AD"/>
    <w:rsid w:val="005F276C"/>
    <w:rsid w:val="005F27D3"/>
    <w:rsid w:val="005F28BF"/>
    <w:rsid w:val="005F2906"/>
    <w:rsid w:val="005F2946"/>
    <w:rsid w:val="005F2A78"/>
    <w:rsid w:val="005F2B05"/>
    <w:rsid w:val="005F2B1F"/>
    <w:rsid w:val="005F2B40"/>
    <w:rsid w:val="005F2BC0"/>
    <w:rsid w:val="005F2BD9"/>
    <w:rsid w:val="005F2CC4"/>
    <w:rsid w:val="005F2CE6"/>
    <w:rsid w:val="005F2CF7"/>
    <w:rsid w:val="005F2E7F"/>
    <w:rsid w:val="005F2E84"/>
    <w:rsid w:val="005F2ED7"/>
    <w:rsid w:val="005F31BD"/>
    <w:rsid w:val="005F328D"/>
    <w:rsid w:val="005F32A5"/>
    <w:rsid w:val="005F347B"/>
    <w:rsid w:val="005F3495"/>
    <w:rsid w:val="005F354F"/>
    <w:rsid w:val="005F359A"/>
    <w:rsid w:val="005F360A"/>
    <w:rsid w:val="005F365C"/>
    <w:rsid w:val="005F367D"/>
    <w:rsid w:val="005F36EB"/>
    <w:rsid w:val="005F3713"/>
    <w:rsid w:val="005F37D7"/>
    <w:rsid w:val="005F37FF"/>
    <w:rsid w:val="005F38CB"/>
    <w:rsid w:val="005F38EA"/>
    <w:rsid w:val="005F3914"/>
    <w:rsid w:val="005F3949"/>
    <w:rsid w:val="005F39F6"/>
    <w:rsid w:val="005F3A0A"/>
    <w:rsid w:val="005F3A56"/>
    <w:rsid w:val="005F3B49"/>
    <w:rsid w:val="005F3B4D"/>
    <w:rsid w:val="005F3B60"/>
    <w:rsid w:val="005F3B73"/>
    <w:rsid w:val="005F3BA4"/>
    <w:rsid w:val="005F3BDB"/>
    <w:rsid w:val="005F3C33"/>
    <w:rsid w:val="005F3C66"/>
    <w:rsid w:val="005F3CA4"/>
    <w:rsid w:val="005F3CBB"/>
    <w:rsid w:val="005F3D34"/>
    <w:rsid w:val="005F3D76"/>
    <w:rsid w:val="005F3DBE"/>
    <w:rsid w:val="005F3DD7"/>
    <w:rsid w:val="005F3E4D"/>
    <w:rsid w:val="005F3E62"/>
    <w:rsid w:val="005F3EAC"/>
    <w:rsid w:val="005F3EB3"/>
    <w:rsid w:val="005F3ECF"/>
    <w:rsid w:val="005F3F4F"/>
    <w:rsid w:val="005F3F62"/>
    <w:rsid w:val="005F3FA7"/>
    <w:rsid w:val="005F3FAB"/>
    <w:rsid w:val="005F4058"/>
    <w:rsid w:val="005F410B"/>
    <w:rsid w:val="005F4192"/>
    <w:rsid w:val="005F41D4"/>
    <w:rsid w:val="005F431B"/>
    <w:rsid w:val="005F460D"/>
    <w:rsid w:val="005F4738"/>
    <w:rsid w:val="005F473C"/>
    <w:rsid w:val="005F4783"/>
    <w:rsid w:val="005F4857"/>
    <w:rsid w:val="005F4977"/>
    <w:rsid w:val="005F4986"/>
    <w:rsid w:val="005F4BE1"/>
    <w:rsid w:val="005F4D9D"/>
    <w:rsid w:val="005F4EAD"/>
    <w:rsid w:val="005F4F28"/>
    <w:rsid w:val="005F4FDC"/>
    <w:rsid w:val="005F501E"/>
    <w:rsid w:val="005F5077"/>
    <w:rsid w:val="005F5081"/>
    <w:rsid w:val="005F517A"/>
    <w:rsid w:val="005F51EA"/>
    <w:rsid w:val="005F527A"/>
    <w:rsid w:val="005F52E9"/>
    <w:rsid w:val="005F531D"/>
    <w:rsid w:val="005F5327"/>
    <w:rsid w:val="005F5356"/>
    <w:rsid w:val="005F535B"/>
    <w:rsid w:val="005F542F"/>
    <w:rsid w:val="005F55B2"/>
    <w:rsid w:val="005F55DB"/>
    <w:rsid w:val="005F565B"/>
    <w:rsid w:val="005F5748"/>
    <w:rsid w:val="005F57A0"/>
    <w:rsid w:val="005F57D8"/>
    <w:rsid w:val="005F57E5"/>
    <w:rsid w:val="005F598F"/>
    <w:rsid w:val="005F5A3F"/>
    <w:rsid w:val="005F5A9F"/>
    <w:rsid w:val="005F5B84"/>
    <w:rsid w:val="005F5C4E"/>
    <w:rsid w:val="005F5C9E"/>
    <w:rsid w:val="005F5CF5"/>
    <w:rsid w:val="005F6017"/>
    <w:rsid w:val="005F6050"/>
    <w:rsid w:val="005F6230"/>
    <w:rsid w:val="005F62A1"/>
    <w:rsid w:val="005F62E7"/>
    <w:rsid w:val="005F62F4"/>
    <w:rsid w:val="005F6303"/>
    <w:rsid w:val="005F6323"/>
    <w:rsid w:val="005F655D"/>
    <w:rsid w:val="005F65AA"/>
    <w:rsid w:val="005F6676"/>
    <w:rsid w:val="005F6749"/>
    <w:rsid w:val="005F675F"/>
    <w:rsid w:val="005F6784"/>
    <w:rsid w:val="005F67BE"/>
    <w:rsid w:val="005F682C"/>
    <w:rsid w:val="005F6831"/>
    <w:rsid w:val="005F6896"/>
    <w:rsid w:val="005F694B"/>
    <w:rsid w:val="005F6A1E"/>
    <w:rsid w:val="005F6A1F"/>
    <w:rsid w:val="005F6AB0"/>
    <w:rsid w:val="005F6AF8"/>
    <w:rsid w:val="005F6B09"/>
    <w:rsid w:val="005F6B46"/>
    <w:rsid w:val="005F6CB7"/>
    <w:rsid w:val="005F6E28"/>
    <w:rsid w:val="005F6E56"/>
    <w:rsid w:val="005F6E71"/>
    <w:rsid w:val="005F6F24"/>
    <w:rsid w:val="005F71B0"/>
    <w:rsid w:val="005F71F3"/>
    <w:rsid w:val="005F720B"/>
    <w:rsid w:val="005F7387"/>
    <w:rsid w:val="005F73D7"/>
    <w:rsid w:val="005F7435"/>
    <w:rsid w:val="005F748C"/>
    <w:rsid w:val="005F74BF"/>
    <w:rsid w:val="005F757D"/>
    <w:rsid w:val="005F75A8"/>
    <w:rsid w:val="005F7666"/>
    <w:rsid w:val="005F7669"/>
    <w:rsid w:val="005F76AE"/>
    <w:rsid w:val="005F76F8"/>
    <w:rsid w:val="005F7751"/>
    <w:rsid w:val="005F778A"/>
    <w:rsid w:val="005F7824"/>
    <w:rsid w:val="005F7977"/>
    <w:rsid w:val="005F79C6"/>
    <w:rsid w:val="005F79CC"/>
    <w:rsid w:val="005F7A2F"/>
    <w:rsid w:val="005F7AE4"/>
    <w:rsid w:val="005F7B07"/>
    <w:rsid w:val="005F7B27"/>
    <w:rsid w:val="005F7B2A"/>
    <w:rsid w:val="005F7B35"/>
    <w:rsid w:val="005F7BA9"/>
    <w:rsid w:val="005F7C04"/>
    <w:rsid w:val="005F7C1A"/>
    <w:rsid w:val="005F7CE0"/>
    <w:rsid w:val="005F7D57"/>
    <w:rsid w:val="005F7E2C"/>
    <w:rsid w:val="005F7E4B"/>
    <w:rsid w:val="005F7E69"/>
    <w:rsid w:val="005F7F85"/>
    <w:rsid w:val="006000C9"/>
    <w:rsid w:val="006000DB"/>
    <w:rsid w:val="00600143"/>
    <w:rsid w:val="0060015B"/>
    <w:rsid w:val="006002BF"/>
    <w:rsid w:val="006003C3"/>
    <w:rsid w:val="0060052C"/>
    <w:rsid w:val="0060060C"/>
    <w:rsid w:val="006006F9"/>
    <w:rsid w:val="006007C7"/>
    <w:rsid w:val="00600902"/>
    <w:rsid w:val="00600982"/>
    <w:rsid w:val="0060098B"/>
    <w:rsid w:val="006009D1"/>
    <w:rsid w:val="006009DC"/>
    <w:rsid w:val="00600A4A"/>
    <w:rsid w:val="00600B6C"/>
    <w:rsid w:val="00600BDD"/>
    <w:rsid w:val="00600C17"/>
    <w:rsid w:val="00600C36"/>
    <w:rsid w:val="00600C62"/>
    <w:rsid w:val="00600C84"/>
    <w:rsid w:val="00600D18"/>
    <w:rsid w:val="00600E0A"/>
    <w:rsid w:val="00600F03"/>
    <w:rsid w:val="00600F63"/>
    <w:rsid w:val="00600FD4"/>
    <w:rsid w:val="0060116A"/>
    <w:rsid w:val="006011E4"/>
    <w:rsid w:val="006011FF"/>
    <w:rsid w:val="0060121D"/>
    <w:rsid w:val="0060123D"/>
    <w:rsid w:val="0060131B"/>
    <w:rsid w:val="0060138A"/>
    <w:rsid w:val="0060139A"/>
    <w:rsid w:val="006013AA"/>
    <w:rsid w:val="0060146D"/>
    <w:rsid w:val="00601478"/>
    <w:rsid w:val="006014D8"/>
    <w:rsid w:val="00601514"/>
    <w:rsid w:val="0060159B"/>
    <w:rsid w:val="006015B3"/>
    <w:rsid w:val="0060166D"/>
    <w:rsid w:val="0060167A"/>
    <w:rsid w:val="00601697"/>
    <w:rsid w:val="006016EF"/>
    <w:rsid w:val="00601739"/>
    <w:rsid w:val="00601745"/>
    <w:rsid w:val="0060178C"/>
    <w:rsid w:val="006017E7"/>
    <w:rsid w:val="00601807"/>
    <w:rsid w:val="00601866"/>
    <w:rsid w:val="0060186F"/>
    <w:rsid w:val="006018EC"/>
    <w:rsid w:val="006019A8"/>
    <w:rsid w:val="006019CC"/>
    <w:rsid w:val="006019E5"/>
    <w:rsid w:val="00601B06"/>
    <w:rsid w:val="00601C7C"/>
    <w:rsid w:val="00601CCF"/>
    <w:rsid w:val="00601CD4"/>
    <w:rsid w:val="00601DD6"/>
    <w:rsid w:val="00601DEB"/>
    <w:rsid w:val="00601E2D"/>
    <w:rsid w:val="00601EF3"/>
    <w:rsid w:val="00601F48"/>
    <w:rsid w:val="00601F9C"/>
    <w:rsid w:val="00601FBA"/>
    <w:rsid w:val="00602006"/>
    <w:rsid w:val="006020D2"/>
    <w:rsid w:val="00602283"/>
    <w:rsid w:val="00602293"/>
    <w:rsid w:val="006022D3"/>
    <w:rsid w:val="00602300"/>
    <w:rsid w:val="006023CA"/>
    <w:rsid w:val="006024DA"/>
    <w:rsid w:val="00602523"/>
    <w:rsid w:val="006025F0"/>
    <w:rsid w:val="00602662"/>
    <w:rsid w:val="00602679"/>
    <w:rsid w:val="00602698"/>
    <w:rsid w:val="006027A3"/>
    <w:rsid w:val="006028AB"/>
    <w:rsid w:val="006028C4"/>
    <w:rsid w:val="006028C9"/>
    <w:rsid w:val="006028E0"/>
    <w:rsid w:val="00602900"/>
    <w:rsid w:val="00602919"/>
    <w:rsid w:val="00602BAD"/>
    <w:rsid w:val="00602C1E"/>
    <w:rsid w:val="00602CB2"/>
    <w:rsid w:val="00602D2B"/>
    <w:rsid w:val="00602D43"/>
    <w:rsid w:val="00602D7E"/>
    <w:rsid w:val="00602E08"/>
    <w:rsid w:val="00602ED8"/>
    <w:rsid w:val="00602F07"/>
    <w:rsid w:val="00602F84"/>
    <w:rsid w:val="00602FE0"/>
    <w:rsid w:val="00602FF3"/>
    <w:rsid w:val="00603082"/>
    <w:rsid w:val="00603176"/>
    <w:rsid w:val="006031FC"/>
    <w:rsid w:val="006034A0"/>
    <w:rsid w:val="006034C5"/>
    <w:rsid w:val="006034ED"/>
    <w:rsid w:val="0060350A"/>
    <w:rsid w:val="0060359D"/>
    <w:rsid w:val="00603721"/>
    <w:rsid w:val="006037FB"/>
    <w:rsid w:val="006037FF"/>
    <w:rsid w:val="00603802"/>
    <w:rsid w:val="0060381B"/>
    <w:rsid w:val="00603830"/>
    <w:rsid w:val="00603863"/>
    <w:rsid w:val="0060393D"/>
    <w:rsid w:val="00603945"/>
    <w:rsid w:val="00603993"/>
    <w:rsid w:val="00603AC3"/>
    <w:rsid w:val="00603B94"/>
    <w:rsid w:val="00603C60"/>
    <w:rsid w:val="00603CE5"/>
    <w:rsid w:val="00603DC4"/>
    <w:rsid w:val="00603E18"/>
    <w:rsid w:val="00603ECE"/>
    <w:rsid w:val="00603F88"/>
    <w:rsid w:val="00603FED"/>
    <w:rsid w:val="00604016"/>
    <w:rsid w:val="006040F4"/>
    <w:rsid w:val="006040FA"/>
    <w:rsid w:val="00604175"/>
    <w:rsid w:val="00604206"/>
    <w:rsid w:val="00604274"/>
    <w:rsid w:val="006042D9"/>
    <w:rsid w:val="006045C4"/>
    <w:rsid w:val="00604886"/>
    <w:rsid w:val="006048DC"/>
    <w:rsid w:val="00604906"/>
    <w:rsid w:val="0060494C"/>
    <w:rsid w:val="00604953"/>
    <w:rsid w:val="006049D3"/>
    <w:rsid w:val="00604AAF"/>
    <w:rsid w:val="00604AC3"/>
    <w:rsid w:val="00604AD7"/>
    <w:rsid w:val="00604B1A"/>
    <w:rsid w:val="00604B38"/>
    <w:rsid w:val="00604C67"/>
    <w:rsid w:val="00604CD3"/>
    <w:rsid w:val="00604D1F"/>
    <w:rsid w:val="00604D4E"/>
    <w:rsid w:val="00604DFB"/>
    <w:rsid w:val="00604E18"/>
    <w:rsid w:val="00604E3D"/>
    <w:rsid w:val="00604E91"/>
    <w:rsid w:val="00604E99"/>
    <w:rsid w:val="00604ECA"/>
    <w:rsid w:val="00604F0F"/>
    <w:rsid w:val="00604F1A"/>
    <w:rsid w:val="00604F80"/>
    <w:rsid w:val="0060501D"/>
    <w:rsid w:val="00605102"/>
    <w:rsid w:val="006051A5"/>
    <w:rsid w:val="0060525A"/>
    <w:rsid w:val="00605262"/>
    <w:rsid w:val="006052A4"/>
    <w:rsid w:val="0060543F"/>
    <w:rsid w:val="0060561F"/>
    <w:rsid w:val="00605647"/>
    <w:rsid w:val="006056BD"/>
    <w:rsid w:val="00605919"/>
    <w:rsid w:val="00605971"/>
    <w:rsid w:val="0060598B"/>
    <w:rsid w:val="00605A65"/>
    <w:rsid w:val="00605B2F"/>
    <w:rsid w:val="00605BF0"/>
    <w:rsid w:val="00605C4B"/>
    <w:rsid w:val="00605C94"/>
    <w:rsid w:val="00605C95"/>
    <w:rsid w:val="00605E00"/>
    <w:rsid w:val="00605E48"/>
    <w:rsid w:val="00605E8C"/>
    <w:rsid w:val="00605F48"/>
    <w:rsid w:val="00605F5F"/>
    <w:rsid w:val="00605F7E"/>
    <w:rsid w:val="00605FDD"/>
    <w:rsid w:val="0060600C"/>
    <w:rsid w:val="00606038"/>
    <w:rsid w:val="006060FE"/>
    <w:rsid w:val="00606177"/>
    <w:rsid w:val="0060617F"/>
    <w:rsid w:val="006061FE"/>
    <w:rsid w:val="00606291"/>
    <w:rsid w:val="006062BC"/>
    <w:rsid w:val="00606364"/>
    <w:rsid w:val="00606489"/>
    <w:rsid w:val="0060652B"/>
    <w:rsid w:val="0060658D"/>
    <w:rsid w:val="0060659D"/>
    <w:rsid w:val="006065B4"/>
    <w:rsid w:val="006065C4"/>
    <w:rsid w:val="0060660E"/>
    <w:rsid w:val="0060669C"/>
    <w:rsid w:val="0060672B"/>
    <w:rsid w:val="0060685C"/>
    <w:rsid w:val="00606947"/>
    <w:rsid w:val="00606998"/>
    <w:rsid w:val="006069A6"/>
    <w:rsid w:val="00606A70"/>
    <w:rsid w:val="00606A76"/>
    <w:rsid w:val="00606B89"/>
    <w:rsid w:val="00606C26"/>
    <w:rsid w:val="00606F4B"/>
    <w:rsid w:val="00606F71"/>
    <w:rsid w:val="00606FFB"/>
    <w:rsid w:val="00607006"/>
    <w:rsid w:val="006071B0"/>
    <w:rsid w:val="006071B5"/>
    <w:rsid w:val="006071EA"/>
    <w:rsid w:val="006072C4"/>
    <w:rsid w:val="00607333"/>
    <w:rsid w:val="00607365"/>
    <w:rsid w:val="006073AE"/>
    <w:rsid w:val="006073F9"/>
    <w:rsid w:val="0060744A"/>
    <w:rsid w:val="00607545"/>
    <w:rsid w:val="006075A6"/>
    <w:rsid w:val="006075F7"/>
    <w:rsid w:val="0060763D"/>
    <w:rsid w:val="006076D3"/>
    <w:rsid w:val="00607710"/>
    <w:rsid w:val="0060777C"/>
    <w:rsid w:val="0060778C"/>
    <w:rsid w:val="00607799"/>
    <w:rsid w:val="00607857"/>
    <w:rsid w:val="0060794A"/>
    <w:rsid w:val="0060794C"/>
    <w:rsid w:val="00607A63"/>
    <w:rsid w:val="00607AF2"/>
    <w:rsid w:val="00607B82"/>
    <w:rsid w:val="00607C46"/>
    <w:rsid w:val="00607C56"/>
    <w:rsid w:val="00607CC7"/>
    <w:rsid w:val="00607D51"/>
    <w:rsid w:val="00607D97"/>
    <w:rsid w:val="00607E77"/>
    <w:rsid w:val="00607ED3"/>
    <w:rsid w:val="0061002A"/>
    <w:rsid w:val="00610057"/>
    <w:rsid w:val="006101BF"/>
    <w:rsid w:val="00610233"/>
    <w:rsid w:val="00610328"/>
    <w:rsid w:val="00610339"/>
    <w:rsid w:val="00610360"/>
    <w:rsid w:val="00610391"/>
    <w:rsid w:val="006103B8"/>
    <w:rsid w:val="006104F3"/>
    <w:rsid w:val="00610512"/>
    <w:rsid w:val="0061051B"/>
    <w:rsid w:val="00610555"/>
    <w:rsid w:val="00610625"/>
    <w:rsid w:val="00610826"/>
    <w:rsid w:val="006109FB"/>
    <w:rsid w:val="00610A5D"/>
    <w:rsid w:val="00610B86"/>
    <w:rsid w:val="00610C16"/>
    <w:rsid w:val="00610C2D"/>
    <w:rsid w:val="00610D09"/>
    <w:rsid w:val="00610DD5"/>
    <w:rsid w:val="00610F0A"/>
    <w:rsid w:val="00610F24"/>
    <w:rsid w:val="0061104C"/>
    <w:rsid w:val="006110C1"/>
    <w:rsid w:val="006110E9"/>
    <w:rsid w:val="006111A9"/>
    <w:rsid w:val="006111E3"/>
    <w:rsid w:val="00611591"/>
    <w:rsid w:val="006115B0"/>
    <w:rsid w:val="006116AD"/>
    <w:rsid w:val="00611798"/>
    <w:rsid w:val="00611861"/>
    <w:rsid w:val="006118DA"/>
    <w:rsid w:val="0061190C"/>
    <w:rsid w:val="00611936"/>
    <w:rsid w:val="00611964"/>
    <w:rsid w:val="00611A6A"/>
    <w:rsid w:val="00611B70"/>
    <w:rsid w:val="00611BCF"/>
    <w:rsid w:val="00611C28"/>
    <w:rsid w:val="00611C58"/>
    <w:rsid w:val="00611C7C"/>
    <w:rsid w:val="00611C7D"/>
    <w:rsid w:val="00611E1E"/>
    <w:rsid w:val="00611EC8"/>
    <w:rsid w:val="00611ECE"/>
    <w:rsid w:val="00611F0A"/>
    <w:rsid w:val="00611FF1"/>
    <w:rsid w:val="00612094"/>
    <w:rsid w:val="006120DD"/>
    <w:rsid w:val="006121B7"/>
    <w:rsid w:val="0061221E"/>
    <w:rsid w:val="00612413"/>
    <w:rsid w:val="00612417"/>
    <w:rsid w:val="0061246D"/>
    <w:rsid w:val="00612486"/>
    <w:rsid w:val="006124BC"/>
    <w:rsid w:val="00612583"/>
    <w:rsid w:val="006125AA"/>
    <w:rsid w:val="0061260E"/>
    <w:rsid w:val="006126F6"/>
    <w:rsid w:val="00612716"/>
    <w:rsid w:val="00612719"/>
    <w:rsid w:val="006127CC"/>
    <w:rsid w:val="006127E7"/>
    <w:rsid w:val="006128C8"/>
    <w:rsid w:val="00612972"/>
    <w:rsid w:val="006129D9"/>
    <w:rsid w:val="00612A6D"/>
    <w:rsid w:val="00612BD6"/>
    <w:rsid w:val="00612D4E"/>
    <w:rsid w:val="00612D64"/>
    <w:rsid w:val="00612DA8"/>
    <w:rsid w:val="00612E8C"/>
    <w:rsid w:val="00612E9A"/>
    <w:rsid w:val="00612FB3"/>
    <w:rsid w:val="00613066"/>
    <w:rsid w:val="006130FA"/>
    <w:rsid w:val="006131B4"/>
    <w:rsid w:val="006131C6"/>
    <w:rsid w:val="00613264"/>
    <w:rsid w:val="00613278"/>
    <w:rsid w:val="00613352"/>
    <w:rsid w:val="00613394"/>
    <w:rsid w:val="00613458"/>
    <w:rsid w:val="00613483"/>
    <w:rsid w:val="006134D2"/>
    <w:rsid w:val="006134D5"/>
    <w:rsid w:val="0061354E"/>
    <w:rsid w:val="006135A6"/>
    <w:rsid w:val="006135E6"/>
    <w:rsid w:val="00613613"/>
    <w:rsid w:val="00613761"/>
    <w:rsid w:val="0061387D"/>
    <w:rsid w:val="006138F2"/>
    <w:rsid w:val="006139E1"/>
    <w:rsid w:val="00613AE4"/>
    <w:rsid w:val="00613B53"/>
    <w:rsid w:val="00613BAF"/>
    <w:rsid w:val="00613BB8"/>
    <w:rsid w:val="00613BBD"/>
    <w:rsid w:val="00613BCC"/>
    <w:rsid w:val="00613C16"/>
    <w:rsid w:val="00613C3C"/>
    <w:rsid w:val="00613D9D"/>
    <w:rsid w:val="00613DF5"/>
    <w:rsid w:val="00613F25"/>
    <w:rsid w:val="00613F3A"/>
    <w:rsid w:val="00613F88"/>
    <w:rsid w:val="0061401A"/>
    <w:rsid w:val="00614027"/>
    <w:rsid w:val="00614058"/>
    <w:rsid w:val="006140DD"/>
    <w:rsid w:val="00614117"/>
    <w:rsid w:val="00614149"/>
    <w:rsid w:val="00614229"/>
    <w:rsid w:val="006143A7"/>
    <w:rsid w:val="006143AE"/>
    <w:rsid w:val="006143EF"/>
    <w:rsid w:val="006143FA"/>
    <w:rsid w:val="00614573"/>
    <w:rsid w:val="006145B0"/>
    <w:rsid w:val="006145C0"/>
    <w:rsid w:val="0061465E"/>
    <w:rsid w:val="006146C3"/>
    <w:rsid w:val="006146C4"/>
    <w:rsid w:val="00614744"/>
    <w:rsid w:val="006147B5"/>
    <w:rsid w:val="006147B9"/>
    <w:rsid w:val="006147FA"/>
    <w:rsid w:val="006148BC"/>
    <w:rsid w:val="0061495F"/>
    <w:rsid w:val="0061497A"/>
    <w:rsid w:val="006149FC"/>
    <w:rsid w:val="00614A57"/>
    <w:rsid w:val="00614A65"/>
    <w:rsid w:val="00614A79"/>
    <w:rsid w:val="00614AEE"/>
    <w:rsid w:val="00614B31"/>
    <w:rsid w:val="00614B3A"/>
    <w:rsid w:val="00614B6A"/>
    <w:rsid w:val="00614C89"/>
    <w:rsid w:val="00614CC4"/>
    <w:rsid w:val="00614CE4"/>
    <w:rsid w:val="00614D39"/>
    <w:rsid w:val="00614D5A"/>
    <w:rsid w:val="00614D7D"/>
    <w:rsid w:val="00614DF8"/>
    <w:rsid w:val="00614EA1"/>
    <w:rsid w:val="00614EC3"/>
    <w:rsid w:val="00614ED0"/>
    <w:rsid w:val="00614F2F"/>
    <w:rsid w:val="0061503A"/>
    <w:rsid w:val="0061506C"/>
    <w:rsid w:val="006151D8"/>
    <w:rsid w:val="00615208"/>
    <w:rsid w:val="0061525C"/>
    <w:rsid w:val="00615272"/>
    <w:rsid w:val="00615320"/>
    <w:rsid w:val="0061540A"/>
    <w:rsid w:val="006154F0"/>
    <w:rsid w:val="00615740"/>
    <w:rsid w:val="0061580A"/>
    <w:rsid w:val="0061587B"/>
    <w:rsid w:val="0061592F"/>
    <w:rsid w:val="006159CB"/>
    <w:rsid w:val="00615A86"/>
    <w:rsid w:val="00615B1A"/>
    <w:rsid w:val="00615B34"/>
    <w:rsid w:val="00615C87"/>
    <w:rsid w:val="00615CE6"/>
    <w:rsid w:val="00615D20"/>
    <w:rsid w:val="00615D73"/>
    <w:rsid w:val="00615DB9"/>
    <w:rsid w:val="00615DBC"/>
    <w:rsid w:val="00615DC8"/>
    <w:rsid w:val="00615F47"/>
    <w:rsid w:val="00615F5B"/>
    <w:rsid w:val="00615FC2"/>
    <w:rsid w:val="0061601E"/>
    <w:rsid w:val="00616063"/>
    <w:rsid w:val="00616070"/>
    <w:rsid w:val="00616174"/>
    <w:rsid w:val="0061622C"/>
    <w:rsid w:val="00616247"/>
    <w:rsid w:val="00616487"/>
    <w:rsid w:val="006164BA"/>
    <w:rsid w:val="00616563"/>
    <w:rsid w:val="00616596"/>
    <w:rsid w:val="0061659C"/>
    <w:rsid w:val="006165B5"/>
    <w:rsid w:val="006165D2"/>
    <w:rsid w:val="006166BE"/>
    <w:rsid w:val="00616757"/>
    <w:rsid w:val="006167BF"/>
    <w:rsid w:val="0061682A"/>
    <w:rsid w:val="00616874"/>
    <w:rsid w:val="00616A9B"/>
    <w:rsid w:val="00616AF8"/>
    <w:rsid w:val="00616C87"/>
    <w:rsid w:val="00616CFF"/>
    <w:rsid w:val="00616D64"/>
    <w:rsid w:val="00616D7B"/>
    <w:rsid w:val="00616F85"/>
    <w:rsid w:val="00617017"/>
    <w:rsid w:val="0061707D"/>
    <w:rsid w:val="0061710D"/>
    <w:rsid w:val="0061739F"/>
    <w:rsid w:val="00617427"/>
    <w:rsid w:val="0061743C"/>
    <w:rsid w:val="00617457"/>
    <w:rsid w:val="006174AA"/>
    <w:rsid w:val="0061752C"/>
    <w:rsid w:val="006175CB"/>
    <w:rsid w:val="006176BC"/>
    <w:rsid w:val="006176C9"/>
    <w:rsid w:val="006176DC"/>
    <w:rsid w:val="006177F2"/>
    <w:rsid w:val="00617883"/>
    <w:rsid w:val="00617906"/>
    <w:rsid w:val="00617A5F"/>
    <w:rsid w:val="00617B0E"/>
    <w:rsid w:val="00617BD6"/>
    <w:rsid w:val="00617C9A"/>
    <w:rsid w:val="00617DD6"/>
    <w:rsid w:val="00617EB4"/>
    <w:rsid w:val="00617F36"/>
    <w:rsid w:val="0062015D"/>
    <w:rsid w:val="00620173"/>
    <w:rsid w:val="006201E9"/>
    <w:rsid w:val="00620244"/>
    <w:rsid w:val="0062028B"/>
    <w:rsid w:val="00620307"/>
    <w:rsid w:val="0062036A"/>
    <w:rsid w:val="006203DB"/>
    <w:rsid w:val="00620465"/>
    <w:rsid w:val="0062055B"/>
    <w:rsid w:val="00620682"/>
    <w:rsid w:val="006206C4"/>
    <w:rsid w:val="0062071C"/>
    <w:rsid w:val="00620809"/>
    <w:rsid w:val="006208B7"/>
    <w:rsid w:val="006208D0"/>
    <w:rsid w:val="006208FF"/>
    <w:rsid w:val="00620907"/>
    <w:rsid w:val="00620928"/>
    <w:rsid w:val="006209A9"/>
    <w:rsid w:val="006209FE"/>
    <w:rsid w:val="00620AE1"/>
    <w:rsid w:val="00620B42"/>
    <w:rsid w:val="00620BC0"/>
    <w:rsid w:val="00620CB6"/>
    <w:rsid w:val="00620CE8"/>
    <w:rsid w:val="00620CFB"/>
    <w:rsid w:val="00620F2E"/>
    <w:rsid w:val="00620FA3"/>
    <w:rsid w:val="0062101F"/>
    <w:rsid w:val="006211EC"/>
    <w:rsid w:val="00621240"/>
    <w:rsid w:val="0062126B"/>
    <w:rsid w:val="006212BD"/>
    <w:rsid w:val="006213A6"/>
    <w:rsid w:val="006213B9"/>
    <w:rsid w:val="006213DB"/>
    <w:rsid w:val="00621582"/>
    <w:rsid w:val="00621596"/>
    <w:rsid w:val="006215BB"/>
    <w:rsid w:val="0062169D"/>
    <w:rsid w:val="006216FA"/>
    <w:rsid w:val="0062170D"/>
    <w:rsid w:val="00621757"/>
    <w:rsid w:val="00621802"/>
    <w:rsid w:val="006218F0"/>
    <w:rsid w:val="00621906"/>
    <w:rsid w:val="00621920"/>
    <w:rsid w:val="006219B1"/>
    <w:rsid w:val="006219D7"/>
    <w:rsid w:val="00621A2B"/>
    <w:rsid w:val="00621AE6"/>
    <w:rsid w:val="00621C08"/>
    <w:rsid w:val="00621C5A"/>
    <w:rsid w:val="00621C6D"/>
    <w:rsid w:val="00621D99"/>
    <w:rsid w:val="00621DAB"/>
    <w:rsid w:val="00621E83"/>
    <w:rsid w:val="00621EAE"/>
    <w:rsid w:val="00622034"/>
    <w:rsid w:val="00622086"/>
    <w:rsid w:val="006220F0"/>
    <w:rsid w:val="006220FC"/>
    <w:rsid w:val="0062215F"/>
    <w:rsid w:val="00622251"/>
    <w:rsid w:val="006222E0"/>
    <w:rsid w:val="0062230B"/>
    <w:rsid w:val="00622340"/>
    <w:rsid w:val="0062236D"/>
    <w:rsid w:val="006223E4"/>
    <w:rsid w:val="0062247D"/>
    <w:rsid w:val="006225E3"/>
    <w:rsid w:val="00622745"/>
    <w:rsid w:val="0062277C"/>
    <w:rsid w:val="006227C5"/>
    <w:rsid w:val="006228A0"/>
    <w:rsid w:val="006228E6"/>
    <w:rsid w:val="00622905"/>
    <w:rsid w:val="00622A05"/>
    <w:rsid w:val="00622A4C"/>
    <w:rsid w:val="00622A8B"/>
    <w:rsid w:val="00622AE9"/>
    <w:rsid w:val="00622BC7"/>
    <w:rsid w:val="00622C8F"/>
    <w:rsid w:val="00622CA3"/>
    <w:rsid w:val="00622CB3"/>
    <w:rsid w:val="00622CE3"/>
    <w:rsid w:val="00622CF1"/>
    <w:rsid w:val="00622D25"/>
    <w:rsid w:val="00622DB6"/>
    <w:rsid w:val="00622EC7"/>
    <w:rsid w:val="00623078"/>
    <w:rsid w:val="00623087"/>
    <w:rsid w:val="00623091"/>
    <w:rsid w:val="006231C8"/>
    <w:rsid w:val="00623201"/>
    <w:rsid w:val="0062323A"/>
    <w:rsid w:val="00623294"/>
    <w:rsid w:val="006232A5"/>
    <w:rsid w:val="006232FD"/>
    <w:rsid w:val="00623313"/>
    <w:rsid w:val="006233CC"/>
    <w:rsid w:val="00623451"/>
    <w:rsid w:val="0062345B"/>
    <w:rsid w:val="00623478"/>
    <w:rsid w:val="0062348B"/>
    <w:rsid w:val="006234B5"/>
    <w:rsid w:val="00623588"/>
    <w:rsid w:val="00623686"/>
    <w:rsid w:val="006236A3"/>
    <w:rsid w:val="006236DA"/>
    <w:rsid w:val="006237A7"/>
    <w:rsid w:val="006237E0"/>
    <w:rsid w:val="00623812"/>
    <w:rsid w:val="00623891"/>
    <w:rsid w:val="00623898"/>
    <w:rsid w:val="0062389F"/>
    <w:rsid w:val="006238A3"/>
    <w:rsid w:val="006238E4"/>
    <w:rsid w:val="00623910"/>
    <w:rsid w:val="00623951"/>
    <w:rsid w:val="0062396B"/>
    <w:rsid w:val="006239A4"/>
    <w:rsid w:val="00623A7F"/>
    <w:rsid w:val="00623ABD"/>
    <w:rsid w:val="00623C53"/>
    <w:rsid w:val="00623C5B"/>
    <w:rsid w:val="00623E39"/>
    <w:rsid w:val="00623EC6"/>
    <w:rsid w:val="00623F02"/>
    <w:rsid w:val="00623F48"/>
    <w:rsid w:val="00623F91"/>
    <w:rsid w:val="00623FA1"/>
    <w:rsid w:val="00623FEE"/>
    <w:rsid w:val="0062402F"/>
    <w:rsid w:val="00624186"/>
    <w:rsid w:val="00624230"/>
    <w:rsid w:val="00624279"/>
    <w:rsid w:val="006242B6"/>
    <w:rsid w:val="00624306"/>
    <w:rsid w:val="0062434A"/>
    <w:rsid w:val="00624402"/>
    <w:rsid w:val="0062444F"/>
    <w:rsid w:val="0062446B"/>
    <w:rsid w:val="0062448B"/>
    <w:rsid w:val="00624532"/>
    <w:rsid w:val="00624554"/>
    <w:rsid w:val="0062457B"/>
    <w:rsid w:val="006245AD"/>
    <w:rsid w:val="0062478E"/>
    <w:rsid w:val="0062487F"/>
    <w:rsid w:val="00624A4A"/>
    <w:rsid w:val="00624A8C"/>
    <w:rsid w:val="00624B47"/>
    <w:rsid w:val="00624BCD"/>
    <w:rsid w:val="00624C25"/>
    <w:rsid w:val="00624C2B"/>
    <w:rsid w:val="00624C49"/>
    <w:rsid w:val="00624C4A"/>
    <w:rsid w:val="00624D4F"/>
    <w:rsid w:val="00624D59"/>
    <w:rsid w:val="00624D61"/>
    <w:rsid w:val="00624E26"/>
    <w:rsid w:val="00624F09"/>
    <w:rsid w:val="00624F8F"/>
    <w:rsid w:val="00624FAF"/>
    <w:rsid w:val="0062504B"/>
    <w:rsid w:val="00625069"/>
    <w:rsid w:val="006250FB"/>
    <w:rsid w:val="006251F5"/>
    <w:rsid w:val="0062527E"/>
    <w:rsid w:val="00625337"/>
    <w:rsid w:val="00625345"/>
    <w:rsid w:val="006253FA"/>
    <w:rsid w:val="0062541D"/>
    <w:rsid w:val="00625499"/>
    <w:rsid w:val="00625555"/>
    <w:rsid w:val="0062563D"/>
    <w:rsid w:val="00625643"/>
    <w:rsid w:val="006256AB"/>
    <w:rsid w:val="006256AD"/>
    <w:rsid w:val="006256F8"/>
    <w:rsid w:val="006257F6"/>
    <w:rsid w:val="00625801"/>
    <w:rsid w:val="00625885"/>
    <w:rsid w:val="006259D1"/>
    <w:rsid w:val="00625ABE"/>
    <w:rsid w:val="00625B5A"/>
    <w:rsid w:val="00625C4A"/>
    <w:rsid w:val="00625CB0"/>
    <w:rsid w:val="00625CDB"/>
    <w:rsid w:val="00625D97"/>
    <w:rsid w:val="00625DC8"/>
    <w:rsid w:val="00625E47"/>
    <w:rsid w:val="00625E75"/>
    <w:rsid w:val="00625F28"/>
    <w:rsid w:val="00625F95"/>
    <w:rsid w:val="00625FBE"/>
    <w:rsid w:val="00625FEE"/>
    <w:rsid w:val="0062612A"/>
    <w:rsid w:val="006261A0"/>
    <w:rsid w:val="00626242"/>
    <w:rsid w:val="006262D0"/>
    <w:rsid w:val="006263CD"/>
    <w:rsid w:val="0062643A"/>
    <w:rsid w:val="00626476"/>
    <w:rsid w:val="006267D7"/>
    <w:rsid w:val="00626803"/>
    <w:rsid w:val="00626844"/>
    <w:rsid w:val="0062685B"/>
    <w:rsid w:val="00626982"/>
    <w:rsid w:val="006269C6"/>
    <w:rsid w:val="00626A05"/>
    <w:rsid w:val="00626A21"/>
    <w:rsid w:val="00626A4C"/>
    <w:rsid w:val="00626A80"/>
    <w:rsid w:val="00626C2C"/>
    <w:rsid w:val="00626C5F"/>
    <w:rsid w:val="00626CEF"/>
    <w:rsid w:val="00626E55"/>
    <w:rsid w:val="00626E68"/>
    <w:rsid w:val="00626F04"/>
    <w:rsid w:val="00627024"/>
    <w:rsid w:val="006271B2"/>
    <w:rsid w:val="00627242"/>
    <w:rsid w:val="00627246"/>
    <w:rsid w:val="006272FF"/>
    <w:rsid w:val="0062731B"/>
    <w:rsid w:val="006274C1"/>
    <w:rsid w:val="006276B8"/>
    <w:rsid w:val="00627765"/>
    <w:rsid w:val="00627793"/>
    <w:rsid w:val="00627832"/>
    <w:rsid w:val="0062786B"/>
    <w:rsid w:val="00627886"/>
    <w:rsid w:val="006278AD"/>
    <w:rsid w:val="00627990"/>
    <w:rsid w:val="00627ABE"/>
    <w:rsid w:val="00627BAA"/>
    <w:rsid w:val="00627BEA"/>
    <w:rsid w:val="00627C1A"/>
    <w:rsid w:val="00627CF4"/>
    <w:rsid w:val="00627D23"/>
    <w:rsid w:val="00627D5D"/>
    <w:rsid w:val="00627D78"/>
    <w:rsid w:val="00627D81"/>
    <w:rsid w:val="00627E29"/>
    <w:rsid w:val="00627E4A"/>
    <w:rsid w:val="00627F2B"/>
    <w:rsid w:val="0063009E"/>
    <w:rsid w:val="006300D3"/>
    <w:rsid w:val="0063012E"/>
    <w:rsid w:val="0063014F"/>
    <w:rsid w:val="006301BE"/>
    <w:rsid w:val="0063028C"/>
    <w:rsid w:val="0063035E"/>
    <w:rsid w:val="006303BB"/>
    <w:rsid w:val="006303DB"/>
    <w:rsid w:val="0063042C"/>
    <w:rsid w:val="006304EA"/>
    <w:rsid w:val="00630516"/>
    <w:rsid w:val="0063060B"/>
    <w:rsid w:val="006306CA"/>
    <w:rsid w:val="0063079C"/>
    <w:rsid w:val="006307DF"/>
    <w:rsid w:val="0063081E"/>
    <w:rsid w:val="0063085E"/>
    <w:rsid w:val="006308F8"/>
    <w:rsid w:val="00630940"/>
    <w:rsid w:val="0063097E"/>
    <w:rsid w:val="00630A5F"/>
    <w:rsid w:val="00630A78"/>
    <w:rsid w:val="00630AF8"/>
    <w:rsid w:val="00630C25"/>
    <w:rsid w:val="00630C52"/>
    <w:rsid w:val="00630C62"/>
    <w:rsid w:val="00630C99"/>
    <w:rsid w:val="00630D61"/>
    <w:rsid w:val="00630E23"/>
    <w:rsid w:val="00630F15"/>
    <w:rsid w:val="00630F6B"/>
    <w:rsid w:val="00630F85"/>
    <w:rsid w:val="00631011"/>
    <w:rsid w:val="006310B0"/>
    <w:rsid w:val="0063122E"/>
    <w:rsid w:val="00631332"/>
    <w:rsid w:val="00631393"/>
    <w:rsid w:val="006313B9"/>
    <w:rsid w:val="00631452"/>
    <w:rsid w:val="00631483"/>
    <w:rsid w:val="006314E0"/>
    <w:rsid w:val="00631602"/>
    <w:rsid w:val="0063163A"/>
    <w:rsid w:val="0063164B"/>
    <w:rsid w:val="006316B6"/>
    <w:rsid w:val="006317AF"/>
    <w:rsid w:val="00631820"/>
    <w:rsid w:val="006318A8"/>
    <w:rsid w:val="0063190C"/>
    <w:rsid w:val="00631984"/>
    <w:rsid w:val="006319E3"/>
    <w:rsid w:val="006319FC"/>
    <w:rsid w:val="00631A5A"/>
    <w:rsid w:val="00631A6D"/>
    <w:rsid w:val="00631AA3"/>
    <w:rsid w:val="00631AF7"/>
    <w:rsid w:val="00631B56"/>
    <w:rsid w:val="00631B94"/>
    <w:rsid w:val="00631C64"/>
    <w:rsid w:val="00631C68"/>
    <w:rsid w:val="00631C7C"/>
    <w:rsid w:val="00631CF2"/>
    <w:rsid w:val="00631CFB"/>
    <w:rsid w:val="00631DDE"/>
    <w:rsid w:val="00631E56"/>
    <w:rsid w:val="00631E77"/>
    <w:rsid w:val="00632097"/>
    <w:rsid w:val="006321C1"/>
    <w:rsid w:val="006321F0"/>
    <w:rsid w:val="00632224"/>
    <w:rsid w:val="006322B9"/>
    <w:rsid w:val="0063233B"/>
    <w:rsid w:val="00632382"/>
    <w:rsid w:val="0063243B"/>
    <w:rsid w:val="0063244F"/>
    <w:rsid w:val="00632511"/>
    <w:rsid w:val="00632637"/>
    <w:rsid w:val="00632682"/>
    <w:rsid w:val="006326F3"/>
    <w:rsid w:val="00632702"/>
    <w:rsid w:val="006327B2"/>
    <w:rsid w:val="006328C2"/>
    <w:rsid w:val="0063297A"/>
    <w:rsid w:val="006329A9"/>
    <w:rsid w:val="006329DD"/>
    <w:rsid w:val="00632B0A"/>
    <w:rsid w:val="00632B5D"/>
    <w:rsid w:val="00632BA7"/>
    <w:rsid w:val="00632C50"/>
    <w:rsid w:val="00632C55"/>
    <w:rsid w:val="00632D9C"/>
    <w:rsid w:val="00632DBB"/>
    <w:rsid w:val="00632DF3"/>
    <w:rsid w:val="00632E6D"/>
    <w:rsid w:val="00632ED3"/>
    <w:rsid w:val="00632F0B"/>
    <w:rsid w:val="00632FE4"/>
    <w:rsid w:val="0063307D"/>
    <w:rsid w:val="0063312D"/>
    <w:rsid w:val="00633131"/>
    <w:rsid w:val="00633172"/>
    <w:rsid w:val="006332CD"/>
    <w:rsid w:val="006333B5"/>
    <w:rsid w:val="006333B8"/>
    <w:rsid w:val="006333E4"/>
    <w:rsid w:val="006334DC"/>
    <w:rsid w:val="006334FD"/>
    <w:rsid w:val="00633535"/>
    <w:rsid w:val="00633592"/>
    <w:rsid w:val="006335F0"/>
    <w:rsid w:val="00633A17"/>
    <w:rsid w:val="00633AF5"/>
    <w:rsid w:val="00633B21"/>
    <w:rsid w:val="00633BEC"/>
    <w:rsid w:val="00633C6D"/>
    <w:rsid w:val="00633D54"/>
    <w:rsid w:val="00633DBD"/>
    <w:rsid w:val="00633F27"/>
    <w:rsid w:val="00633F31"/>
    <w:rsid w:val="00634070"/>
    <w:rsid w:val="00634283"/>
    <w:rsid w:val="006342F4"/>
    <w:rsid w:val="006343E1"/>
    <w:rsid w:val="00634562"/>
    <w:rsid w:val="00634733"/>
    <w:rsid w:val="006347AD"/>
    <w:rsid w:val="006347B0"/>
    <w:rsid w:val="006347DA"/>
    <w:rsid w:val="006348B8"/>
    <w:rsid w:val="00634956"/>
    <w:rsid w:val="00634A21"/>
    <w:rsid w:val="00634AD4"/>
    <w:rsid w:val="00634B74"/>
    <w:rsid w:val="00634C79"/>
    <w:rsid w:val="00634D10"/>
    <w:rsid w:val="00634E57"/>
    <w:rsid w:val="00634E9E"/>
    <w:rsid w:val="00634EA3"/>
    <w:rsid w:val="00634F2D"/>
    <w:rsid w:val="00634F57"/>
    <w:rsid w:val="00635008"/>
    <w:rsid w:val="006350FC"/>
    <w:rsid w:val="00635146"/>
    <w:rsid w:val="00635207"/>
    <w:rsid w:val="0063528F"/>
    <w:rsid w:val="0063534E"/>
    <w:rsid w:val="006354E1"/>
    <w:rsid w:val="006354FE"/>
    <w:rsid w:val="00635526"/>
    <w:rsid w:val="0063558B"/>
    <w:rsid w:val="006355B7"/>
    <w:rsid w:val="0063563D"/>
    <w:rsid w:val="006356D2"/>
    <w:rsid w:val="0063570A"/>
    <w:rsid w:val="00635727"/>
    <w:rsid w:val="0063575B"/>
    <w:rsid w:val="00635872"/>
    <w:rsid w:val="006358E9"/>
    <w:rsid w:val="00635986"/>
    <w:rsid w:val="0063599C"/>
    <w:rsid w:val="006359B5"/>
    <w:rsid w:val="006359E5"/>
    <w:rsid w:val="00635A81"/>
    <w:rsid w:val="00635B3A"/>
    <w:rsid w:val="00635C47"/>
    <w:rsid w:val="00636148"/>
    <w:rsid w:val="0063617D"/>
    <w:rsid w:val="00636208"/>
    <w:rsid w:val="006362AA"/>
    <w:rsid w:val="0063630A"/>
    <w:rsid w:val="006363B7"/>
    <w:rsid w:val="00636441"/>
    <w:rsid w:val="006364CB"/>
    <w:rsid w:val="006364E0"/>
    <w:rsid w:val="0063653C"/>
    <w:rsid w:val="00636565"/>
    <w:rsid w:val="006365B9"/>
    <w:rsid w:val="00636647"/>
    <w:rsid w:val="00636682"/>
    <w:rsid w:val="0063668E"/>
    <w:rsid w:val="00636837"/>
    <w:rsid w:val="00636A1A"/>
    <w:rsid w:val="00636A4E"/>
    <w:rsid w:val="00636B12"/>
    <w:rsid w:val="00636C17"/>
    <w:rsid w:val="00636C61"/>
    <w:rsid w:val="00636C7E"/>
    <w:rsid w:val="00636C80"/>
    <w:rsid w:val="00636CD3"/>
    <w:rsid w:val="00636D40"/>
    <w:rsid w:val="00636D55"/>
    <w:rsid w:val="00636D73"/>
    <w:rsid w:val="00636E65"/>
    <w:rsid w:val="00636F8C"/>
    <w:rsid w:val="00636FC2"/>
    <w:rsid w:val="0063706E"/>
    <w:rsid w:val="00637169"/>
    <w:rsid w:val="00637178"/>
    <w:rsid w:val="00637528"/>
    <w:rsid w:val="00637572"/>
    <w:rsid w:val="0063760E"/>
    <w:rsid w:val="0063762D"/>
    <w:rsid w:val="006376E0"/>
    <w:rsid w:val="0063774B"/>
    <w:rsid w:val="006378E0"/>
    <w:rsid w:val="00637960"/>
    <w:rsid w:val="00637A1D"/>
    <w:rsid w:val="00637A8D"/>
    <w:rsid w:val="00637AE5"/>
    <w:rsid w:val="00637B15"/>
    <w:rsid w:val="00637BA6"/>
    <w:rsid w:val="00637C17"/>
    <w:rsid w:val="00637C2D"/>
    <w:rsid w:val="00637E12"/>
    <w:rsid w:val="00637ED7"/>
    <w:rsid w:val="00637F9A"/>
    <w:rsid w:val="006400A8"/>
    <w:rsid w:val="0064018B"/>
    <w:rsid w:val="00640201"/>
    <w:rsid w:val="00640206"/>
    <w:rsid w:val="00640241"/>
    <w:rsid w:val="006402F9"/>
    <w:rsid w:val="006403E6"/>
    <w:rsid w:val="0064046E"/>
    <w:rsid w:val="0064052A"/>
    <w:rsid w:val="006405B9"/>
    <w:rsid w:val="0064066F"/>
    <w:rsid w:val="006406DE"/>
    <w:rsid w:val="006406F4"/>
    <w:rsid w:val="00640879"/>
    <w:rsid w:val="006408D8"/>
    <w:rsid w:val="006409E6"/>
    <w:rsid w:val="00640C04"/>
    <w:rsid w:val="00640E10"/>
    <w:rsid w:val="00640ED1"/>
    <w:rsid w:val="00640EEA"/>
    <w:rsid w:val="00640F42"/>
    <w:rsid w:val="00641011"/>
    <w:rsid w:val="00641068"/>
    <w:rsid w:val="006410AD"/>
    <w:rsid w:val="0064116C"/>
    <w:rsid w:val="006411B1"/>
    <w:rsid w:val="0064122E"/>
    <w:rsid w:val="0064122F"/>
    <w:rsid w:val="006412D0"/>
    <w:rsid w:val="00641419"/>
    <w:rsid w:val="00641480"/>
    <w:rsid w:val="0064152D"/>
    <w:rsid w:val="006415D6"/>
    <w:rsid w:val="006415EE"/>
    <w:rsid w:val="00641695"/>
    <w:rsid w:val="00641698"/>
    <w:rsid w:val="00641749"/>
    <w:rsid w:val="0064180A"/>
    <w:rsid w:val="0064190B"/>
    <w:rsid w:val="0064194C"/>
    <w:rsid w:val="00641977"/>
    <w:rsid w:val="00641AA3"/>
    <w:rsid w:val="00641BE7"/>
    <w:rsid w:val="00641BF0"/>
    <w:rsid w:val="00641BF8"/>
    <w:rsid w:val="00641C55"/>
    <w:rsid w:val="00641D0E"/>
    <w:rsid w:val="00641D31"/>
    <w:rsid w:val="00641D4D"/>
    <w:rsid w:val="00641EB5"/>
    <w:rsid w:val="00641EC0"/>
    <w:rsid w:val="00641EE2"/>
    <w:rsid w:val="00641F19"/>
    <w:rsid w:val="00641F8E"/>
    <w:rsid w:val="00641FB0"/>
    <w:rsid w:val="00642048"/>
    <w:rsid w:val="0064208C"/>
    <w:rsid w:val="006420BC"/>
    <w:rsid w:val="006420D3"/>
    <w:rsid w:val="006421C6"/>
    <w:rsid w:val="006421C7"/>
    <w:rsid w:val="0064225F"/>
    <w:rsid w:val="00642271"/>
    <w:rsid w:val="00642374"/>
    <w:rsid w:val="00642385"/>
    <w:rsid w:val="00642444"/>
    <w:rsid w:val="006424E7"/>
    <w:rsid w:val="00642542"/>
    <w:rsid w:val="0064263D"/>
    <w:rsid w:val="0064265E"/>
    <w:rsid w:val="006426AD"/>
    <w:rsid w:val="00642853"/>
    <w:rsid w:val="0064285A"/>
    <w:rsid w:val="0064285E"/>
    <w:rsid w:val="00642867"/>
    <w:rsid w:val="00642936"/>
    <w:rsid w:val="0064295E"/>
    <w:rsid w:val="0064299A"/>
    <w:rsid w:val="006429C9"/>
    <w:rsid w:val="00642A3E"/>
    <w:rsid w:val="00642A94"/>
    <w:rsid w:val="00642AC5"/>
    <w:rsid w:val="00642B35"/>
    <w:rsid w:val="00642C3F"/>
    <w:rsid w:val="00642D54"/>
    <w:rsid w:val="00642DFB"/>
    <w:rsid w:val="00642F0D"/>
    <w:rsid w:val="00642F44"/>
    <w:rsid w:val="00642F8E"/>
    <w:rsid w:val="00642FE1"/>
    <w:rsid w:val="00643033"/>
    <w:rsid w:val="00643039"/>
    <w:rsid w:val="006430C1"/>
    <w:rsid w:val="00643150"/>
    <w:rsid w:val="00643281"/>
    <w:rsid w:val="00643403"/>
    <w:rsid w:val="00643431"/>
    <w:rsid w:val="0064344E"/>
    <w:rsid w:val="00643520"/>
    <w:rsid w:val="00643572"/>
    <w:rsid w:val="00643577"/>
    <w:rsid w:val="006435A7"/>
    <w:rsid w:val="006435FA"/>
    <w:rsid w:val="00643614"/>
    <w:rsid w:val="006436C6"/>
    <w:rsid w:val="00643716"/>
    <w:rsid w:val="0064373A"/>
    <w:rsid w:val="006437DC"/>
    <w:rsid w:val="0064389F"/>
    <w:rsid w:val="0064391D"/>
    <w:rsid w:val="00643AA9"/>
    <w:rsid w:val="00643B2A"/>
    <w:rsid w:val="00643C80"/>
    <w:rsid w:val="00643E6A"/>
    <w:rsid w:val="00643EB8"/>
    <w:rsid w:val="00643ED5"/>
    <w:rsid w:val="0064405A"/>
    <w:rsid w:val="0064410F"/>
    <w:rsid w:val="00644120"/>
    <w:rsid w:val="0064419D"/>
    <w:rsid w:val="00644238"/>
    <w:rsid w:val="00644467"/>
    <w:rsid w:val="00644489"/>
    <w:rsid w:val="00644538"/>
    <w:rsid w:val="006447AB"/>
    <w:rsid w:val="006447D8"/>
    <w:rsid w:val="00644866"/>
    <w:rsid w:val="00644938"/>
    <w:rsid w:val="00644AC5"/>
    <w:rsid w:val="00644C31"/>
    <w:rsid w:val="00644E6D"/>
    <w:rsid w:val="00644FE8"/>
    <w:rsid w:val="00645215"/>
    <w:rsid w:val="006452BC"/>
    <w:rsid w:val="00645335"/>
    <w:rsid w:val="00645346"/>
    <w:rsid w:val="0064535D"/>
    <w:rsid w:val="006453F0"/>
    <w:rsid w:val="006454B1"/>
    <w:rsid w:val="006454F5"/>
    <w:rsid w:val="0064551C"/>
    <w:rsid w:val="00645540"/>
    <w:rsid w:val="00645572"/>
    <w:rsid w:val="0064565D"/>
    <w:rsid w:val="00645845"/>
    <w:rsid w:val="006458C8"/>
    <w:rsid w:val="006458F7"/>
    <w:rsid w:val="0064597E"/>
    <w:rsid w:val="006459CB"/>
    <w:rsid w:val="006459EB"/>
    <w:rsid w:val="00645BF6"/>
    <w:rsid w:val="00645C1F"/>
    <w:rsid w:val="00645C52"/>
    <w:rsid w:val="00645C8E"/>
    <w:rsid w:val="00645D46"/>
    <w:rsid w:val="00645F2A"/>
    <w:rsid w:val="00645F37"/>
    <w:rsid w:val="0064603F"/>
    <w:rsid w:val="006460D4"/>
    <w:rsid w:val="00646127"/>
    <w:rsid w:val="0064615F"/>
    <w:rsid w:val="00646217"/>
    <w:rsid w:val="006462D8"/>
    <w:rsid w:val="0064631F"/>
    <w:rsid w:val="00646403"/>
    <w:rsid w:val="0064640B"/>
    <w:rsid w:val="0064644D"/>
    <w:rsid w:val="006466FB"/>
    <w:rsid w:val="0064673F"/>
    <w:rsid w:val="006468FA"/>
    <w:rsid w:val="00646926"/>
    <w:rsid w:val="006469F6"/>
    <w:rsid w:val="00646A04"/>
    <w:rsid w:val="00646A82"/>
    <w:rsid w:val="00646ACF"/>
    <w:rsid w:val="00646C91"/>
    <w:rsid w:val="00646CB7"/>
    <w:rsid w:val="00646CEE"/>
    <w:rsid w:val="00646E12"/>
    <w:rsid w:val="00646EF7"/>
    <w:rsid w:val="00646FB2"/>
    <w:rsid w:val="0064701D"/>
    <w:rsid w:val="00647047"/>
    <w:rsid w:val="00647098"/>
    <w:rsid w:val="006470C8"/>
    <w:rsid w:val="006470CE"/>
    <w:rsid w:val="00647123"/>
    <w:rsid w:val="00647178"/>
    <w:rsid w:val="006471E1"/>
    <w:rsid w:val="00647386"/>
    <w:rsid w:val="006473C3"/>
    <w:rsid w:val="006473C8"/>
    <w:rsid w:val="0064746D"/>
    <w:rsid w:val="006474FF"/>
    <w:rsid w:val="00647506"/>
    <w:rsid w:val="00647507"/>
    <w:rsid w:val="00647527"/>
    <w:rsid w:val="0064755D"/>
    <w:rsid w:val="006475B0"/>
    <w:rsid w:val="006475FB"/>
    <w:rsid w:val="006476B7"/>
    <w:rsid w:val="006476D7"/>
    <w:rsid w:val="0064771F"/>
    <w:rsid w:val="00647756"/>
    <w:rsid w:val="006477C7"/>
    <w:rsid w:val="006477D6"/>
    <w:rsid w:val="00647871"/>
    <w:rsid w:val="006479E4"/>
    <w:rsid w:val="00647A34"/>
    <w:rsid w:val="00647A3A"/>
    <w:rsid w:val="00647A98"/>
    <w:rsid w:val="00647AB2"/>
    <w:rsid w:val="00647AF6"/>
    <w:rsid w:val="00647B23"/>
    <w:rsid w:val="00647C1F"/>
    <w:rsid w:val="00647CDC"/>
    <w:rsid w:val="00647D37"/>
    <w:rsid w:val="00647E04"/>
    <w:rsid w:val="00647E0D"/>
    <w:rsid w:val="00647ED7"/>
    <w:rsid w:val="0065000D"/>
    <w:rsid w:val="0065015A"/>
    <w:rsid w:val="006501C7"/>
    <w:rsid w:val="0065029F"/>
    <w:rsid w:val="006502CE"/>
    <w:rsid w:val="00650315"/>
    <w:rsid w:val="006503AE"/>
    <w:rsid w:val="006503D3"/>
    <w:rsid w:val="0065047B"/>
    <w:rsid w:val="0065055B"/>
    <w:rsid w:val="006505A7"/>
    <w:rsid w:val="00650685"/>
    <w:rsid w:val="0065069C"/>
    <w:rsid w:val="006506DB"/>
    <w:rsid w:val="00650725"/>
    <w:rsid w:val="0065072B"/>
    <w:rsid w:val="00650752"/>
    <w:rsid w:val="006507B2"/>
    <w:rsid w:val="00650828"/>
    <w:rsid w:val="006508B7"/>
    <w:rsid w:val="0065093C"/>
    <w:rsid w:val="00650A26"/>
    <w:rsid w:val="00650AE0"/>
    <w:rsid w:val="00650AE2"/>
    <w:rsid w:val="00650AE7"/>
    <w:rsid w:val="00650BA9"/>
    <w:rsid w:val="00650BB4"/>
    <w:rsid w:val="00650BDB"/>
    <w:rsid w:val="00650DB8"/>
    <w:rsid w:val="00650E44"/>
    <w:rsid w:val="00650E88"/>
    <w:rsid w:val="00650EB3"/>
    <w:rsid w:val="00650F65"/>
    <w:rsid w:val="006510BD"/>
    <w:rsid w:val="0065115B"/>
    <w:rsid w:val="00651167"/>
    <w:rsid w:val="0065117D"/>
    <w:rsid w:val="006511A3"/>
    <w:rsid w:val="006511E0"/>
    <w:rsid w:val="00651218"/>
    <w:rsid w:val="0065146A"/>
    <w:rsid w:val="0065146D"/>
    <w:rsid w:val="006514BE"/>
    <w:rsid w:val="006516BE"/>
    <w:rsid w:val="0065174D"/>
    <w:rsid w:val="00651770"/>
    <w:rsid w:val="006517D0"/>
    <w:rsid w:val="00651816"/>
    <w:rsid w:val="00651869"/>
    <w:rsid w:val="0065192D"/>
    <w:rsid w:val="006519C2"/>
    <w:rsid w:val="00651A04"/>
    <w:rsid w:val="00651A30"/>
    <w:rsid w:val="00651AAD"/>
    <w:rsid w:val="00651B04"/>
    <w:rsid w:val="00651B8B"/>
    <w:rsid w:val="00651B93"/>
    <w:rsid w:val="00651BAE"/>
    <w:rsid w:val="00651BC4"/>
    <w:rsid w:val="00651BF2"/>
    <w:rsid w:val="00651C0E"/>
    <w:rsid w:val="00651C4B"/>
    <w:rsid w:val="00651CB0"/>
    <w:rsid w:val="00651D0C"/>
    <w:rsid w:val="00651D77"/>
    <w:rsid w:val="00651DD9"/>
    <w:rsid w:val="00651E8A"/>
    <w:rsid w:val="00652039"/>
    <w:rsid w:val="0065207B"/>
    <w:rsid w:val="006520B4"/>
    <w:rsid w:val="006520CE"/>
    <w:rsid w:val="006520E2"/>
    <w:rsid w:val="0065217A"/>
    <w:rsid w:val="006521ED"/>
    <w:rsid w:val="006521F6"/>
    <w:rsid w:val="00652319"/>
    <w:rsid w:val="00652324"/>
    <w:rsid w:val="00652331"/>
    <w:rsid w:val="0065233D"/>
    <w:rsid w:val="00652347"/>
    <w:rsid w:val="00652383"/>
    <w:rsid w:val="006523A8"/>
    <w:rsid w:val="006523BB"/>
    <w:rsid w:val="006523FD"/>
    <w:rsid w:val="00652438"/>
    <w:rsid w:val="00652635"/>
    <w:rsid w:val="0065278B"/>
    <w:rsid w:val="00652795"/>
    <w:rsid w:val="006527A1"/>
    <w:rsid w:val="0065296A"/>
    <w:rsid w:val="006529BF"/>
    <w:rsid w:val="006529F3"/>
    <w:rsid w:val="00652A4B"/>
    <w:rsid w:val="00652AC0"/>
    <w:rsid w:val="00652B51"/>
    <w:rsid w:val="00652BF2"/>
    <w:rsid w:val="00652C9D"/>
    <w:rsid w:val="00652CE3"/>
    <w:rsid w:val="00652D01"/>
    <w:rsid w:val="00652DF2"/>
    <w:rsid w:val="00652F8B"/>
    <w:rsid w:val="00652F99"/>
    <w:rsid w:val="00653006"/>
    <w:rsid w:val="0065302D"/>
    <w:rsid w:val="006531AC"/>
    <w:rsid w:val="006531FE"/>
    <w:rsid w:val="006532C3"/>
    <w:rsid w:val="006532E0"/>
    <w:rsid w:val="00653442"/>
    <w:rsid w:val="006534A2"/>
    <w:rsid w:val="006534F5"/>
    <w:rsid w:val="00653538"/>
    <w:rsid w:val="0065369C"/>
    <w:rsid w:val="0065381A"/>
    <w:rsid w:val="006538D7"/>
    <w:rsid w:val="00653992"/>
    <w:rsid w:val="006539EE"/>
    <w:rsid w:val="00653A7B"/>
    <w:rsid w:val="00653A7E"/>
    <w:rsid w:val="00653A8A"/>
    <w:rsid w:val="00653AF4"/>
    <w:rsid w:val="00653E4F"/>
    <w:rsid w:val="00653E6C"/>
    <w:rsid w:val="006540F8"/>
    <w:rsid w:val="006543A3"/>
    <w:rsid w:val="006543C6"/>
    <w:rsid w:val="006543FA"/>
    <w:rsid w:val="00654458"/>
    <w:rsid w:val="0065457B"/>
    <w:rsid w:val="00654607"/>
    <w:rsid w:val="00654608"/>
    <w:rsid w:val="0065470B"/>
    <w:rsid w:val="00654744"/>
    <w:rsid w:val="006547CA"/>
    <w:rsid w:val="0065480D"/>
    <w:rsid w:val="00654837"/>
    <w:rsid w:val="00654892"/>
    <w:rsid w:val="00654AD8"/>
    <w:rsid w:val="00654B4C"/>
    <w:rsid w:val="00654D25"/>
    <w:rsid w:val="00654D30"/>
    <w:rsid w:val="00654DA6"/>
    <w:rsid w:val="00654E09"/>
    <w:rsid w:val="00654E15"/>
    <w:rsid w:val="00654F72"/>
    <w:rsid w:val="00654FC5"/>
    <w:rsid w:val="00654FEF"/>
    <w:rsid w:val="00655132"/>
    <w:rsid w:val="006551D8"/>
    <w:rsid w:val="00655207"/>
    <w:rsid w:val="0065530A"/>
    <w:rsid w:val="00655338"/>
    <w:rsid w:val="006553F7"/>
    <w:rsid w:val="00655503"/>
    <w:rsid w:val="006555F7"/>
    <w:rsid w:val="00655667"/>
    <w:rsid w:val="0065568B"/>
    <w:rsid w:val="00655814"/>
    <w:rsid w:val="00655818"/>
    <w:rsid w:val="00655975"/>
    <w:rsid w:val="006559CA"/>
    <w:rsid w:val="006559FD"/>
    <w:rsid w:val="00655A54"/>
    <w:rsid w:val="00655A6E"/>
    <w:rsid w:val="00655AAE"/>
    <w:rsid w:val="00655B0C"/>
    <w:rsid w:val="00655BE7"/>
    <w:rsid w:val="00655E8D"/>
    <w:rsid w:val="00655F7A"/>
    <w:rsid w:val="0065606D"/>
    <w:rsid w:val="00656177"/>
    <w:rsid w:val="00656270"/>
    <w:rsid w:val="00656289"/>
    <w:rsid w:val="006562BC"/>
    <w:rsid w:val="0065635D"/>
    <w:rsid w:val="006563B1"/>
    <w:rsid w:val="006563E2"/>
    <w:rsid w:val="00656432"/>
    <w:rsid w:val="0065645C"/>
    <w:rsid w:val="00656476"/>
    <w:rsid w:val="00656492"/>
    <w:rsid w:val="006564B5"/>
    <w:rsid w:val="006564D0"/>
    <w:rsid w:val="006564D5"/>
    <w:rsid w:val="006564FA"/>
    <w:rsid w:val="006565A7"/>
    <w:rsid w:val="006565F9"/>
    <w:rsid w:val="0065662C"/>
    <w:rsid w:val="00656670"/>
    <w:rsid w:val="00656697"/>
    <w:rsid w:val="006566EB"/>
    <w:rsid w:val="006567C1"/>
    <w:rsid w:val="006568DD"/>
    <w:rsid w:val="00656999"/>
    <w:rsid w:val="006569EC"/>
    <w:rsid w:val="00656A4D"/>
    <w:rsid w:val="00656AB8"/>
    <w:rsid w:val="00656B8C"/>
    <w:rsid w:val="00656C0A"/>
    <w:rsid w:val="00656C2E"/>
    <w:rsid w:val="00656CB2"/>
    <w:rsid w:val="00656CC4"/>
    <w:rsid w:val="00656CD3"/>
    <w:rsid w:val="00656D30"/>
    <w:rsid w:val="00656D6F"/>
    <w:rsid w:val="00656DA3"/>
    <w:rsid w:val="00656EE7"/>
    <w:rsid w:val="00656F28"/>
    <w:rsid w:val="00656F46"/>
    <w:rsid w:val="00656FAF"/>
    <w:rsid w:val="00656FEF"/>
    <w:rsid w:val="00657028"/>
    <w:rsid w:val="00657036"/>
    <w:rsid w:val="006571DB"/>
    <w:rsid w:val="00657200"/>
    <w:rsid w:val="0065729B"/>
    <w:rsid w:val="0065734F"/>
    <w:rsid w:val="0065735E"/>
    <w:rsid w:val="006573C4"/>
    <w:rsid w:val="00657512"/>
    <w:rsid w:val="00657552"/>
    <w:rsid w:val="006575D8"/>
    <w:rsid w:val="0065795F"/>
    <w:rsid w:val="006579B1"/>
    <w:rsid w:val="00657A44"/>
    <w:rsid w:val="00657AD1"/>
    <w:rsid w:val="00657AE4"/>
    <w:rsid w:val="00657AE6"/>
    <w:rsid w:val="00657B21"/>
    <w:rsid w:val="00657BB9"/>
    <w:rsid w:val="00657C39"/>
    <w:rsid w:val="00657C9E"/>
    <w:rsid w:val="00657D54"/>
    <w:rsid w:val="00657E8E"/>
    <w:rsid w:val="00657EA4"/>
    <w:rsid w:val="00657EAC"/>
    <w:rsid w:val="00657ECC"/>
    <w:rsid w:val="00657EEB"/>
    <w:rsid w:val="00657FF8"/>
    <w:rsid w:val="00660039"/>
    <w:rsid w:val="006600EC"/>
    <w:rsid w:val="0066014F"/>
    <w:rsid w:val="00660233"/>
    <w:rsid w:val="00660235"/>
    <w:rsid w:val="00660257"/>
    <w:rsid w:val="00660311"/>
    <w:rsid w:val="006605D7"/>
    <w:rsid w:val="00660635"/>
    <w:rsid w:val="00660703"/>
    <w:rsid w:val="006607E8"/>
    <w:rsid w:val="00660834"/>
    <w:rsid w:val="00660876"/>
    <w:rsid w:val="006608D2"/>
    <w:rsid w:val="006608E6"/>
    <w:rsid w:val="006608FC"/>
    <w:rsid w:val="00660906"/>
    <w:rsid w:val="00660930"/>
    <w:rsid w:val="00660B04"/>
    <w:rsid w:val="00660BB8"/>
    <w:rsid w:val="00660BC3"/>
    <w:rsid w:val="00660BED"/>
    <w:rsid w:val="00660C90"/>
    <w:rsid w:val="00660CC2"/>
    <w:rsid w:val="00660DEB"/>
    <w:rsid w:val="00660E40"/>
    <w:rsid w:val="00660E6B"/>
    <w:rsid w:val="00660E87"/>
    <w:rsid w:val="00660F28"/>
    <w:rsid w:val="00660FAB"/>
    <w:rsid w:val="00661095"/>
    <w:rsid w:val="006610FE"/>
    <w:rsid w:val="0066112B"/>
    <w:rsid w:val="0066118C"/>
    <w:rsid w:val="006611AC"/>
    <w:rsid w:val="006611E3"/>
    <w:rsid w:val="00661246"/>
    <w:rsid w:val="0066137E"/>
    <w:rsid w:val="0066141C"/>
    <w:rsid w:val="00661496"/>
    <w:rsid w:val="006614A8"/>
    <w:rsid w:val="006614B8"/>
    <w:rsid w:val="006615AF"/>
    <w:rsid w:val="00661652"/>
    <w:rsid w:val="006616A2"/>
    <w:rsid w:val="00661777"/>
    <w:rsid w:val="00661894"/>
    <w:rsid w:val="0066197B"/>
    <w:rsid w:val="006619D4"/>
    <w:rsid w:val="006619FC"/>
    <w:rsid w:val="00661A9D"/>
    <w:rsid w:val="00661CE1"/>
    <w:rsid w:val="00661DFC"/>
    <w:rsid w:val="00661EDE"/>
    <w:rsid w:val="00661F1A"/>
    <w:rsid w:val="00662013"/>
    <w:rsid w:val="006620AF"/>
    <w:rsid w:val="006620D5"/>
    <w:rsid w:val="006620D7"/>
    <w:rsid w:val="00662182"/>
    <w:rsid w:val="00662188"/>
    <w:rsid w:val="006621D2"/>
    <w:rsid w:val="00662320"/>
    <w:rsid w:val="00662338"/>
    <w:rsid w:val="00662363"/>
    <w:rsid w:val="006623AF"/>
    <w:rsid w:val="0066246B"/>
    <w:rsid w:val="0066248A"/>
    <w:rsid w:val="00662522"/>
    <w:rsid w:val="00662588"/>
    <w:rsid w:val="00662618"/>
    <w:rsid w:val="006626DB"/>
    <w:rsid w:val="00662705"/>
    <w:rsid w:val="0066272B"/>
    <w:rsid w:val="0066299A"/>
    <w:rsid w:val="00662A68"/>
    <w:rsid w:val="00662A93"/>
    <w:rsid w:val="00662AED"/>
    <w:rsid w:val="00662B58"/>
    <w:rsid w:val="00662BDB"/>
    <w:rsid w:val="00662CEF"/>
    <w:rsid w:val="00662D3B"/>
    <w:rsid w:val="00662E2F"/>
    <w:rsid w:val="00662F3E"/>
    <w:rsid w:val="006630A9"/>
    <w:rsid w:val="0066317C"/>
    <w:rsid w:val="006632BE"/>
    <w:rsid w:val="006632CE"/>
    <w:rsid w:val="006634FB"/>
    <w:rsid w:val="00663528"/>
    <w:rsid w:val="00663594"/>
    <w:rsid w:val="00663609"/>
    <w:rsid w:val="00663718"/>
    <w:rsid w:val="00663864"/>
    <w:rsid w:val="00663918"/>
    <w:rsid w:val="0066395F"/>
    <w:rsid w:val="006639D9"/>
    <w:rsid w:val="006639EF"/>
    <w:rsid w:val="00663AD8"/>
    <w:rsid w:val="00663AE3"/>
    <w:rsid w:val="00663BEA"/>
    <w:rsid w:val="00663C23"/>
    <w:rsid w:val="00663C46"/>
    <w:rsid w:val="00663C4E"/>
    <w:rsid w:val="00663C5D"/>
    <w:rsid w:val="00663E46"/>
    <w:rsid w:val="00663F71"/>
    <w:rsid w:val="006640CC"/>
    <w:rsid w:val="00664191"/>
    <w:rsid w:val="00664224"/>
    <w:rsid w:val="006643C3"/>
    <w:rsid w:val="006644EC"/>
    <w:rsid w:val="0066451B"/>
    <w:rsid w:val="006645D0"/>
    <w:rsid w:val="0066467A"/>
    <w:rsid w:val="006646C9"/>
    <w:rsid w:val="006648CE"/>
    <w:rsid w:val="0066494A"/>
    <w:rsid w:val="006649F7"/>
    <w:rsid w:val="006649FF"/>
    <w:rsid w:val="00664A0B"/>
    <w:rsid w:val="00664A0E"/>
    <w:rsid w:val="00664A44"/>
    <w:rsid w:val="00664A54"/>
    <w:rsid w:val="00664B01"/>
    <w:rsid w:val="00664C92"/>
    <w:rsid w:val="00664CA0"/>
    <w:rsid w:val="00664DF5"/>
    <w:rsid w:val="00664E1B"/>
    <w:rsid w:val="00664EC0"/>
    <w:rsid w:val="00664F05"/>
    <w:rsid w:val="00664FE8"/>
    <w:rsid w:val="0066504D"/>
    <w:rsid w:val="006650BD"/>
    <w:rsid w:val="006650CE"/>
    <w:rsid w:val="006650E1"/>
    <w:rsid w:val="00665195"/>
    <w:rsid w:val="006651FC"/>
    <w:rsid w:val="0066525A"/>
    <w:rsid w:val="006652F2"/>
    <w:rsid w:val="006653A9"/>
    <w:rsid w:val="006653B4"/>
    <w:rsid w:val="006653DA"/>
    <w:rsid w:val="006654AB"/>
    <w:rsid w:val="006656B7"/>
    <w:rsid w:val="0066575C"/>
    <w:rsid w:val="00665777"/>
    <w:rsid w:val="0066579C"/>
    <w:rsid w:val="006657C4"/>
    <w:rsid w:val="006657C8"/>
    <w:rsid w:val="00665829"/>
    <w:rsid w:val="00665869"/>
    <w:rsid w:val="00665A0F"/>
    <w:rsid w:val="00665B43"/>
    <w:rsid w:val="00665BC8"/>
    <w:rsid w:val="00665C11"/>
    <w:rsid w:val="00665D5A"/>
    <w:rsid w:val="00665D9A"/>
    <w:rsid w:val="00665F0E"/>
    <w:rsid w:val="00665F1F"/>
    <w:rsid w:val="00665F7F"/>
    <w:rsid w:val="00666129"/>
    <w:rsid w:val="0066614B"/>
    <w:rsid w:val="00666172"/>
    <w:rsid w:val="0066621A"/>
    <w:rsid w:val="006662C6"/>
    <w:rsid w:val="006662F9"/>
    <w:rsid w:val="006663AA"/>
    <w:rsid w:val="006664A3"/>
    <w:rsid w:val="0066653C"/>
    <w:rsid w:val="00666630"/>
    <w:rsid w:val="006666B9"/>
    <w:rsid w:val="00666710"/>
    <w:rsid w:val="00666785"/>
    <w:rsid w:val="006667AC"/>
    <w:rsid w:val="006667BE"/>
    <w:rsid w:val="0066694B"/>
    <w:rsid w:val="00666A18"/>
    <w:rsid w:val="00666A2B"/>
    <w:rsid w:val="00666B55"/>
    <w:rsid w:val="00666B5A"/>
    <w:rsid w:val="00666BAB"/>
    <w:rsid w:val="00666CBE"/>
    <w:rsid w:val="00666D3A"/>
    <w:rsid w:val="00666D48"/>
    <w:rsid w:val="00666D58"/>
    <w:rsid w:val="00666DB9"/>
    <w:rsid w:val="00666EAC"/>
    <w:rsid w:val="00666EEA"/>
    <w:rsid w:val="00666F0D"/>
    <w:rsid w:val="006670AE"/>
    <w:rsid w:val="0066710F"/>
    <w:rsid w:val="00667145"/>
    <w:rsid w:val="00667170"/>
    <w:rsid w:val="0066718D"/>
    <w:rsid w:val="006671B1"/>
    <w:rsid w:val="0066721B"/>
    <w:rsid w:val="00667227"/>
    <w:rsid w:val="0066730D"/>
    <w:rsid w:val="00667331"/>
    <w:rsid w:val="00667360"/>
    <w:rsid w:val="0066740F"/>
    <w:rsid w:val="00667499"/>
    <w:rsid w:val="006674FF"/>
    <w:rsid w:val="0066758D"/>
    <w:rsid w:val="006676D7"/>
    <w:rsid w:val="00667759"/>
    <w:rsid w:val="0066779F"/>
    <w:rsid w:val="006677A1"/>
    <w:rsid w:val="00667837"/>
    <w:rsid w:val="0066784D"/>
    <w:rsid w:val="00667942"/>
    <w:rsid w:val="00667991"/>
    <w:rsid w:val="00667A03"/>
    <w:rsid w:val="00667AF3"/>
    <w:rsid w:val="00667B1B"/>
    <w:rsid w:val="00667C30"/>
    <w:rsid w:val="00667D8B"/>
    <w:rsid w:val="00667DB4"/>
    <w:rsid w:val="00667DC7"/>
    <w:rsid w:val="00667EB8"/>
    <w:rsid w:val="00667EF2"/>
    <w:rsid w:val="00667F66"/>
    <w:rsid w:val="00670029"/>
    <w:rsid w:val="0067007B"/>
    <w:rsid w:val="0067012E"/>
    <w:rsid w:val="0067013D"/>
    <w:rsid w:val="00670278"/>
    <w:rsid w:val="0067028A"/>
    <w:rsid w:val="00670350"/>
    <w:rsid w:val="006704AC"/>
    <w:rsid w:val="006704F2"/>
    <w:rsid w:val="006704FB"/>
    <w:rsid w:val="006705C7"/>
    <w:rsid w:val="00670616"/>
    <w:rsid w:val="00670648"/>
    <w:rsid w:val="006706D3"/>
    <w:rsid w:val="00670791"/>
    <w:rsid w:val="006708E9"/>
    <w:rsid w:val="00670963"/>
    <w:rsid w:val="00670A4E"/>
    <w:rsid w:val="00670A8A"/>
    <w:rsid w:val="00670B57"/>
    <w:rsid w:val="00670CFD"/>
    <w:rsid w:val="00670D63"/>
    <w:rsid w:val="00670DC7"/>
    <w:rsid w:val="00670E2F"/>
    <w:rsid w:val="00670E71"/>
    <w:rsid w:val="00670F31"/>
    <w:rsid w:val="00670F72"/>
    <w:rsid w:val="00671016"/>
    <w:rsid w:val="006710DB"/>
    <w:rsid w:val="006711D6"/>
    <w:rsid w:val="0067127F"/>
    <w:rsid w:val="00671349"/>
    <w:rsid w:val="006713E3"/>
    <w:rsid w:val="006713FE"/>
    <w:rsid w:val="00671496"/>
    <w:rsid w:val="006715C0"/>
    <w:rsid w:val="006717AA"/>
    <w:rsid w:val="00671896"/>
    <w:rsid w:val="00671971"/>
    <w:rsid w:val="006719DB"/>
    <w:rsid w:val="00671ADE"/>
    <w:rsid w:val="00671BB8"/>
    <w:rsid w:val="00671BC5"/>
    <w:rsid w:val="00671C0D"/>
    <w:rsid w:val="00671C32"/>
    <w:rsid w:val="00671CE6"/>
    <w:rsid w:val="00671D25"/>
    <w:rsid w:val="00671DD1"/>
    <w:rsid w:val="00671E99"/>
    <w:rsid w:val="00671EA5"/>
    <w:rsid w:val="00671EFA"/>
    <w:rsid w:val="00671F1A"/>
    <w:rsid w:val="00671F20"/>
    <w:rsid w:val="00671FA4"/>
    <w:rsid w:val="00671FB0"/>
    <w:rsid w:val="00672006"/>
    <w:rsid w:val="00672023"/>
    <w:rsid w:val="0067209A"/>
    <w:rsid w:val="006720A8"/>
    <w:rsid w:val="006720FB"/>
    <w:rsid w:val="0067214E"/>
    <w:rsid w:val="0067219D"/>
    <w:rsid w:val="0067221D"/>
    <w:rsid w:val="0067227B"/>
    <w:rsid w:val="006722BD"/>
    <w:rsid w:val="006722F9"/>
    <w:rsid w:val="00672325"/>
    <w:rsid w:val="0067236E"/>
    <w:rsid w:val="00672370"/>
    <w:rsid w:val="0067248C"/>
    <w:rsid w:val="006725AF"/>
    <w:rsid w:val="006725D8"/>
    <w:rsid w:val="006727E4"/>
    <w:rsid w:val="00672826"/>
    <w:rsid w:val="0067287E"/>
    <w:rsid w:val="00672881"/>
    <w:rsid w:val="00672889"/>
    <w:rsid w:val="00672890"/>
    <w:rsid w:val="00672903"/>
    <w:rsid w:val="00672917"/>
    <w:rsid w:val="006729A6"/>
    <w:rsid w:val="00672AA9"/>
    <w:rsid w:val="00672B0F"/>
    <w:rsid w:val="00672BA0"/>
    <w:rsid w:val="00672C2D"/>
    <w:rsid w:val="00672C30"/>
    <w:rsid w:val="00672CE1"/>
    <w:rsid w:val="00672D7A"/>
    <w:rsid w:val="00672DA2"/>
    <w:rsid w:val="00672DA7"/>
    <w:rsid w:val="00672DE4"/>
    <w:rsid w:val="00672DFD"/>
    <w:rsid w:val="00672E3C"/>
    <w:rsid w:val="00672EDD"/>
    <w:rsid w:val="00672F9E"/>
    <w:rsid w:val="00672FC4"/>
    <w:rsid w:val="00673046"/>
    <w:rsid w:val="00673174"/>
    <w:rsid w:val="006731D2"/>
    <w:rsid w:val="006731EC"/>
    <w:rsid w:val="00673239"/>
    <w:rsid w:val="00673355"/>
    <w:rsid w:val="006733E8"/>
    <w:rsid w:val="0067342A"/>
    <w:rsid w:val="00673521"/>
    <w:rsid w:val="0067359D"/>
    <w:rsid w:val="006735C9"/>
    <w:rsid w:val="006735EF"/>
    <w:rsid w:val="00673624"/>
    <w:rsid w:val="0067366B"/>
    <w:rsid w:val="006738FE"/>
    <w:rsid w:val="00673949"/>
    <w:rsid w:val="00673A28"/>
    <w:rsid w:val="00673A81"/>
    <w:rsid w:val="00673AA9"/>
    <w:rsid w:val="00673D13"/>
    <w:rsid w:val="00673D38"/>
    <w:rsid w:val="00673E88"/>
    <w:rsid w:val="00673F2D"/>
    <w:rsid w:val="00673FB6"/>
    <w:rsid w:val="00674069"/>
    <w:rsid w:val="0067411E"/>
    <w:rsid w:val="006741B6"/>
    <w:rsid w:val="006742A8"/>
    <w:rsid w:val="006742F6"/>
    <w:rsid w:val="0067430E"/>
    <w:rsid w:val="006743BF"/>
    <w:rsid w:val="006743E9"/>
    <w:rsid w:val="006743F9"/>
    <w:rsid w:val="00674498"/>
    <w:rsid w:val="006744EF"/>
    <w:rsid w:val="006744F8"/>
    <w:rsid w:val="0067451F"/>
    <w:rsid w:val="0067459F"/>
    <w:rsid w:val="0067465B"/>
    <w:rsid w:val="006746B2"/>
    <w:rsid w:val="006747BF"/>
    <w:rsid w:val="006747E3"/>
    <w:rsid w:val="00674894"/>
    <w:rsid w:val="00674914"/>
    <w:rsid w:val="0067496A"/>
    <w:rsid w:val="0067499C"/>
    <w:rsid w:val="006749CC"/>
    <w:rsid w:val="006749D7"/>
    <w:rsid w:val="006749DA"/>
    <w:rsid w:val="00674AF9"/>
    <w:rsid w:val="00674B30"/>
    <w:rsid w:val="00674CD4"/>
    <w:rsid w:val="00674CE0"/>
    <w:rsid w:val="00674D05"/>
    <w:rsid w:val="00674E2C"/>
    <w:rsid w:val="00674E7E"/>
    <w:rsid w:val="00674E9D"/>
    <w:rsid w:val="00674ECC"/>
    <w:rsid w:val="00674EF6"/>
    <w:rsid w:val="00674F65"/>
    <w:rsid w:val="00675098"/>
    <w:rsid w:val="006750C3"/>
    <w:rsid w:val="006750D0"/>
    <w:rsid w:val="006751A8"/>
    <w:rsid w:val="0067525A"/>
    <w:rsid w:val="0067528F"/>
    <w:rsid w:val="00675369"/>
    <w:rsid w:val="00675379"/>
    <w:rsid w:val="006753C9"/>
    <w:rsid w:val="00675419"/>
    <w:rsid w:val="00675425"/>
    <w:rsid w:val="006754E0"/>
    <w:rsid w:val="006754E1"/>
    <w:rsid w:val="0067552E"/>
    <w:rsid w:val="006755C5"/>
    <w:rsid w:val="006755F5"/>
    <w:rsid w:val="00675614"/>
    <w:rsid w:val="00675684"/>
    <w:rsid w:val="00675757"/>
    <w:rsid w:val="00675890"/>
    <w:rsid w:val="006759B0"/>
    <w:rsid w:val="006759B9"/>
    <w:rsid w:val="006759F7"/>
    <w:rsid w:val="00675A85"/>
    <w:rsid w:val="00675ADA"/>
    <w:rsid w:val="00675BC4"/>
    <w:rsid w:val="00675C8E"/>
    <w:rsid w:val="00675CB5"/>
    <w:rsid w:val="00675D5F"/>
    <w:rsid w:val="00675E13"/>
    <w:rsid w:val="00675ECE"/>
    <w:rsid w:val="00675F9E"/>
    <w:rsid w:val="0067604D"/>
    <w:rsid w:val="00676083"/>
    <w:rsid w:val="00676096"/>
    <w:rsid w:val="00676099"/>
    <w:rsid w:val="00676136"/>
    <w:rsid w:val="0067619F"/>
    <w:rsid w:val="006761B9"/>
    <w:rsid w:val="006762A6"/>
    <w:rsid w:val="006764EA"/>
    <w:rsid w:val="0067670A"/>
    <w:rsid w:val="0067670B"/>
    <w:rsid w:val="0067674B"/>
    <w:rsid w:val="00676861"/>
    <w:rsid w:val="00676882"/>
    <w:rsid w:val="00676892"/>
    <w:rsid w:val="00676927"/>
    <w:rsid w:val="00676968"/>
    <w:rsid w:val="00676976"/>
    <w:rsid w:val="0067698B"/>
    <w:rsid w:val="006769EB"/>
    <w:rsid w:val="006769F3"/>
    <w:rsid w:val="00676A0E"/>
    <w:rsid w:val="00676A3C"/>
    <w:rsid w:val="00676AAF"/>
    <w:rsid w:val="00676B5D"/>
    <w:rsid w:val="00676B94"/>
    <w:rsid w:val="00676BF6"/>
    <w:rsid w:val="00676C43"/>
    <w:rsid w:val="00676C8A"/>
    <w:rsid w:val="00676CF7"/>
    <w:rsid w:val="00676D3E"/>
    <w:rsid w:val="00676E71"/>
    <w:rsid w:val="00676E79"/>
    <w:rsid w:val="00676FCE"/>
    <w:rsid w:val="006770BB"/>
    <w:rsid w:val="00677254"/>
    <w:rsid w:val="0067725C"/>
    <w:rsid w:val="0067730F"/>
    <w:rsid w:val="00677370"/>
    <w:rsid w:val="00677497"/>
    <w:rsid w:val="00677521"/>
    <w:rsid w:val="00677657"/>
    <w:rsid w:val="00677705"/>
    <w:rsid w:val="00677773"/>
    <w:rsid w:val="006777CD"/>
    <w:rsid w:val="0067785C"/>
    <w:rsid w:val="006778C1"/>
    <w:rsid w:val="006778D2"/>
    <w:rsid w:val="00677B04"/>
    <w:rsid w:val="00677B4D"/>
    <w:rsid w:val="00677BDB"/>
    <w:rsid w:val="00677C41"/>
    <w:rsid w:val="00677D31"/>
    <w:rsid w:val="00677E52"/>
    <w:rsid w:val="00677E6C"/>
    <w:rsid w:val="00677EA9"/>
    <w:rsid w:val="00677EAC"/>
    <w:rsid w:val="00677F5C"/>
    <w:rsid w:val="00677FBC"/>
    <w:rsid w:val="00680089"/>
    <w:rsid w:val="00680134"/>
    <w:rsid w:val="00680182"/>
    <w:rsid w:val="00680221"/>
    <w:rsid w:val="00680319"/>
    <w:rsid w:val="0068038A"/>
    <w:rsid w:val="006803D4"/>
    <w:rsid w:val="006804E9"/>
    <w:rsid w:val="0068061A"/>
    <w:rsid w:val="00680721"/>
    <w:rsid w:val="0068074A"/>
    <w:rsid w:val="0068098D"/>
    <w:rsid w:val="006809CD"/>
    <w:rsid w:val="00680A23"/>
    <w:rsid w:val="00680A6A"/>
    <w:rsid w:val="00680AD0"/>
    <w:rsid w:val="00680AE4"/>
    <w:rsid w:val="00680B28"/>
    <w:rsid w:val="00680B3D"/>
    <w:rsid w:val="00680BB9"/>
    <w:rsid w:val="00680C36"/>
    <w:rsid w:val="00680CBF"/>
    <w:rsid w:val="00680CFE"/>
    <w:rsid w:val="00680E35"/>
    <w:rsid w:val="00680E41"/>
    <w:rsid w:val="00680F8A"/>
    <w:rsid w:val="00680FDB"/>
    <w:rsid w:val="0068107F"/>
    <w:rsid w:val="006810D6"/>
    <w:rsid w:val="006810E4"/>
    <w:rsid w:val="006810F9"/>
    <w:rsid w:val="0068115E"/>
    <w:rsid w:val="006811A1"/>
    <w:rsid w:val="006811F7"/>
    <w:rsid w:val="00681227"/>
    <w:rsid w:val="00681244"/>
    <w:rsid w:val="0068134E"/>
    <w:rsid w:val="0068147A"/>
    <w:rsid w:val="006814B9"/>
    <w:rsid w:val="00681522"/>
    <w:rsid w:val="0068158C"/>
    <w:rsid w:val="006815C9"/>
    <w:rsid w:val="00681658"/>
    <w:rsid w:val="0068167E"/>
    <w:rsid w:val="00681690"/>
    <w:rsid w:val="00681843"/>
    <w:rsid w:val="006818BD"/>
    <w:rsid w:val="0068190E"/>
    <w:rsid w:val="0068192A"/>
    <w:rsid w:val="00681A59"/>
    <w:rsid w:val="00681AC5"/>
    <w:rsid w:val="00681AF2"/>
    <w:rsid w:val="00681B13"/>
    <w:rsid w:val="00681B6B"/>
    <w:rsid w:val="00681C64"/>
    <w:rsid w:val="00681C6D"/>
    <w:rsid w:val="00681CA8"/>
    <w:rsid w:val="00681D34"/>
    <w:rsid w:val="00681D44"/>
    <w:rsid w:val="00681DBA"/>
    <w:rsid w:val="00681DC6"/>
    <w:rsid w:val="00681E02"/>
    <w:rsid w:val="00681E2B"/>
    <w:rsid w:val="00681E58"/>
    <w:rsid w:val="00681E91"/>
    <w:rsid w:val="00681EFC"/>
    <w:rsid w:val="00681F16"/>
    <w:rsid w:val="00681FBF"/>
    <w:rsid w:val="00681FD1"/>
    <w:rsid w:val="00682046"/>
    <w:rsid w:val="00682098"/>
    <w:rsid w:val="00682171"/>
    <w:rsid w:val="00682173"/>
    <w:rsid w:val="006821C6"/>
    <w:rsid w:val="00682353"/>
    <w:rsid w:val="0068238A"/>
    <w:rsid w:val="0068239E"/>
    <w:rsid w:val="00682448"/>
    <w:rsid w:val="00682472"/>
    <w:rsid w:val="0068253E"/>
    <w:rsid w:val="00682598"/>
    <w:rsid w:val="006825DC"/>
    <w:rsid w:val="006825EF"/>
    <w:rsid w:val="006827F2"/>
    <w:rsid w:val="006827F9"/>
    <w:rsid w:val="006828B0"/>
    <w:rsid w:val="006828F7"/>
    <w:rsid w:val="00682A9F"/>
    <w:rsid w:val="00682B0B"/>
    <w:rsid w:val="00682BB0"/>
    <w:rsid w:val="00682D3D"/>
    <w:rsid w:val="00682E49"/>
    <w:rsid w:val="00682EDD"/>
    <w:rsid w:val="00682F3B"/>
    <w:rsid w:val="00682F40"/>
    <w:rsid w:val="00682FC4"/>
    <w:rsid w:val="00682FF3"/>
    <w:rsid w:val="00682FF5"/>
    <w:rsid w:val="0068307C"/>
    <w:rsid w:val="006830D3"/>
    <w:rsid w:val="006830E3"/>
    <w:rsid w:val="00683148"/>
    <w:rsid w:val="00683170"/>
    <w:rsid w:val="00683181"/>
    <w:rsid w:val="006831F1"/>
    <w:rsid w:val="00683286"/>
    <w:rsid w:val="00683343"/>
    <w:rsid w:val="00683356"/>
    <w:rsid w:val="00683369"/>
    <w:rsid w:val="0068336B"/>
    <w:rsid w:val="00683459"/>
    <w:rsid w:val="006834AC"/>
    <w:rsid w:val="006834EB"/>
    <w:rsid w:val="00683527"/>
    <w:rsid w:val="006835A8"/>
    <w:rsid w:val="006836E2"/>
    <w:rsid w:val="00683722"/>
    <w:rsid w:val="00683807"/>
    <w:rsid w:val="00683821"/>
    <w:rsid w:val="00683895"/>
    <w:rsid w:val="006838D9"/>
    <w:rsid w:val="0068392E"/>
    <w:rsid w:val="006839AD"/>
    <w:rsid w:val="00683A77"/>
    <w:rsid w:val="00683AFD"/>
    <w:rsid w:val="00683C3C"/>
    <w:rsid w:val="00683C57"/>
    <w:rsid w:val="00683D6F"/>
    <w:rsid w:val="00683E53"/>
    <w:rsid w:val="00683EA6"/>
    <w:rsid w:val="00683EFB"/>
    <w:rsid w:val="00683F10"/>
    <w:rsid w:val="00683F8F"/>
    <w:rsid w:val="0068400C"/>
    <w:rsid w:val="0068407A"/>
    <w:rsid w:val="006840F4"/>
    <w:rsid w:val="00684147"/>
    <w:rsid w:val="0068414E"/>
    <w:rsid w:val="00684162"/>
    <w:rsid w:val="0068417A"/>
    <w:rsid w:val="00684207"/>
    <w:rsid w:val="0068434E"/>
    <w:rsid w:val="00684399"/>
    <w:rsid w:val="0068440D"/>
    <w:rsid w:val="00684532"/>
    <w:rsid w:val="0068453E"/>
    <w:rsid w:val="00684550"/>
    <w:rsid w:val="006845D6"/>
    <w:rsid w:val="006846A7"/>
    <w:rsid w:val="00684783"/>
    <w:rsid w:val="006847FA"/>
    <w:rsid w:val="00684808"/>
    <w:rsid w:val="00684928"/>
    <w:rsid w:val="00684969"/>
    <w:rsid w:val="006849A8"/>
    <w:rsid w:val="00684AEB"/>
    <w:rsid w:val="00684B45"/>
    <w:rsid w:val="00684C07"/>
    <w:rsid w:val="00684D02"/>
    <w:rsid w:val="00684F26"/>
    <w:rsid w:val="00684F4E"/>
    <w:rsid w:val="00684F73"/>
    <w:rsid w:val="00684F94"/>
    <w:rsid w:val="0068504A"/>
    <w:rsid w:val="006850B0"/>
    <w:rsid w:val="006850B8"/>
    <w:rsid w:val="00685215"/>
    <w:rsid w:val="006852BD"/>
    <w:rsid w:val="0068534C"/>
    <w:rsid w:val="00685391"/>
    <w:rsid w:val="00685478"/>
    <w:rsid w:val="0068548E"/>
    <w:rsid w:val="006854FC"/>
    <w:rsid w:val="0068553D"/>
    <w:rsid w:val="006855CB"/>
    <w:rsid w:val="006856D8"/>
    <w:rsid w:val="006856E8"/>
    <w:rsid w:val="006857FB"/>
    <w:rsid w:val="00685893"/>
    <w:rsid w:val="00685A73"/>
    <w:rsid w:val="00685A79"/>
    <w:rsid w:val="00685B32"/>
    <w:rsid w:val="00685B52"/>
    <w:rsid w:val="00685C89"/>
    <w:rsid w:val="00685D96"/>
    <w:rsid w:val="00685DAB"/>
    <w:rsid w:val="00685DFD"/>
    <w:rsid w:val="00685E73"/>
    <w:rsid w:val="00685F61"/>
    <w:rsid w:val="00686077"/>
    <w:rsid w:val="006860BA"/>
    <w:rsid w:val="006860C4"/>
    <w:rsid w:val="006861A2"/>
    <w:rsid w:val="0068626C"/>
    <w:rsid w:val="00686283"/>
    <w:rsid w:val="006863E0"/>
    <w:rsid w:val="006863F3"/>
    <w:rsid w:val="00686554"/>
    <w:rsid w:val="006865BB"/>
    <w:rsid w:val="006865F2"/>
    <w:rsid w:val="006866A6"/>
    <w:rsid w:val="006866C4"/>
    <w:rsid w:val="006866EF"/>
    <w:rsid w:val="0068677C"/>
    <w:rsid w:val="00686801"/>
    <w:rsid w:val="00686896"/>
    <w:rsid w:val="006868FA"/>
    <w:rsid w:val="0068691C"/>
    <w:rsid w:val="00686926"/>
    <w:rsid w:val="00686B5E"/>
    <w:rsid w:val="00686C0E"/>
    <w:rsid w:val="00686D37"/>
    <w:rsid w:val="00686E94"/>
    <w:rsid w:val="00686EE8"/>
    <w:rsid w:val="00686EF5"/>
    <w:rsid w:val="00686F9A"/>
    <w:rsid w:val="00687152"/>
    <w:rsid w:val="0068715F"/>
    <w:rsid w:val="00687378"/>
    <w:rsid w:val="006873F1"/>
    <w:rsid w:val="00687440"/>
    <w:rsid w:val="0068744F"/>
    <w:rsid w:val="00687460"/>
    <w:rsid w:val="006875A2"/>
    <w:rsid w:val="006875D4"/>
    <w:rsid w:val="0068764C"/>
    <w:rsid w:val="0068772B"/>
    <w:rsid w:val="00687775"/>
    <w:rsid w:val="006877C2"/>
    <w:rsid w:val="006877CD"/>
    <w:rsid w:val="006877FB"/>
    <w:rsid w:val="0068781A"/>
    <w:rsid w:val="006878A0"/>
    <w:rsid w:val="00687948"/>
    <w:rsid w:val="006879D7"/>
    <w:rsid w:val="00687A46"/>
    <w:rsid w:val="00687A4C"/>
    <w:rsid w:val="00687AAB"/>
    <w:rsid w:val="00687B33"/>
    <w:rsid w:val="00687B8D"/>
    <w:rsid w:val="00687C22"/>
    <w:rsid w:val="00687CE3"/>
    <w:rsid w:val="00687DB7"/>
    <w:rsid w:val="00687E24"/>
    <w:rsid w:val="00687E46"/>
    <w:rsid w:val="00687E47"/>
    <w:rsid w:val="00687E6B"/>
    <w:rsid w:val="00687EC6"/>
    <w:rsid w:val="00687EFD"/>
    <w:rsid w:val="00690067"/>
    <w:rsid w:val="00690069"/>
    <w:rsid w:val="0069008B"/>
    <w:rsid w:val="00690090"/>
    <w:rsid w:val="006901B7"/>
    <w:rsid w:val="00690209"/>
    <w:rsid w:val="00690260"/>
    <w:rsid w:val="00690281"/>
    <w:rsid w:val="006902DD"/>
    <w:rsid w:val="00690309"/>
    <w:rsid w:val="006903DC"/>
    <w:rsid w:val="0069045B"/>
    <w:rsid w:val="0069048A"/>
    <w:rsid w:val="006904C2"/>
    <w:rsid w:val="0069058B"/>
    <w:rsid w:val="00690659"/>
    <w:rsid w:val="0069073D"/>
    <w:rsid w:val="006907DA"/>
    <w:rsid w:val="00690810"/>
    <w:rsid w:val="0069093B"/>
    <w:rsid w:val="00690A89"/>
    <w:rsid w:val="00690B1B"/>
    <w:rsid w:val="00690BE0"/>
    <w:rsid w:val="00690C89"/>
    <w:rsid w:val="00690E48"/>
    <w:rsid w:val="00690FF0"/>
    <w:rsid w:val="00691065"/>
    <w:rsid w:val="0069106E"/>
    <w:rsid w:val="006910E4"/>
    <w:rsid w:val="00691162"/>
    <w:rsid w:val="006911E4"/>
    <w:rsid w:val="00691445"/>
    <w:rsid w:val="006914FB"/>
    <w:rsid w:val="00691668"/>
    <w:rsid w:val="0069169F"/>
    <w:rsid w:val="00691745"/>
    <w:rsid w:val="00691761"/>
    <w:rsid w:val="00691A12"/>
    <w:rsid w:val="00691A23"/>
    <w:rsid w:val="00691A46"/>
    <w:rsid w:val="00691C64"/>
    <w:rsid w:val="00691CD2"/>
    <w:rsid w:val="00691CE4"/>
    <w:rsid w:val="00691DA1"/>
    <w:rsid w:val="00691EEB"/>
    <w:rsid w:val="00691FA0"/>
    <w:rsid w:val="00691FB8"/>
    <w:rsid w:val="00691FC3"/>
    <w:rsid w:val="006920DA"/>
    <w:rsid w:val="006920FF"/>
    <w:rsid w:val="00692103"/>
    <w:rsid w:val="00692199"/>
    <w:rsid w:val="006921A2"/>
    <w:rsid w:val="0069220B"/>
    <w:rsid w:val="0069235A"/>
    <w:rsid w:val="00692410"/>
    <w:rsid w:val="0069243C"/>
    <w:rsid w:val="00692474"/>
    <w:rsid w:val="00692640"/>
    <w:rsid w:val="0069273D"/>
    <w:rsid w:val="00692802"/>
    <w:rsid w:val="0069282C"/>
    <w:rsid w:val="006928D9"/>
    <w:rsid w:val="006928E9"/>
    <w:rsid w:val="00692967"/>
    <w:rsid w:val="00692A99"/>
    <w:rsid w:val="00692B42"/>
    <w:rsid w:val="00692B49"/>
    <w:rsid w:val="00692B70"/>
    <w:rsid w:val="00692BCE"/>
    <w:rsid w:val="00692D35"/>
    <w:rsid w:val="00692D43"/>
    <w:rsid w:val="00692D83"/>
    <w:rsid w:val="00692EF5"/>
    <w:rsid w:val="00692F0B"/>
    <w:rsid w:val="00692F86"/>
    <w:rsid w:val="006930B7"/>
    <w:rsid w:val="006930D7"/>
    <w:rsid w:val="006930FA"/>
    <w:rsid w:val="006931AB"/>
    <w:rsid w:val="00693238"/>
    <w:rsid w:val="00693264"/>
    <w:rsid w:val="0069329B"/>
    <w:rsid w:val="006932E3"/>
    <w:rsid w:val="0069337A"/>
    <w:rsid w:val="00693425"/>
    <w:rsid w:val="00693429"/>
    <w:rsid w:val="00693496"/>
    <w:rsid w:val="006934BD"/>
    <w:rsid w:val="0069353B"/>
    <w:rsid w:val="00693587"/>
    <w:rsid w:val="00693624"/>
    <w:rsid w:val="00693673"/>
    <w:rsid w:val="006936A5"/>
    <w:rsid w:val="00693713"/>
    <w:rsid w:val="0069371A"/>
    <w:rsid w:val="00693735"/>
    <w:rsid w:val="0069375C"/>
    <w:rsid w:val="0069379E"/>
    <w:rsid w:val="0069379F"/>
    <w:rsid w:val="00693862"/>
    <w:rsid w:val="00693868"/>
    <w:rsid w:val="006939B1"/>
    <w:rsid w:val="00693A0A"/>
    <w:rsid w:val="00693C50"/>
    <w:rsid w:val="00693C61"/>
    <w:rsid w:val="00693C97"/>
    <w:rsid w:val="00693D84"/>
    <w:rsid w:val="00693D89"/>
    <w:rsid w:val="00693D92"/>
    <w:rsid w:val="00693E35"/>
    <w:rsid w:val="00693E96"/>
    <w:rsid w:val="00693F8F"/>
    <w:rsid w:val="00693FAB"/>
    <w:rsid w:val="00693FD5"/>
    <w:rsid w:val="0069409D"/>
    <w:rsid w:val="006940BD"/>
    <w:rsid w:val="006941AC"/>
    <w:rsid w:val="0069440D"/>
    <w:rsid w:val="00694498"/>
    <w:rsid w:val="006944D0"/>
    <w:rsid w:val="006944ED"/>
    <w:rsid w:val="0069453E"/>
    <w:rsid w:val="006946EC"/>
    <w:rsid w:val="006947A1"/>
    <w:rsid w:val="00694807"/>
    <w:rsid w:val="0069486E"/>
    <w:rsid w:val="00694892"/>
    <w:rsid w:val="00694922"/>
    <w:rsid w:val="00694A76"/>
    <w:rsid w:val="00694AB5"/>
    <w:rsid w:val="00694B36"/>
    <w:rsid w:val="00694B9E"/>
    <w:rsid w:val="00694CD1"/>
    <w:rsid w:val="00694CED"/>
    <w:rsid w:val="00694D0F"/>
    <w:rsid w:val="00694D3F"/>
    <w:rsid w:val="00694D7F"/>
    <w:rsid w:val="00694D84"/>
    <w:rsid w:val="00694F16"/>
    <w:rsid w:val="00694F6A"/>
    <w:rsid w:val="00694F7D"/>
    <w:rsid w:val="00695065"/>
    <w:rsid w:val="0069507A"/>
    <w:rsid w:val="00695091"/>
    <w:rsid w:val="00695096"/>
    <w:rsid w:val="0069512B"/>
    <w:rsid w:val="00695172"/>
    <w:rsid w:val="0069526E"/>
    <w:rsid w:val="006953CB"/>
    <w:rsid w:val="006953DA"/>
    <w:rsid w:val="00695493"/>
    <w:rsid w:val="006954A1"/>
    <w:rsid w:val="006954C3"/>
    <w:rsid w:val="0069550D"/>
    <w:rsid w:val="0069555C"/>
    <w:rsid w:val="00695599"/>
    <w:rsid w:val="006955A9"/>
    <w:rsid w:val="006955E8"/>
    <w:rsid w:val="00695707"/>
    <w:rsid w:val="0069574F"/>
    <w:rsid w:val="006957F8"/>
    <w:rsid w:val="006958EA"/>
    <w:rsid w:val="006959C0"/>
    <w:rsid w:val="006959C5"/>
    <w:rsid w:val="00695B04"/>
    <w:rsid w:val="00695BB9"/>
    <w:rsid w:val="00695C5C"/>
    <w:rsid w:val="00695CA8"/>
    <w:rsid w:val="00695CBD"/>
    <w:rsid w:val="00695CD2"/>
    <w:rsid w:val="00695CEB"/>
    <w:rsid w:val="00695DBD"/>
    <w:rsid w:val="00695DDD"/>
    <w:rsid w:val="00695F6B"/>
    <w:rsid w:val="00695FB6"/>
    <w:rsid w:val="00696015"/>
    <w:rsid w:val="00696058"/>
    <w:rsid w:val="00696104"/>
    <w:rsid w:val="006961C5"/>
    <w:rsid w:val="006962CA"/>
    <w:rsid w:val="00696398"/>
    <w:rsid w:val="006963BF"/>
    <w:rsid w:val="0069645E"/>
    <w:rsid w:val="0069654C"/>
    <w:rsid w:val="006965B1"/>
    <w:rsid w:val="00696811"/>
    <w:rsid w:val="006968B5"/>
    <w:rsid w:val="00696A2F"/>
    <w:rsid w:val="00696A9F"/>
    <w:rsid w:val="00696B08"/>
    <w:rsid w:val="00696B4B"/>
    <w:rsid w:val="00696C10"/>
    <w:rsid w:val="00696CA8"/>
    <w:rsid w:val="00696CC9"/>
    <w:rsid w:val="00696D02"/>
    <w:rsid w:val="00696D09"/>
    <w:rsid w:val="00696D0C"/>
    <w:rsid w:val="00696DC5"/>
    <w:rsid w:val="00696DFB"/>
    <w:rsid w:val="00696E2C"/>
    <w:rsid w:val="00696F68"/>
    <w:rsid w:val="00696F79"/>
    <w:rsid w:val="00696FBC"/>
    <w:rsid w:val="00696FED"/>
    <w:rsid w:val="0069702F"/>
    <w:rsid w:val="00697073"/>
    <w:rsid w:val="006971FE"/>
    <w:rsid w:val="00697200"/>
    <w:rsid w:val="00697213"/>
    <w:rsid w:val="00697530"/>
    <w:rsid w:val="00697583"/>
    <w:rsid w:val="00697654"/>
    <w:rsid w:val="00697671"/>
    <w:rsid w:val="00697685"/>
    <w:rsid w:val="006976B5"/>
    <w:rsid w:val="00697752"/>
    <w:rsid w:val="00697803"/>
    <w:rsid w:val="0069780E"/>
    <w:rsid w:val="006978C3"/>
    <w:rsid w:val="006978E6"/>
    <w:rsid w:val="00697916"/>
    <w:rsid w:val="00697966"/>
    <w:rsid w:val="0069796A"/>
    <w:rsid w:val="006979A5"/>
    <w:rsid w:val="006979B0"/>
    <w:rsid w:val="00697A01"/>
    <w:rsid w:val="00697B54"/>
    <w:rsid w:val="00697B85"/>
    <w:rsid w:val="00697C0A"/>
    <w:rsid w:val="00697C48"/>
    <w:rsid w:val="00697C7E"/>
    <w:rsid w:val="00697D6B"/>
    <w:rsid w:val="00697D71"/>
    <w:rsid w:val="00697D76"/>
    <w:rsid w:val="00697DC6"/>
    <w:rsid w:val="00697E3A"/>
    <w:rsid w:val="00697EF6"/>
    <w:rsid w:val="006A0188"/>
    <w:rsid w:val="006A0204"/>
    <w:rsid w:val="006A0287"/>
    <w:rsid w:val="006A02E0"/>
    <w:rsid w:val="006A02F8"/>
    <w:rsid w:val="006A0332"/>
    <w:rsid w:val="006A039F"/>
    <w:rsid w:val="006A0437"/>
    <w:rsid w:val="006A0486"/>
    <w:rsid w:val="006A0521"/>
    <w:rsid w:val="006A057F"/>
    <w:rsid w:val="006A069B"/>
    <w:rsid w:val="006A06CD"/>
    <w:rsid w:val="006A072A"/>
    <w:rsid w:val="006A0796"/>
    <w:rsid w:val="006A0841"/>
    <w:rsid w:val="006A08A7"/>
    <w:rsid w:val="006A092C"/>
    <w:rsid w:val="006A093C"/>
    <w:rsid w:val="006A093E"/>
    <w:rsid w:val="006A097E"/>
    <w:rsid w:val="006A0A02"/>
    <w:rsid w:val="006A0A5E"/>
    <w:rsid w:val="006A0AEF"/>
    <w:rsid w:val="006A0B02"/>
    <w:rsid w:val="006A0B10"/>
    <w:rsid w:val="006A0B3A"/>
    <w:rsid w:val="006A0B5E"/>
    <w:rsid w:val="006A0B6A"/>
    <w:rsid w:val="006A0BAE"/>
    <w:rsid w:val="006A0BEA"/>
    <w:rsid w:val="006A0C2D"/>
    <w:rsid w:val="006A0C3D"/>
    <w:rsid w:val="006A0CFD"/>
    <w:rsid w:val="006A0D37"/>
    <w:rsid w:val="006A0D75"/>
    <w:rsid w:val="006A0D7D"/>
    <w:rsid w:val="006A0E13"/>
    <w:rsid w:val="006A0E16"/>
    <w:rsid w:val="006A0F32"/>
    <w:rsid w:val="006A1061"/>
    <w:rsid w:val="006A10B2"/>
    <w:rsid w:val="006A1114"/>
    <w:rsid w:val="006A119B"/>
    <w:rsid w:val="006A11CC"/>
    <w:rsid w:val="006A13AE"/>
    <w:rsid w:val="006A14B6"/>
    <w:rsid w:val="006A14BB"/>
    <w:rsid w:val="006A1532"/>
    <w:rsid w:val="006A154B"/>
    <w:rsid w:val="006A155D"/>
    <w:rsid w:val="006A15B3"/>
    <w:rsid w:val="006A15C9"/>
    <w:rsid w:val="006A15DD"/>
    <w:rsid w:val="006A1626"/>
    <w:rsid w:val="006A164D"/>
    <w:rsid w:val="006A1666"/>
    <w:rsid w:val="006A1726"/>
    <w:rsid w:val="006A18C7"/>
    <w:rsid w:val="006A18C8"/>
    <w:rsid w:val="006A19EE"/>
    <w:rsid w:val="006A1A87"/>
    <w:rsid w:val="006A1B05"/>
    <w:rsid w:val="006A1B1E"/>
    <w:rsid w:val="006A1B38"/>
    <w:rsid w:val="006A1B8E"/>
    <w:rsid w:val="006A1BB2"/>
    <w:rsid w:val="006A1D0B"/>
    <w:rsid w:val="006A1D76"/>
    <w:rsid w:val="006A1D86"/>
    <w:rsid w:val="006A1DAB"/>
    <w:rsid w:val="006A1E3E"/>
    <w:rsid w:val="006A1F33"/>
    <w:rsid w:val="006A2084"/>
    <w:rsid w:val="006A2123"/>
    <w:rsid w:val="006A2221"/>
    <w:rsid w:val="006A2259"/>
    <w:rsid w:val="006A22CF"/>
    <w:rsid w:val="006A2314"/>
    <w:rsid w:val="006A233B"/>
    <w:rsid w:val="006A23E1"/>
    <w:rsid w:val="006A241A"/>
    <w:rsid w:val="006A2514"/>
    <w:rsid w:val="006A2558"/>
    <w:rsid w:val="006A26B4"/>
    <w:rsid w:val="006A273A"/>
    <w:rsid w:val="006A278D"/>
    <w:rsid w:val="006A27C9"/>
    <w:rsid w:val="006A280C"/>
    <w:rsid w:val="006A28ED"/>
    <w:rsid w:val="006A2961"/>
    <w:rsid w:val="006A29A1"/>
    <w:rsid w:val="006A29A6"/>
    <w:rsid w:val="006A29BD"/>
    <w:rsid w:val="006A2A4F"/>
    <w:rsid w:val="006A2A63"/>
    <w:rsid w:val="006A2A80"/>
    <w:rsid w:val="006A2A90"/>
    <w:rsid w:val="006A2AFC"/>
    <w:rsid w:val="006A2B0A"/>
    <w:rsid w:val="006A2B24"/>
    <w:rsid w:val="006A2BCA"/>
    <w:rsid w:val="006A2C8C"/>
    <w:rsid w:val="006A2CDA"/>
    <w:rsid w:val="006A2D27"/>
    <w:rsid w:val="006A2E07"/>
    <w:rsid w:val="006A2E09"/>
    <w:rsid w:val="006A2E53"/>
    <w:rsid w:val="006A2EC4"/>
    <w:rsid w:val="006A2F38"/>
    <w:rsid w:val="006A2F6A"/>
    <w:rsid w:val="006A2FAC"/>
    <w:rsid w:val="006A309A"/>
    <w:rsid w:val="006A311B"/>
    <w:rsid w:val="006A31A3"/>
    <w:rsid w:val="006A3291"/>
    <w:rsid w:val="006A33B2"/>
    <w:rsid w:val="006A33BA"/>
    <w:rsid w:val="006A33BC"/>
    <w:rsid w:val="006A33E0"/>
    <w:rsid w:val="006A3410"/>
    <w:rsid w:val="006A351B"/>
    <w:rsid w:val="006A3530"/>
    <w:rsid w:val="006A35B7"/>
    <w:rsid w:val="006A37D9"/>
    <w:rsid w:val="006A37DD"/>
    <w:rsid w:val="006A388D"/>
    <w:rsid w:val="006A38E1"/>
    <w:rsid w:val="006A3923"/>
    <w:rsid w:val="006A3AE2"/>
    <w:rsid w:val="006A3B1A"/>
    <w:rsid w:val="006A3B33"/>
    <w:rsid w:val="006A3B3B"/>
    <w:rsid w:val="006A3B81"/>
    <w:rsid w:val="006A3B8B"/>
    <w:rsid w:val="006A3B95"/>
    <w:rsid w:val="006A3BB4"/>
    <w:rsid w:val="006A3BB9"/>
    <w:rsid w:val="006A3D1B"/>
    <w:rsid w:val="006A3D55"/>
    <w:rsid w:val="006A3E0D"/>
    <w:rsid w:val="006A3F36"/>
    <w:rsid w:val="006A3F88"/>
    <w:rsid w:val="006A3F9F"/>
    <w:rsid w:val="006A3FA5"/>
    <w:rsid w:val="006A4021"/>
    <w:rsid w:val="006A4458"/>
    <w:rsid w:val="006A44B7"/>
    <w:rsid w:val="006A4618"/>
    <w:rsid w:val="006A4684"/>
    <w:rsid w:val="006A46AD"/>
    <w:rsid w:val="006A48A5"/>
    <w:rsid w:val="006A4939"/>
    <w:rsid w:val="006A4973"/>
    <w:rsid w:val="006A4998"/>
    <w:rsid w:val="006A499A"/>
    <w:rsid w:val="006A49CC"/>
    <w:rsid w:val="006A4AB4"/>
    <w:rsid w:val="006A4B56"/>
    <w:rsid w:val="006A4BB4"/>
    <w:rsid w:val="006A4CEA"/>
    <w:rsid w:val="006A4D17"/>
    <w:rsid w:val="006A4DFB"/>
    <w:rsid w:val="006A4E85"/>
    <w:rsid w:val="006A4EF2"/>
    <w:rsid w:val="006A4F2E"/>
    <w:rsid w:val="006A5088"/>
    <w:rsid w:val="006A511B"/>
    <w:rsid w:val="006A5122"/>
    <w:rsid w:val="006A512E"/>
    <w:rsid w:val="006A513A"/>
    <w:rsid w:val="006A51C8"/>
    <w:rsid w:val="006A51D0"/>
    <w:rsid w:val="006A51D1"/>
    <w:rsid w:val="006A5205"/>
    <w:rsid w:val="006A536C"/>
    <w:rsid w:val="006A5380"/>
    <w:rsid w:val="006A5414"/>
    <w:rsid w:val="006A54ED"/>
    <w:rsid w:val="006A55EE"/>
    <w:rsid w:val="006A5667"/>
    <w:rsid w:val="006A56D2"/>
    <w:rsid w:val="006A5700"/>
    <w:rsid w:val="006A5762"/>
    <w:rsid w:val="006A5890"/>
    <w:rsid w:val="006A58B7"/>
    <w:rsid w:val="006A5910"/>
    <w:rsid w:val="006A591E"/>
    <w:rsid w:val="006A59DE"/>
    <w:rsid w:val="006A5A10"/>
    <w:rsid w:val="006A5A37"/>
    <w:rsid w:val="006A5B53"/>
    <w:rsid w:val="006A5B7B"/>
    <w:rsid w:val="006A5B8E"/>
    <w:rsid w:val="006A5C64"/>
    <w:rsid w:val="006A5D0A"/>
    <w:rsid w:val="006A5D10"/>
    <w:rsid w:val="006A5D7A"/>
    <w:rsid w:val="006A5E2D"/>
    <w:rsid w:val="006A5F2F"/>
    <w:rsid w:val="006A6057"/>
    <w:rsid w:val="006A606E"/>
    <w:rsid w:val="006A60A5"/>
    <w:rsid w:val="006A61D3"/>
    <w:rsid w:val="006A622C"/>
    <w:rsid w:val="006A624C"/>
    <w:rsid w:val="006A62EB"/>
    <w:rsid w:val="006A6336"/>
    <w:rsid w:val="006A635D"/>
    <w:rsid w:val="006A6505"/>
    <w:rsid w:val="006A6510"/>
    <w:rsid w:val="006A6577"/>
    <w:rsid w:val="006A6609"/>
    <w:rsid w:val="006A6722"/>
    <w:rsid w:val="006A6744"/>
    <w:rsid w:val="006A6866"/>
    <w:rsid w:val="006A68D8"/>
    <w:rsid w:val="006A6A75"/>
    <w:rsid w:val="006A6A80"/>
    <w:rsid w:val="006A6B4F"/>
    <w:rsid w:val="006A6BA6"/>
    <w:rsid w:val="006A6BFE"/>
    <w:rsid w:val="006A6C52"/>
    <w:rsid w:val="006A6E27"/>
    <w:rsid w:val="006A6EBD"/>
    <w:rsid w:val="006A6EC3"/>
    <w:rsid w:val="006A6EC4"/>
    <w:rsid w:val="006A6ED3"/>
    <w:rsid w:val="006A6F1F"/>
    <w:rsid w:val="006A715D"/>
    <w:rsid w:val="006A718B"/>
    <w:rsid w:val="006A730E"/>
    <w:rsid w:val="006A7386"/>
    <w:rsid w:val="006A7542"/>
    <w:rsid w:val="006A759E"/>
    <w:rsid w:val="006A7622"/>
    <w:rsid w:val="006A763D"/>
    <w:rsid w:val="006A767D"/>
    <w:rsid w:val="006A76DB"/>
    <w:rsid w:val="006A7701"/>
    <w:rsid w:val="006A77F3"/>
    <w:rsid w:val="006A784F"/>
    <w:rsid w:val="006A79B9"/>
    <w:rsid w:val="006A7A8F"/>
    <w:rsid w:val="006A7B84"/>
    <w:rsid w:val="006A7BA6"/>
    <w:rsid w:val="006A7C12"/>
    <w:rsid w:val="006A7C1E"/>
    <w:rsid w:val="006A7C66"/>
    <w:rsid w:val="006A7CBF"/>
    <w:rsid w:val="006A7CDB"/>
    <w:rsid w:val="006A7CF6"/>
    <w:rsid w:val="006A7E2A"/>
    <w:rsid w:val="006A7FF3"/>
    <w:rsid w:val="006B0011"/>
    <w:rsid w:val="006B00AC"/>
    <w:rsid w:val="006B0101"/>
    <w:rsid w:val="006B01A6"/>
    <w:rsid w:val="006B01DE"/>
    <w:rsid w:val="006B0452"/>
    <w:rsid w:val="006B04FE"/>
    <w:rsid w:val="006B0501"/>
    <w:rsid w:val="006B0553"/>
    <w:rsid w:val="006B0659"/>
    <w:rsid w:val="006B06B7"/>
    <w:rsid w:val="006B06D1"/>
    <w:rsid w:val="006B07D3"/>
    <w:rsid w:val="006B07E0"/>
    <w:rsid w:val="006B08A3"/>
    <w:rsid w:val="006B08F4"/>
    <w:rsid w:val="006B0947"/>
    <w:rsid w:val="006B0A2B"/>
    <w:rsid w:val="006B0A2F"/>
    <w:rsid w:val="006B0A58"/>
    <w:rsid w:val="006B0A71"/>
    <w:rsid w:val="006B0A79"/>
    <w:rsid w:val="006B0AE8"/>
    <w:rsid w:val="006B0B82"/>
    <w:rsid w:val="006B0C35"/>
    <w:rsid w:val="006B0D61"/>
    <w:rsid w:val="006B0D8E"/>
    <w:rsid w:val="006B0DEF"/>
    <w:rsid w:val="006B0E1A"/>
    <w:rsid w:val="006B0E39"/>
    <w:rsid w:val="006B0E69"/>
    <w:rsid w:val="006B0EF8"/>
    <w:rsid w:val="006B1075"/>
    <w:rsid w:val="006B1215"/>
    <w:rsid w:val="006B123B"/>
    <w:rsid w:val="006B12D4"/>
    <w:rsid w:val="006B1325"/>
    <w:rsid w:val="006B134F"/>
    <w:rsid w:val="006B1364"/>
    <w:rsid w:val="006B137E"/>
    <w:rsid w:val="006B1446"/>
    <w:rsid w:val="006B1466"/>
    <w:rsid w:val="006B14BE"/>
    <w:rsid w:val="006B15E1"/>
    <w:rsid w:val="006B15E3"/>
    <w:rsid w:val="006B15FD"/>
    <w:rsid w:val="006B161A"/>
    <w:rsid w:val="006B1691"/>
    <w:rsid w:val="006B16BF"/>
    <w:rsid w:val="006B1799"/>
    <w:rsid w:val="006B191A"/>
    <w:rsid w:val="006B1937"/>
    <w:rsid w:val="006B1C7B"/>
    <w:rsid w:val="006B1CF9"/>
    <w:rsid w:val="006B1D32"/>
    <w:rsid w:val="006B1DCD"/>
    <w:rsid w:val="006B1EAB"/>
    <w:rsid w:val="006B1ED3"/>
    <w:rsid w:val="006B1FD8"/>
    <w:rsid w:val="006B2038"/>
    <w:rsid w:val="006B2039"/>
    <w:rsid w:val="006B203A"/>
    <w:rsid w:val="006B219B"/>
    <w:rsid w:val="006B21B1"/>
    <w:rsid w:val="006B221A"/>
    <w:rsid w:val="006B222D"/>
    <w:rsid w:val="006B2238"/>
    <w:rsid w:val="006B2265"/>
    <w:rsid w:val="006B22A3"/>
    <w:rsid w:val="006B22C1"/>
    <w:rsid w:val="006B22C5"/>
    <w:rsid w:val="006B23E4"/>
    <w:rsid w:val="006B23E5"/>
    <w:rsid w:val="006B2470"/>
    <w:rsid w:val="006B250F"/>
    <w:rsid w:val="006B2531"/>
    <w:rsid w:val="006B2720"/>
    <w:rsid w:val="006B2773"/>
    <w:rsid w:val="006B2793"/>
    <w:rsid w:val="006B281F"/>
    <w:rsid w:val="006B295B"/>
    <w:rsid w:val="006B2980"/>
    <w:rsid w:val="006B2A15"/>
    <w:rsid w:val="006B2A8E"/>
    <w:rsid w:val="006B2AD7"/>
    <w:rsid w:val="006B2B5E"/>
    <w:rsid w:val="006B2C0D"/>
    <w:rsid w:val="006B2C9F"/>
    <w:rsid w:val="006B2D9B"/>
    <w:rsid w:val="006B2E96"/>
    <w:rsid w:val="006B2F95"/>
    <w:rsid w:val="006B2FAA"/>
    <w:rsid w:val="006B30ED"/>
    <w:rsid w:val="006B3187"/>
    <w:rsid w:val="006B31FD"/>
    <w:rsid w:val="006B32A8"/>
    <w:rsid w:val="006B32B9"/>
    <w:rsid w:val="006B3320"/>
    <w:rsid w:val="006B3368"/>
    <w:rsid w:val="006B343B"/>
    <w:rsid w:val="006B3473"/>
    <w:rsid w:val="006B34C7"/>
    <w:rsid w:val="006B366E"/>
    <w:rsid w:val="006B36DD"/>
    <w:rsid w:val="006B3753"/>
    <w:rsid w:val="006B375D"/>
    <w:rsid w:val="006B3863"/>
    <w:rsid w:val="006B3A6A"/>
    <w:rsid w:val="006B3AEB"/>
    <w:rsid w:val="006B3B35"/>
    <w:rsid w:val="006B3B8B"/>
    <w:rsid w:val="006B3BBB"/>
    <w:rsid w:val="006B3D52"/>
    <w:rsid w:val="006B3FAF"/>
    <w:rsid w:val="006B4113"/>
    <w:rsid w:val="006B42AD"/>
    <w:rsid w:val="006B4329"/>
    <w:rsid w:val="006B43B8"/>
    <w:rsid w:val="006B43CA"/>
    <w:rsid w:val="006B4453"/>
    <w:rsid w:val="006B44F6"/>
    <w:rsid w:val="006B4531"/>
    <w:rsid w:val="006B4533"/>
    <w:rsid w:val="006B4567"/>
    <w:rsid w:val="006B460F"/>
    <w:rsid w:val="006B4646"/>
    <w:rsid w:val="006B4873"/>
    <w:rsid w:val="006B4939"/>
    <w:rsid w:val="006B4990"/>
    <w:rsid w:val="006B4B8A"/>
    <w:rsid w:val="006B4CFF"/>
    <w:rsid w:val="006B4D5E"/>
    <w:rsid w:val="006B4D75"/>
    <w:rsid w:val="006B4EC7"/>
    <w:rsid w:val="006B4F28"/>
    <w:rsid w:val="006B4F2F"/>
    <w:rsid w:val="006B4FBE"/>
    <w:rsid w:val="006B506E"/>
    <w:rsid w:val="006B5086"/>
    <w:rsid w:val="006B50A3"/>
    <w:rsid w:val="006B51BD"/>
    <w:rsid w:val="006B5378"/>
    <w:rsid w:val="006B542F"/>
    <w:rsid w:val="006B547F"/>
    <w:rsid w:val="006B54CD"/>
    <w:rsid w:val="006B54E1"/>
    <w:rsid w:val="006B55E2"/>
    <w:rsid w:val="006B56EE"/>
    <w:rsid w:val="006B56F3"/>
    <w:rsid w:val="006B588A"/>
    <w:rsid w:val="006B58A1"/>
    <w:rsid w:val="006B58B5"/>
    <w:rsid w:val="006B5958"/>
    <w:rsid w:val="006B59AF"/>
    <w:rsid w:val="006B59EF"/>
    <w:rsid w:val="006B5AA3"/>
    <w:rsid w:val="006B5B10"/>
    <w:rsid w:val="006B5B44"/>
    <w:rsid w:val="006B5B5D"/>
    <w:rsid w:val="006B5BBE"/>
    <w:rsid w:val="006B5C25"/>
    <w:rsid w:val="006B5D03"/>
    <w:rsid w:val="006B5D3C"/>
    <w:rsid w:val="006B5E1F"/>
    <w:rsid w:val="006B5F1C"/>
    <w:rsid w:val="006B5FE0"/>
    <w:rsid w:val="006B606C"/>
    <w:rsid w:val="006B6124"/>
    <w:rsid w:val="006B61BC"/>
    <w:rsid w:val="006B61F6"/>
    <w:rsid w:val="006B6200"/>
    <w:rsid w:val="006B620D"/>
    <w:rsid w:val="006B631D"/>
    <w:rsid w:val="006B6427"/>
    <w:rsid w:val="006B646E"/>
    <w:rsid w:val="006B655C"/>
    <w:rsid w:val="006B65AA"/>
    <w:rsid w:val="006B65EA"/>
    <w:rsid w:val="006B668F"/>
    <w:rsid w:val="006B66CD"/>
    <w:rsid w:val="006B66E4"/>
    <w:rsid w:val="006B66FC"/>
    <w:rsid w:val="006B6748"/>
    <w:rsid w:val="006B67B2"/>
    <w:rsid w:val="006B67E2"/>
    <w:rsid w:val="006B68F7"/>
    <w:rsid w:val="006B697E"/>
    <w:rsid w:val="006B6AAB"/>
    <w:rsid w:val="006B6C2B"/>
    <w:rsid w:val="006B6C8F"/>
    <w:rsid w:val="006B6D54"/>
    <w:rsid w:val="006B6E08"/>
    <w:rsid w:val="006B6F29"/>
    <w:rsid w:val="006B701B"/>
    <w:rsid w:val="006B705C"/>
    <w:rsid w:val="006B7114"/>
    <w:rsid w:val="006B727C"/>
    <w:rsid w:val="006B73C7"/>
    <w:rsid w:val="006B7458"/>
    <w:rsid w:val="006B7463"/>
    <w:rsid w:val="006B7523"/>
    <w:rsid w:val="006B76D8"/>
    <w:rsid w:val="006B7793"/>
    <w:rsid w:val="006B77FE"/>
    <w:rsid w:val="006B79A7"/>
    <w:rsid w:val="006B7A67"/>
    <w:rsid w:val="006B7ABF"/>
    <w:rsid w:val="006B7B53"/>
    <w:rsid w:val="006B7B71"/>
    <w:rsid w:val="006B7BC6"/>
    <w:rsid w:val="006B7C10"/>
    <w:rsid w:val="006B7C2C"/>
    <w:rsid w:val="006B7CB5"/>
    <w:rsid w:val="006B7CC9"/>
    <w:rsid w:val="006B7D5E"/>
    <w:rsid w:val="006B7D88"/>
    <w:rsid w:val="006C00CE"/>
    <w:rsid w:val="006C0169"/>
    <w:rsid w:val="006C01A0"/>
    <w:rsid w:val="006C01B9"/>
    <w:rsid w:val="006C01DB"/>
    <w:rsid w:val="006C01E3"/>
    <w:rsid w:val="006C01E8"/>
    <w:rsid w:val="006C0202"/>
    <w:rsid w:val="006C022C"/>
    <w:rsid w:val="006C025A"/>
    <w:rsid w:val="006C02B8"/>
    <w:rsid w:val="006C030C"/>
    <w:rsid w:val="006C035F"/>
    <w:rsid w:val="006C03C4"/>
    <w:rsid w:val="006C03F8"/>
    <w:rsid w:val="006C04D0"/>
    <w:rsid w:val="006C0518"/>
    <w:rsid w:val="006C0554"/>
    <w:rsid w:val="006C0573"/>
    <w:rsid w:val="006C05BE"/>
    <w:rsid w:val="006C065F"/>
    <w:rsid w:val="006C0666"/>
    <w:rsid w:val="006C06A7"/>
    <w:rsid w:val="006C06B7"/>
    <w:rsid w:val="006C06C8"/>
    <w:rsid w:val="006C074D"/>
    <w:rsid w:val="006C07E4"/>
    <w:rsid w:val="006C08E7"/>
    <w:rsid w:val="006C0A53"/>
    <w:rsid w:val="006C0AFF"/>
    <w:rsid w:val="006C0B8B"/>
    <w:rsid w:val="006C0CC1"/>
    <w:rsid w:val="006C0D70"/>
    <w:rsid w:val="006C0D7A"/>
    <w:rsid w:val="006C0F6D"/>
    <w:rsid w:val="006C1078"/>
    <w:rsid w:val="006C1282"/>
    <w:rsid w:val="006C1287"/>
    <w:rsid w:val="006C12FD"/>
    <w:rsid w:val="006C1321"/>
    <w:rsid w:val="006C1342"/>
    <w:rsid w:val="006C1497"/>
    <w:rsid w:val="006C14D5"/>
    <w:rsid w:val="006C1694"/>
    <w:rsid w:val="006C170C"/>
    <w:rsid w:val="006C183E"/>
    <w:rsid w:val="006C1841"/>
    <w:rsid w:val="006C1A1E"/>
    <w:rsid w:val="006C1BA1"/>
    <w:rsid w:val="006C1BA4"/>
    <w:rsid w:val="006C1C5E"/>
    <w:rsid w:val="006C1CA9"/>
    <w:rsid w:val="006C1D4F"/>
    <w:rsid w:val="006C1E42"/>
    <w:rsid w:val="006C1E6D"/>
    <w:rsid w:val="006C1F61"/>
    <w:rsid w:val="006C214C"/>
    <w:rsid w:val="006C2178"/>
    <w:rsid w:val="006C23F4"/>
    <w:rsid w:val="006C245C"/>
    <w:rsid w:val="006C2516"/>
    <w:rsid w:val="006C251E"/>
    <w:rsid w:val="006C257A"/>
    <w:rsid w:val="006C258B"/>
    <w:rsid w:val="006C25B8"/>
    <w:rsid w:val="006C26F6"/>
    <w:rsid w:val="006C26FF"/>
    <w:rsid w:val="006C27C2"/>
    <w:rsid w:val="006C2877"/>
    <w:rsid w:val="006C295F"/>
    <w:rsid w:val="006C2988"/>
    <w:rsid w:val="006C2A67"/>
    <w:rsid w:val="006C2A69"/>
    <w:rsid w:val="006C2B90"/>
    <w:rsid w:val="006C2C9A"/>
    <w:rsid w:val="006C2D2A"/>
    <w:rsid w:val="006C2D39"/>
    <w:rsid w:val="006C2E16"/>
    <w:rsid w:val="006C2EE8"/>
    <w:rsid w:val="006C2F28"/>
    <w:rsid w:val="006C2F4E"/>
    <w:rsid w:val="006C309C"/>
    <w:rsid w:val="006C3144"/>
    <w:rsid w:val="006C3179"/>
    <w:rsid w:val="006C3193"/>
    <w:rsid w:val="006C31D3"/>
    <w:rsid w:val="006C31DF"/>
    <w:rsid w:val="006C33AB"/>
    <w:rsid w:val="006C33DB"/>
    <w:rsid w:val="006C3414"/>
    <w:rsid w:val="006C35D1"/>
    <w:rsid w:val="006C3669"/>
    <w:rsid w:val="006C373E"/>
    <w:rsid w:val="006C37E5"/>
    <w:rsid w:val="006C3842"/>
    <w:rsid w:val="006C385F"/>
    <w:rsid w:val="006C3935"/>
    <w:rsid w:val="006C3989"/>
    <w:rsid w:val="006C3992"/>
    <w:rsid w:val="006C39A6"/>
    <w:rsid w:val="006C3A1C"/>
    <w:rsid w:val="006C3A6D"/>
    <w:rsid w:val="006C3A8C"/>
    <w:rsid w:val="006C3B2A"/>
    <w:rsid w:val="006C3B61"/>
    <w:rsid w:val="006C3B67"/>
    <w:rsid w:val="006C3BBC"/>
    <w:rsid w:val="006C3D55"/>
    <w:rsid w:val="006C3E4E"/>
    <w:rsid w:val="006C401A"/>
    <w:rsid w:val="006C4041"/>
    <w:rsid w:val="006C40A7"/>
    <w:rsid w:val="006C428B"/>
    <w:rsid w:val="006C4397"/>
    <w:rsid w:val="006C43C0"/>
    <w:rsid w:val="006C43ED"/>
    <w:rsid w:val="006C444D"/>
    <w:rsid w:val="006C4506"/>
    <w:rsid w:val="006C4507"/>
    <w:rsid w:val="006C4548"/>
    <w:rsid w:val="006C457D"/>
    <w:rsid w:val="006C462F"/>
    <w:rsid w:val="006C46B1"/>
    <w:rsid w:val="006C46DC"/>
    <w:rsid w:val="006C4763"/>
    <w:rsid w:val="006C480E"/>
    <w:rsid w:val="006C4874"/>
    <w:rsid w:val="006C4A7F"/>
    <w:rsid w:val="006C4A9A"/>
    <w:rsid w:val="006C4AD3"/>
    <w:rsid w:val="006C4BD2"/>
    <w:rsid w:val="006C4CC3"/>
    <w:rsid w:val="006C4E2E"/>
    <w:rsid w:val="006C4E73"/>
    <w:rsid w:val="006C4F75"/>
    <w:rsid w:val="006C5003"/>
    <w:rsid w:val="006C5090"/>
    <w:rsid w:val="006C5133"/>
    <w:rsid w:val="006C515A"/>
    <w:rsid w:val="006C51B3"/>
    <w:rsid w:val="006C5244"/>
    <w:rsid w:val="006C525E"/>
    <w:rsid w:val="006C5294"/>
    <w:rsid w:val="006C52BF"/>
    <w:rsid w:val="006C53A0"/>
    <w:rsid w:val="006C53D6"/>
    <w:rsid w:val="006C53FF"/>
    <w:rsid w:val="006C54C2"/>
    <w:rsid w:val="006C54EC"/>
    <w:rsid w:val="006C5532"/>
    <w:rsid w:val="006C55AB"/>
    <w:rsid w:val="006C5605"/>
    <w:rsid w:val="006C56C6"/>
    <w:rsid w:val="006C577A"/>
    <w:rsid w:val="006C578B"/>
    <w:rsid w:val="006C5840"/>
    <w:rsid w:val="006C58D5"/>
    <w:rsid w:val="006C5980"/>
    <w:rsid w:val="006C598B"/>
    <w:rsid w:val="006C5AAF"/>
    <w:rsid w:val="006C5AC4"/>
    <w:rsid w:val="006C5B7A"/>
    <w:rsid w:val="006C5BB9"/>
    <w:rsid w:val="006C5C19"/>
    <w:rsid w:val="006C5C50"/>
    <w:rsid w:val="006C5CF3"/>
    <w:rsid w:val="006C5D6A"/>
    <w:rsid w:val="006C5DB2"/>
    <w:rsid w:val="006C5E20"/>
    <w:rsid w:val="006C5F0F"/>
    <w:rsid w:val="006C5FFB"/>
    <w:rsid w:val="006C6149"/>
    <w:rsid w:val="006C61BF"/>
    <w:rsid w:val="006C61C4"/>
    <w:rsid w:val="006C61D0"/>
    <w:rsid w:val="006C6299"/>
    <w:rsid w:val="006C62C5"/>
    <w:rsid w:val="006C6398"/>
    <w:rsid w:val="006C63B7"/>
    <w:rsid w:val="006C6621"/>
    <w:rsid w:val="006C6676"/>
    <w:rsid w:val="006C66D1"/>
    <w:rsid w:val="006C66E1"/>
    <w:rsid w:val="006C66F6"/>
    <w:rsid w:val="006C6705"/>
    <w:rsid w:val="006C67AB"/>
    <w:rsid w:val="006C67C3"/>
    <w:rsid w:val="006C67D7"/>
    <w:rsid w:val="006C6830"/>
    <w:rsid w:val="006C689F"/>
    <w:rsid w:val="006C6948"/>
    <w:rsid w:val="006C6973"/>
    <w:rsid w:val="006C6991"/>
    <w:rsid w:val="006C69D3"/>
    <w:rsid w:val="006C69E1"/>
    <w:rsid w:val="006C6A1C"/>
    <w:rsid w:val="006C6A8D"/>
    <w:rsid w:val="006C6AD6"/>
    <w:rsid w:val="006C6AE5"/>
    <w:rsid w:val="006C6B8D"/>
    <w:rsid w:val="006C6BDF"/>
    <w:rsid w:val="006C6CC0"/>
    <w:rsid w:val="006C6CDA"/>
    <w:rsid w:val="006C6E23"/>
    <w:rsid w:val="006C6EA6"/>
    <w:rsid w:val="006C6EEA"/>
    <w:rsid w:val="006C701D"/>
    <w:rsid w:val="006C7087"/>
    <w:rsid w:val="006C7133"/>
    <w:rsid w:val="006C7172"/>
    <w:rsid w:val="006C71EA"/>
    <w:rsid w:val="006C724F"/>
    <w:rsid w:val="006C729A"/>
    <w:rsid w:val="006C72C5"/>
    <w:rsid w:val="006C732B"/>
    <w:rsid w:val="006C73B2"/>
    <w:rsid w:val="006C7455"/>
    <w:rsid w:val="006C74FE"/>
    <w:rsid w:val="006C758C"/>
    <w:rsid w:val="006C75C2"/>
    <w:rsid w:val="006C7637"/>
    <w:rsid w:val="006C7749"/>
    <w:rsid w:val="006C7793"/>
    <w:rsid w:val="006C784C"/>
    <w:rsid w:val="006C7A67"/>
    <w:rsid w:val="006C7AAD"/>
    <w:rsid w:val="006C7AB7"/>
    <w:rsid w:val="006C7AC8"/>
    <w:rsid w:val="006C7BA7"/>
    <w:rsid w:val="006C7BC1"/>
    <w:rsid w:val="006C7C58"/>
    <w:rsid w:val="006C7CA8"/>
    <w:rsid w:val="006C7DC2"/>
    <w:rsid w:val="006C7E49"/>
    <w:rsid w:val="006C7E95"/>
    <w:rsid w:val="006C7EF7"/>
    <w:rsid w:val="006C7FFB"/>
    <w:rsid w:val="006D0063"/>
    <w:rsid w:val="006D014B"/>
    <w:rsid w:val="006D0178"/>
    <w:rsid w:val="006D01E9"/>
    <w:rsid w:val="006D0208"/>
    <w:rsid w:val="006D03D2"/>
    <w:rsid w:val="006D04AE"/>
    <w:rsid w:val="006D04CC"/>
    <w:rsid w:val="006D0529"/>
    <w:rsid w:val="006D055B"/>
    <w:rsid w:val="006D05E1"/>
    <w:rsid w:val="006D0706"/>
    <w:rsid w:val="006D0739"/>
    <w:rsid w:val="006D0740"/>
    <w:rsid w:val="006D0825"/>
    <w:rsid w:val="006D08AD"/>
    <w:rsid w:val="006D08EE"/>
    <w:rsid w:val="006D092D"/>
    <w:rsid w:val="006D096C"/>
    <w:rsid w:val="006D0A88"/>
    <w:rsid w:val="006D0B52"/>
    <w:rsid w:val="006D0C41"/>
    <w:rsid w:val="006D0CC5"/>
    <w:rsid w:val="006D0D20"/>
    <w:rsid w:val="006D0D39"/>
    <w:rsid w:val="006D0D6D"/>
    <w:rsid w:val="006D0DD2"/>
    <w:rsid w:val="006D0DD7"/>
    <w:rsid w:val="006D0DDB"/>
    <w:rsid w:val="006D0E41"/>
    <w:rsid w:val="006D0E60"/>
    <w:rsid w:val="006D1017"/>
    <w:rsid w:val="006D103F"/>
    <w:rsid w:val="006D1054"/>
    <w:rsid w:val="006D105A"/>
    <w:rsid w:val="006D1069"/>
    <w:rsid w:val="006D1174"/>
    <w:rsid w:val="006D11D4"/>
    <w:rsid w:val="006D1280"/>
    <w:rsid w:val="006D12AD"/>
    <w:rsid w:val="006D12B6"/>
    <w:rsid w:val="006D12F7"/>
    <w:rsid w:val="006D1342"/>
    <w:rsid w:val="006D1398"/>
    <w:rsid w:val="006D1492"/>
    <w:rsid w:val="006D149A"/>
    <w:rsid w:val="006D14F9"/>
    <w:rsid w:val="006D1554"/>
    <w:rsid w:val="006D1740"/>
    <w:rsid w:val="006D17A4"/>
    <w:rsid w:val="006D17BB"/>
    <w:rsid w:val="006D1836"/>
    <w:rsid w:val="006D18B3"/>
    <w:rsid w:val="006D18C9"/>
    <w:rsid w:val="006D18FD"/>
    <w:rsid w:val="006D1916"/>
    <w:rsid w:val="006D1A46"/>
    <w:rsid w:val="006D1B87"/>
    <w:rsid w:val="006D1D54"/>
    <w:rsid w:val="006D1DB3"/>
    <w:rsid w:val="006D1DEA"/>
    <w:rsid w:val="006D1E73"/>
    <w:rsid w:val="006D1EE3"/>
    <w:rsid w:val="006D1F75"/>
    <w:rsid w:val="006D1F77"/>
    <w:rsid w:val="006D200B"/>
    <w:rsid w:val="006D20B9"/>
    <w:rsid w:val="006D223E"/>
    <w:rsid w:val="006D23B5"/>
    <w:rsid w:val="006D23C1"/>
    <w:rsid w:val="006D23C8"/>
    <w:rsid w:val="006D248E"/>
    <w:rsid w:val="006D24E1"/>
    <w:rsid w:val="006D2701"/>
    <w:rsid w:val="006D276F"/>
    <w:rsid w:val="006D2837"/>
    <w:rsid w:val="006D2928"/>
    <w:rsid w:val="006D2957"/>
    <w:rsid w:val="006D2990"/>
    <w:rsid w:val="006D2A7D"/>
    <w:rsid w:val="006D2B6C"/>
    <w:rsid w:val="006D2BA9"/>
    <w:rsid w:val="006D2C0F"/>
    <w:rsid w:val="006D2CE1"/>
    <w:rsid w:val="006D2D40"/>
    <w:rsid w:val="006D2D9B"/>
    <w:rsid w:val="006D30C9"/>
    <w:rsid w:val="006D3215"/>
    <w:rsid w:val="006D3342"/>
    <w:rsid w:val="006D34CD"/>
    <w:rsid w:val="006D35CC"/>
    <w:rsid w:val="006D35DE"/>
    <w:rsid w:val="006D35FF"/>
    <w:rsid w:val="006D3630"/>
    <w:rsid w:val="006D3903"/>
    <w:rsid w:val="006D3920"/>
    <w:rsid w:val="006D3A0B"/>
    <w:rsid w:val="006D3A28"/>
    <w:rsid w:val="006D3A82"/>
    <w:rsid w:val="006D3B27"/>
    <w:rsid w:val="006D3B65"/>
    <w:rsid w:val="006D3C62"/>
    <w:rsid w:val="006D3CF8"/>
    <w:rsid w:val="006D3CFE"/>
    <w:rsid w:val="006D3DD3"/>
    <w:rsid w:val="006D3DFE"/>
    <w:rsid w:val="006D3E65"/>
    <w:rsid w:val="006D3E92"/>
    <w:rsid w:val="006D3EFA"/>
    <w:rsid w:val="006D3F2F"/>
    <w:rsid w:val="006D40EC"/>
    <w:rsid w:val="006D4220"/>
    <w:rsid w:val="006D426B"/>
    <w:rsid w:val="006D455B"/>
    <w:rsid w:val="006D462C"/>
    <w:rsid w:val="006D4672"/>
    <w:rsid w:val="006D4747"/>
    <w:rsid w:val="006D4758"/>
    <w:rsid w:val="006D478C"/>
    <w:rsid w:val="006D480A"/>
    <w:rsid w:val="006D4837"/>
    <w:rsid w:val="006D48AA"/>
    <w:rsid w:val="006D48D5"/>
    <w:rsid w:val="006D49AD"/>
    <w:rsid w:val="006D49D8"/>
    <w:rsid w:val="006D4A30"/>
    <w:rsid w:val="006D4B43"/>
    <w:rsid w:val="006D4B55"/>
    <w:rsid w:val="006D4BF7"/>
    <w:rsid w:val="006D4C06"/>
    <w:rsid w:val="006D4D97"/>
    <w:rsid w:val="006D4E1F"/>
    <w:rsid w:val="006D4E9C"/>
    <w:rsid w:val="006D4F50"/>
    <w:rsid w:val="006D4F74"/>
    <w:rsid w:val="006D4F99"/>
    <w:rsid w:val="006D4FAE"/>
    <w:rsid w:val="006D4FB6"/>
    <w:rsid w:val="006D503D"/>
    <w:rsid w:val="006D508F"/>
    <w:rsid w:val="006D50DB"/>
    <w:rsid w:val="006D50E1"/>
    <w:rsid w:val="006D5100"/>
    <w:rsid w:val="006D5115"/>
    <w:rsid w:val="006D5301"/>
    <w:rsid w:val="006D554D"/>
    <w:rsid w:val="006D55B5"/>
    <w:rsid w:val="006D561E"/>
    <w:rsid w:val="006D5632"/>
    <w:rsid w:val="006D56F9"/>
    <w:rsid w:val="006D5766"/>
    <w:rsid w:val="006D57ED"/>
    <w:rsid w:val="006D58DC"/>
    <w:rsid w:val="006D58E6"/>
    <w:rsid w:val="006D5982"/>
    <w:rsid w:val="006D5993"/>
    <w:rsid w:val="006D5A0E"/>
    <w:rsid w:val="006D5A4D"/>
    <w:rsid w:val="006D5A7E"/>
    <w:rsid w:val="006D5A90"/>
    <w:rsid w:val="006D5A9D"/>
    <w:rsid w:val="006D5B3C"/>
    <w:rsid w:val="006D5C04"/>
    <w:rsid w:val="006D5C46"/>
    <w:rsid w:val="006D5CA0"/>
    <w:rsid w:val="006D5D15"/>
    <w:rsid w:val="006D5E2A"/>
    <w:rsid w:val="006D5E50"/>
    <w:rsid w:val="006D5E6A"/>
    <w:rsid w:val="006D5F66"/>
    <w:rsid w:val="006D5F81"/>
    <w:rsid w:val="006D5FC8"/>
    <w:rsid w:val="006D5FD9"/>
    <w:rsid w:val="006D5FF8"/>
    <w:rsid w:val="006D600E"/>
    <w:rsid w:val="006D6386"/>
    <w:rsid w:val="006D6421"/>
    <w:rsid w:val="006D6591"/>
    <w:rsid w:val="006D6636"/>
    <w:rsid w:val="006D66BB"/>
    <w:rsid w:val="006D6775"/>
    <w:rsid w:val="006D67E5"/>
    <w:rsid w:val="006D689D"/>
    <w:rsid w:val="006D68CB"/>
    <w:rsid w:val="006D6928"/>
    <w:rsid w:val="006D69EB"/>
    <w:rsid w:val="006D69F9"/>
    <w:rsid w:val="006D6A2E"/>
    <w:rsid w:val="006D6AEC"/>
    <w:rsid w:val="006D6BB8"/>
    <w:rsid w:val="006D6BC4"/>
    <w:rsid w:val="006D6C35"/>
    <w:rsid w:val="006D6CAE"/>
    <w:rsid w:val="006D6DAC"/>
    <w:rsid w:val="006D6DD7"/>
    <w:rsid w:val="006D6E00"/>
    <w:rsid w:val="006D6E3B"/>
    <w:rsid w:val="006D6E50"/>
    <w:rsid w:val="006D6E83"/>
    <w:rsid w:val="006D6E84"/>
    <w:rsid w:val="006D6EA8"/>
    <w:rsid w:val="006D6EC0"/>
    <w:rsid w:val="006D6F57"/>
    <w:rsid w:val="006D70BC"/>
    <w:rsid w:val="006D7261"/>
    <w:rsid w:val="006D7316"/>
    <w:rsid w:val="006D7322"/>
    <w:rsid w:val="006D736A"/>
    <w:rsid w:val="006D73A2"/>
    <w:rsid w:val="006D758B"/>
    <w:rsid w:val="006D75AF"/>
    <w:rsid w:val="006D77A6"/>
    <w:rsid w:val="006D77FB"/>
    <w:rsid w:val="006D7AF8"/>
    <w:rsid w:val="006D7AFB"/>
    <w:rsid w:val="006D7C00"/>
    <w:rsid w:val="006D7C59"/>
    <w:rsid w:val="006D7D3D"/>
    <w:rsid w:val="006D7E21"/>
    <w:rsid w:val="006E0118"/>
    <w:rsid w:val="006E0321"/>
    <w:rsid w:val="006E0335"/>
    <w:rsid w:val="006E037A"/>
    <w:rsid w:val="006E03CA"/>
    <w:rsid w:val="006E04D2"/>
    <w:rsid w:val="006E0511"/>
    <w:rsid w:val="006E0552"/>
    <w:rsid w:val="006E05A6"/>
    <w:rsid w:val="006E05C8"/>
    <w:rsid w:val="006E0621"/>
    <w:rsid w:val="006E066B"/>
    <w:rsid w:val="006E070A"/>
    <w:rsid w:val="006E0864"/>
    <w:rsid w:val="006E08E5"/>
    <w:rsid w:val="006E0932"/>
    <w:rsid w:val="006E098D"/>
    <w:rsid w:val="006E0A48"/>
    <w:rsid w:val="006E0A9A"/>
    <w:rsid w:val="006E0B0D"/>
    <w:rsid w:val="006E0C2C"/>
    <w:rsid w:val="006E0C88"/>
    <w:rsid w:val="006E0E27"/>
    <w:rsid w:val="006E0F05"/>
    <w:rsid w:val="006E0F8D"/>
    <w:rsid w:val="006E0FC6"/>
    <w:rsid w:val="006E0FF6"/>
    <w:rsid w:val="006E108D"/>
    <w:rsid w:val="006E11B1"/>
    <w:rsid w:val="006E11D9"/>
    <w:rsid w:val="006E129D"/>
    <w:rsid w:val="006E12FD"/>
    <w:rsid w:val="006E131C"/>
    <w:rsid w:val="006E142C"/>
    <w:rsid w:val="006E1455"/>
    <w:rsid w:val="006E151E"/>
    <w:rsid w:val="006E157B"/>
    <w:rsid w:val="006E168D"/>
    <w:rsid w:val="006E16D9"/>
    <w:rsid w:val="006E176B"/>
    <w:rsid w:val="006E185B"/>
    <w:rsid w:val="006E18D2"/>
    <w:rsid w:val="006E18DC"/>
    <w:rsid w:val="006E19BD"/>
    <w:rsid w:val="006E19C3"/>
    <w:rsid w:val="006E19EB"/>
    <w:rsid w:val="006E19F7"/>
    <w:rsid w:val="006E1B62"/>
    <w:rsid w:val="006E1BA6"/>
    <w:rsid w:val="006E1BFB"/>
    <w:rsid w:val="006E1C95"/>
    <w:rsid w:val="006E1D2E"/>
    <w:rsid w:val="006E1DCC"/>
    <w:rsid w:val="006E1F01"/>
    <w:rsid w:val="006E1F7E"/>
    <w:rsid w:val="006E1FE1"/>
    <w:rsid w:val="006E203F"/>
    <w:rsid w:val="006E207D"/>
    <w:rsid w:val="006E21F5"/>
    <w:rsid w:val="006E2215"/>
    <w:rsid w:val="006E226E"/>
    <w:rsid w:val="006E22CD"/>
    <w:rsid w:val="006E2348"/>
    <w:rsid w:val="006E2427"/>
    <w:rsid w:val="006E251F"/>
    <w:rsid w:val="006E25D8"/>
    <w:rsid w:val="006E2607"/>
    <w:rsid w:val="006E261D"/>
    <w:rsid w:val="006E2719"/>
    <w:rsid w:val="006E2764"/>
    <w:rsid w:val="006E2775"/>
    <w:rsid w:val="006E2833"/>
    <w:rsid w:val="006E287A"/>
    <w:rsid w:val="006E28CB"/>
    <w:rsid w:val="006E2916"/>
    <w:rsid w:val="006E2920"/>
    <w:rsid w:val="006E29A9"/>
    <w:rsid w:val="006E2AAC"/>
    <w:rsid w:val="006E2AD7"/>
    <w:rsid w:val="006E2B4A"/>
    <w:rsid w:val="006E2B7C"/>
    <w:rsid w:val="006E2C31"/>
    <w:rsid w:val="006E2DA9"/>
    <w:rsid w:val="006E3090"/>
    <w:rsid w:val="006E319F"/>
    <w:rsid w:val="006E31CF"/>
    <w:rsid w:val="006E32EC"/>
    <w:rsid w:val="006E331C"/>
    <w:rsid w:val="006E3323"/>
    <w:rsid w:val="006E333E"/>
    <w:rsid w:val="006E3509"/>
    <w:rsid w:val="006E35B7"/>
    <w:rsid w:val="006E35C3"/>
    <w:rsid w:val="006E35F8"/>
    <w:rsid w:val="006E372C"/>
    <w:rsid w:val="006E378F"/>
    <w:rsid w:val="006E3799"/>
    <w:rsid w:val="006E37E1"/>
    <w:rsid w:val="006E3896"/>
    <w:rsid w:val="006E38A5"/>
    <w:rsid w:val="006E3956"/>
    <w:rsid w:val="006E395C"/>
    <w:rsid w:val="006E39BE"/>
    <w:rsid w:val="006E3A98"/>
    <w:rsid w:val="006E3A9B"/>
    <w:rsid w:val="006E3B19"/>
    <w:rsid w:val="006E3B8E"/>
    <w:rsid w:val="006E3BBC"/>
    <w:rsid w:val="006E3BD1"/>
    <w:rsid w:val="006E3C41"/>
    <w:rsid w:val="006E3CFD"/>
    <w:rsid w:val="006E3DC0"/>
    <w:rsid w:val="006E3DC4"/>
    <w:rsid w:val="006E3E09"/>
    <w:rsid w:val="006E3E2A"/>
    <w:rsid w:val="006E3F52"/>
    <w:rsid w:val="006E400C"/>
    <w:rsid w:val="006E402D"/>
    <w:rsid w:val="006E4114"/>
    <w:rsid w:val="006E42C7"/>
    <w:rsid w:val="006E42F8"/>
    <w:rsid w:val="006E4326"/>
    <w:rsid w:val="006E4631"/>
    <w:rsid w:val="006E467C"/>
    <w:rsid w:val="006E4757"/>
    <w:rsid w:val="006E4840"/>
    <w:rsid w:val="006E485F"/>
    <w:rsid w:val="006E48F8"/>
    <w:rsid w:val="006E498F"/>
    <w:rsid w:val="006E4ADB"/>
    <w:rsid w:val="006E4B36"/>
    <w:rsid w:val="006E4B79"/>
    <w:rsid w:val="006E4B8F"/>
    <w:rsid w:val="006E4BDE"/>
    <w:rsid w:val="006E4BF4"/>
    <w:rsid w:val="006E4C2B"/>
    <w:rsid w:val="006E4C32"/>
    <w:rsid w:val="006E4C38"/>
    <w:rsid w:val="006E4C67"/>
    <w:rsid w:val="006E4C85"/>
    <w:rsid w:val="006E4CB8"/>
    <w:rsid w:val="006E4CD4"/>
    <w:rsid w:val="006E4F71"/>
    <w:rsid w:val="006E500B"/>
    <w:rsid w:val="006E5079"/>
    <w:rsid w:val="006E520C"/>
    <w:rsid w:val="006E5326"/>
    <w:rsid w:val="006E5343"/>
    <w:rsid w:val="006E53C7"/>
    <w:rsid w:val="006E5460"/>
    <w:rsid w:val="006E5514"/>
    <w:rsid w:val="006E5539"/>
    <w:rsid w:val="006E5561"/>
    <w:rsid w:val="006E55FE"/>
    <w:rsid w:val="006E5644"/>
    <w:rsid w:val="006E568F"/>
    <w:rsid w:val="006E56D7"/>
    <w:rsid w:val="006E570C"/>
    <w:rsid w:val="006E5716"/>
    <w:rsid w:val="006E57B1"/>
    <w:rsid w:val="006E588B"/>
    <w:rsid w:val="006E58C2"/>
    <w:rsid w:val="006E5934"/>
    <w:rsid w:val="006E595E"/>
    <w:rsid w:val="006E597E"/>
    <w:rsid w:val="006E59C2"/>
    <w:rsid w:val="006E5C40"/>
    <w:rsid w:val="006E5CA3"/>
    <w:rsid w:val="006E5CDB"/>
    <w:rsid w:val="006E5D4C"/>
    <w:rsid w:val="006E5E5B"/>
    <w:rsid w:val="006E5E64"/>
    <w:rsid w:val="006E5F9F"/>
    <w:rsid w:val="006E6013"/>
    <w:rsid w:val="006E6069"/>
    <w:rsid w:val="006E60FB"/>
    <w:rsid w:val="006E61F0"/>
    <w:rsid w:val="006E620B"/>
    <w:rsid w:val="006E62D2"/>
    <w:rsid w:val="006E6626"/>
    <w:rsid w:val="006E675A"/>
    <w:rsid w:val="006E68A3"/>
    <w:rsid w:val="006E68B4"/>
    <w:rsid w:val="006E68BE"/>
    <w:rsid w:val="006E68C8"/>
    <w:rsid w:val="006E6A5A"/>
    <w:rsid w:val="006E6ADA"/>
    <w:rsid w:val="006E6B30"/>
    <w:rsid w:val="006E6B60"/>
    <w:rsid w:val="006E6BB2"/>
    <w:rsid w:val="006E6C21"/>
    <w:rsid w:val="006E6D97"/>
    <w:rsid w:val="006E6E02"/>
    <w:rsid w:val="006E6E32"/>
    <w:rsid w:val="006E6E75"/>
    <w:rsid w:val="006E6F1B"/>
    <w:rsid w:val="006E6F54"/>
    <w:rsid w:val="006E6F5E"/>
    <w:rsid w:val="006E6F63"/>
    <w:rsid w:val="006E707C"/>
    <w:rsid w:val="006E7183"/>
    <w:rsid w:val="006E7215"/>
    <w:rsid w:val="006E723C"/>
    <w:rsid w:val="006E737C"/>
    <w:rsid w:val="006E74D0"/>
    <w:rsid w:val="006E74DC"/>
    <w:rsid w:val="006E7546"/>
    <w:rsid w:val="006E754F"/>
    <w:rsid w:val="006E7558"/>
    <w:rsid w:val="006E75B3"/>
    <w:rsid w:val="006E76B7"/>
    <w:rsid w:val="006E7758"/>
    <w:rsid w:val="006E7876"/>
    <w:rsid w:val="006E792E"/>
    <w:rsid w:val="006E79CC"/>
    <w:rsid w:val="006E7A0C"/>
    <w:rsid w:val="006E7A28"/>
    <w:rsid w:val="006E7B34"/>
    <w:rsid w:val="006E7B43"/>
    <w:rsid w:val="006E7B95"/>
    <w:rsid w:val="006E7CA4"/>
    <w:rsid w:val="006E7CBA"/>
    <w:rsid w:val="006E7D59"/>
    <w:rsid w:val="006E7E2B"/>
    <w:rsid w:val="006E7E35"/>
    <w:rsid w:val="006E7E46"/>
    <w:rsid w:val="006E7F45"/>
    <w:rsid w:val="006E7F47"/>
    <w:rsid w:val="006E7FC2"/>
    <w:rsid w:val="006E7FE7"/>
    <w:rsid w:val="006F017F"/>
    <w:rsid w:val="006F0183"/>
    <w:rsid w:val="006F01AD"/>
    <w:rsid w:val="006F01B3"/>
    <w:rsid w:val="006F01BA"/>
    <w:rsid w:val="006F032B"/>
    <w:rsid w:val="006F03FC"/>
    <w:rsid w:val="006F0434"/>
    <w:rsid w:val="006F0448"/>
    <w:rsid w:val="006F0505"/>
    <w:rsid w:val="006F0589"/>
    <w:rsid w:val="006F06BF"/>
    <w:rsid w:val="006F07FB"/>
    <w:rsid w:val="006F0815"/>
    <w:rsid w:val="006F0818"/>
    <w:rsid w:val="006F0858"/>
    <w:rsid w:val="006F0883"/>
    <w:rsid w:val="006F0996"/>
    <w:rsid w:val="006F0A32"/>
    <w:rsid w:val="006F0AEB"/>
    <w:rsid w:val="006F0B06"/>
    <w:rsid w:val="006F0B0E"/>
    <w:rsid w:val="006F0B77"/>
    <w:rsid w:val="006F0BAC"/>
    <w:rsid w:val="006F0BAF"/>
    <w:rsid w:val="006F0C2B"/>
    <w:rsid w:val="006F0C34"/>
    <w:rsid w:val="006F0CCA"/>
    <w:rsid w:val="006F0D19"/>
    <w:rsid w:val="006F0DA1"/>
    <w:rsid w:val="006F0DD3"/>
    <w:rsid w:val="006F0DE8"/>
    <w:rsid w:val="006F0E49"/>
    <w:rsid w:val="006F0EA6"/>
    <w:rsid w:val="006F0F9B"/>
    <w:rsid w:val="006F1077"/>
    <w:rsid w:val="006F10E0"/>
    <w:rsid w:val="006F1109"/>
    <w:rsid w:val="006F115F"/>
    <w:rsid w:val="006F11B9"/>
    <w:rsid w:val="006F125F"/>
    <w:rsid w:val="006F1268"/>
    <w:rsid w:val="006F12A4"/>
    <w:rsid w:val="006F1387"/>
    <w:rsid w:val="006F148B"/>
    <w:rsid w:val="006F1496"/>
    <w:rsid w:val="006F14CD"/>
    <w:rsid w:val="006F152F"/>
    <w:rsid w:val="006F157D"/>
    <w:rsid w:val="006F16BC"/>
    <w:rsid w:val="006F16CE"/>
    <w:rsid w:val="006F1719"/>
    <w:rsid w:val="006F189B"/>
    <w:rsid w:val="006F18CA"/>
    <w:rsid w:val="006F1977"/>
    <w:rsid w:val="006F19B9"/>
    <w:rsid w:val="006F1A7C"/>
    <w:rsid w:val="006F1B32"/>
    <w:rsid w:val="006F1B3A"/>
    <w:rsid w:val="006F1D91"/>
    <w:rsid w:val="006F1DE7"/>
    <w:rsid w:val="006F1EC1"/>
    <w:rsid w:val="006F1EFF"/>
    <w:rsid w:val="006F2010"/>
    <w:rsid w:val="006F201B"/>
    <w:rsid w:val="006F209B"/>
    <w:rsid w:val="006F2166"/>
    <w:rsid w:val="006F216B"/>
    <w:rsid w:val="006F21C7"/>
    <w:rsid w:val="006F24AD"/>
    <w:rsid w:val="006F2538"/>
    <w:rsid w:val="006F2620"/>
    <w:rsid w:val="006F2799"/>
    <w:rsid w:val="006F27F4"/>
    <w:rsid w:val="006F286F"/>
    <w:rsid w:val="006F28EF"/>
    <w:rsid w:val="006F295B"/>
    <w:rsid w:val="006F2B18"/>
    <w:rsid w:val="006F2B69"/>
    <w:rsid w:val="006F2BD1"/>
    <w:rsid w:val="006F2BF9"/>
    <w:rsid w:val="006F2D50"/>
    <w:rsid w:val="006F2D5C"/>
    <w:rsid w:val="006F2DED"/>
    <w:rsid w:val="006F2E5E"/>
    <w:rsid w:val="006F2F2C"/>
    <w:rsid w:val="006F2F6A"/>
    <w:rsid w:val="006F2FB4"/>
    <w:rsid w:val="006F30C5"/>
    <w:rsid w:val="006F3112"/>
    <w:rsid w:val="006F3118"/>
    <w:rsid w:val="006F3138"/>
    <w:rsid w:val="006F3236"/>
    <w:rsid w:val="006F3331"/>
    <w:rsid w:val="006F33BA"/>
    <w:rsid w:val="006F3425"/>
    <w:rsid w:val="006F3515"/>
    <w:rsid w:val="006F352E"/>
    <w:rsid w:val="006F3552"/>
    <w:rsid w:val="006F358B"/>
    <w:rsid w:val="006F35A7"/>
    <w:rsid w:val="006F35B6"/>
    <w:rsid w:val="006F35C4"/>
    <w:rsid w:val="006F3602"/>
    <w:rsid w:val="006F36B4"/>
    <w:rsid w:val="006F3737"/>
    <w:rsid w:val="006F3778"/>
    <w:rsid w:val="006F3783"/>
    <w:rsid w:val="006F379F"/>
    <w:rsid w:val="006F37B0"/>
    <w:rsid w:val="006F37B3"/>
    <w:rsid w:val="006F38B1"/>
    <w:rsid w:val="006F39C8"/>
    <w:rsid w:val="006F3A8C"/>
    <w:rsid w:val="006F3AB1"/>
    <w:rsid w:val="006F3ACB"/>
    <w:rsid w:val="006F3B23"/>
    <w:rsid w:val="006F3B2B"/>
    <w:rsid w:val="006F3BB9"/>
    <w:rsid w:val="006F3C62"/>
    <w:rsid w:val="006F3DB7"/>
    <w:rsid w:val="006F3E0A"/>
    <w:rsid w:val="006F3EB7"/>
    <w:rsid w:val="006F3F21"/>
    <w:rsid w:val="006F400F"/>
    <w:rsid w:val="006F402B"/>
    <w:rsid w:val="006F40F0"/>
    <w:rsid w:val="006F425B"/>
    <w:rsid w:val="006F42AC"/>
    <w:rsid w:val="006F42DC"/>
    <w:rsid w:val="006F4318"/>
    <w:rsid w:val="006F4337"/>
    <w:rsid w:val="006F4367"/>
    <w:rsid w:val="006F438A"/>
    <w:rsid w:val="006F4408"/>
    <w:rsid w:val="006F4435"/>
    <w:rsid w:val="006F443D"/>
    <w:rsid w:val="006F4470"/>
    <w:rsid w:val="006F4480"/>
    <w:rsid w:val="006F44FB"/>
    <w:rsid w:val="006F4513"/>
    <w:rsid w:val="006F4566"/>
    <w:rsid w:val="006F45BC"/>
    <w:rsid w:val="006F4611"/>
    <w:rsid w:val="006F4691"/>
    <w:rsid w:val="006F47F9"/>
    <w:rsid w:val="006F4848"/>
    <w:rsid w:val="006F484A"/>
    <w:rsid w:val="006F4919"/>
    <w:rsid w:val="006F491E"/>
    <w:rsid w:val="006F4945"/>
    <w:rsid w:val="006F4A9C"/>
    <w:rsid w:val="006F4B19"/>
    <w:rsid w:val="006F4BB4"/>
    <w:rsid w:val="006F4C97"/>
    <w:rsid w:val="006F4D36"/>
    <w:rsid w:val="006F4D95"/>
    <w:rsid w:val="006F4E0D"/>
    <w:rsid w:val="006F4EA8"/>
    <w:rsid w:val="006F503C"/>
    <w:rsid w:val="006F517B"/>
    <w:rsid w:val="006F52BB"/>
    <w:rsid w:val="006F53F9"/>
    <w:rsid w:val="006F54DD"/>
    <w:rsid w:val="006F5585"/>
    <w:rsid w:val="006F57B6"/>
    <w:rsid w:val="006F58E8"/>
    <w:rsid w:val="006F5922"/>
    <w:rsid w:val="006F5937"/>
    <w:rsid w:val="006F5971"/>
    <w:rsid w:val="006F5AA9"/>
    <w:rsid w:val="006F5AE9"/>
    <w:rsid w:val="006F5AF8"/>
    <w:rsid w:val="006F5B1C"/>
    <w:rsid w:val="006F5CC3"/>
    <w:rsid w:val="006F5E1E"/>
    <w:rsid w:val="006F5EED"/>
    <w:rsid w:val="006F5F0C"/>
    <w:rsid w:val="006F5FD6"/>
    <w:rsid w:val="006F6080"/>
    <w:rsid w:val="006F6257"/>
    <w:rsid w:val="006F6289"/>
    <w:rsid w:val="006F632D"/>
    <w:rsid w:val="006F6353"/>
    <w:rsid w:val="006F63CE"/>
    <w:rsid w:val="006F6453"/>
    <w:rsid w:val="006F649E"/>
    <w:rsid w:val="006F64C1"/>
    <w:rsid w:val="006F662E"/>
    <w:rsid w:val="006F663C"/>
    <w:rsid w:val="006F6669"/>
    <w:rsid w:val="006F66CE"/>
    <w:rsid w:val="006F66D1"/>
    <w:rsid w:val="006F67CD"/>
    <w:rsid w:val="006F6815"/>
    <w:rsid w:val="006F68C9"/>
    <w:rsid w:val="006F6963"/>
    <w:rsid w:val="006F6A09"/>
    <w:rsid w:val="006F6A2E"/>
    <w:rsid w:val="006F6A3C"/>
    <w:rsid w:val="006F6A99"/>
    <w:rsid w:val="006F6ABE"/>
    <w:rsid w:val="006F6AFB"/>
    <w:rsid w:val="006F6B16"/>
    <w:rsid w:val="006F6BA5"/>
    <w:rsid w:val="006F6BEE"/>
    <w:rsid w:val="006F6C2B"/>
    <w:rsid w:val="006F6C35"/>
    <w:rsid w:val="006F6D6E"/>
    <w:rsid w:val="006F6E51"/>
    <w:rsid w:val="006F6FA1"/>
    <w:rsid w:val="006F706A"/>
    <w:rsid w:val="006F7128"/>
    <w:rsid w:val="006F715D"/>
    <w:rsid w:val="006F71BA"/>
    <w:rsid w:val="006F7235"/>
    <w:rsid w:val="006F72FF"/>
    <w:rsid w:val="006F7354"/>
    <w:rsid w:val="006F737F"/>
    <w:rsid w:val="006F7380"/>
    <w:rsid w:val="006F7457"/>
    <w:rsid w:val="006F7485"/>
    <w:rsid w:val="006F74BB"/>
    <w:rsid w:val="006F75C6"/>
    <w:rsid w:val="006F76A0"/>
    <w:rsid w:val="006F77AF"/>
    <w:rsid w:val="006F77B0"/>
    <w:rsid w:val="006F77D8"/>
    <w:rsid w:val="006F78E5"/>
    <w:rsid w:val="006F798C"/>
    <w:rsid w:val="006F7AD2"/>
    <w:rsid w:val="006F7B85"/>
    <w:rsid w:val="006F7BC4"/>
    <w:rsid w:val="006F7BFF"/>
    <w:rsid w:val="006F7C0F"/>
    <w:rsid w:val="006F7E0D"/>
    <w:rsid w:val="006F7E9A"/>
    <w:rsid w:val="006F7EE4"/>
    <w:rsid w:val="006F7EEE"/>
    <w:rsid w:val="006F7F30"/>
    <w:rsid w:val="00700044"/>
    <w:rsid w:val="007000CA"/>
    <w:rsid w:val="007001A1"/>
    <w:rsid w:val="007001E5"/>
    <w:rsid w:val="00700307"/>
    <w:rsid w:val="00700309"/>
    <w:rsid w:val="007003E4"/>
    <w:rsid w:val="007004AC"/>
    <w:rsid w:val="007004FE"/>
    <w:rsid w:val="00700557"/>
    <w:rsid w:val="007005C5"/>
    <w:rsid w:val="00700618"/>
    <w:rsid w:val="0070061C"/>
    <w:rsid w:val="007006F7"/>
    <w:rsid w:val="00700732"/>
    <w:rsid w:val="0070079A"/>
    <w:rsid w:val="007007B4"/>
    <w:rsid w:val="007007B6"/>
    <w:rsid w:val="00700AAC"/>
    <w:rsid w:val="00700AE9"/>
    <w:rsid w:val="00700B73"/>
    <w:rsid w:val="00700BA9"/>
    <w:rsid w:val="00700CD1"/>
    <w:rsid w:val="00700CD7"/>
    <w:rsid w:val="00700DB2"/>
    <w:rsid w:val="00700E81"/>
    <w:rsid w:val="00700F10"/>
    <w:rsid w:val="00700F8C"/>
    <w:rsid w:val="00700FE4"/>
    <w:rsid w:val="00701059"/>
    <w:rsid w:val="007010B6"/>
    <w:rsid w:val="0070110E"/>
    <w:rsid w:val="0070111D"/>
    <w:rsid w:val="0070123E"/>
    <w:rsid w:val="00701280"/>
    <w:rsid w:val="0070129F"/>
    <w:rsid w:val="00701341"/>
    <w:rsid w:val="0070136D"/>
    <w:rsid w:val="007013AE"/>
    <w:rsid w:val="007014A7"/>
    <w:rsid w:val="00701536"/>
    <w:rsid w:val="00701582"/>
    <w:rsid w:val="007016E7"/>
    <w:rsid w:val="00701769"/>
    <w:rsid w:val="007017B4"/>
    <w:rsid w:val="007017F7"/>
    <w:rsid w:val="00701951"/>
    <w:rsid w:val="0070196E"/>
    <w:rsid w:val="0070199B"/>
    <w:rsid w:val="007019A6"/>
    <w:rsid w:val="007019D7"/>
    <w:rsid w:val="00701A02"/>
    <w:rsid w:val="00701A82"/>
    <w:rsid w:val="00701C83"/>
    <w:rsid w:val="00701CA8"/>
    <w:rsid w:val="00701CBC"/>
    <w:rsid w:val="00701D52"/>
    <w:rsid w:val="00701D6D"/>
    <w:rsid w:val="00701ED2"/>
    <w:rsid w:val="00701F30"/>
    <w:rsid w:val="00701FB4"/>
    <w:rsid w:val="00702049"/>
    <w:rsid w:val="00702083"/>
    <w:rsid w:val="00702235"/>
    <w:rsid w:val="007022C3"/>
    <w:rsid w:val="007023A5"/>
    <w:rsid w:val="0070244E"/>
    <w:rsid w:val="007024FB"/>
    <w:rsid w:val="007025E6"/>
    <w:rsid w:val="0070260E"/>
    <w:rsid w:val="00702612"/>
    <w:rsid w:val="00702679"/>
    <w:rsid w:val="007026C5"/>
    <w:rsid w:val="00702702"/>
    <w:rsid w:val="00702721"/>
    <w:rsid w:val="0070279A"/>
    <w:rsid w:val="00702897"/>
    <w:rsid w:val="007028D9"/>
    <w:rsid w:val="0070296F"/>
    <w:rsid w:val="00702A16"/>
    <w:rsid w:val="00702A30"/>
    <w:rsid w:val="00702B57"/>
    <w:rsid w:val="00702B65"/>
    <w:rsid w:val="00702B7C"/>
    <w:rsid w:val="00702D5D"/>
    <w:rsid w:val="00702D5F"/>
    <w:rsid w:val="00702DAF"/>
    <w:rsid w:val="00702EBE"/>
    <w:rsid w:val="00702F75"/>
    <w:rsid w:val="0070308E"/>
    <w:rsid w:val="00703098"/>
    <w:rsid w:val="00703148"/>
    <w:rsid w:val="007032AA"/>
    <w:rsid w:val="0070337E"/>
    <w:rsid w:val="00703380"/>
    <w:rsid w:val="0070355A"/>
    <w:rsid w:val="007037DD"/>
    <w:rsid w:val="007038B4"/>
    <w:rsid w:val="00703908"/>
    <w:rsid w:val="00703957"/>
    <w:rsid w:val="00703A55"/>
    <w:rsid w:val="00703A57"/>
    <w:rsid w:val="00703B30"/>
    <w:rsid w:val="00703B3E"/>
    <w:rsid w:val="00703C95"/>
    <w:rsid w:val="00703D26"/>
    <w:rsid w:val="00703DAF"/>
    <w:rsid w:val="00703DFB"/>
    <w:rsid w:val="00703ED6"/>
    <w:rsid w:val="00703F0B"/>
    <w:rsid w:val="00703F13"/>
    <w:rsid w:val="0070404F"/>
    <w:rsid w:val="00704120"/>
    <w:rsid w:val="00704145"/>
    <w:rsid w:val="0070418A"/>
    <w:rsid w:val="0070423F"/>
    <w:rsid w:val="00704241"/>
    <w:rsid w:val="00704259"/>
    <w:rsid w:val="007042EC"/>
    <w:rsid w:val="00704367"/>
    <w:rsid w:val="007044DB"/>
    <w:rsid w:val="007044FB"/>
    <w:rsid w:val="00704563"/>
    <w:rsid w:val="00704787"/>
    <w:rsid w:val="007048C8"/>
    <w:rsid w:val="007048F9"/>
    <w:rsid w:val="0070495F"/>
    <w:rsid w:val="007049E1"/>
    <w:rsid w:val="007049FB"/>
    <w:rsid w:val="00704A7F"/>
    <w:rsid w:val="00704B24"/>
    <w:rsid w:val="00704B78"/>
    <w:rsid w:val="00704B81"/>
    <w:rsid w:val="00704B9D"/>
    <w:rsid w:val="00704B9F"/>
    <w:rsid w:val="00704BA1"/>
    <w:rsid w:val="00704BC6"/>
    <w:rsid w:val="00704C8C"/>
    <w:rsid w:val="00704D3E"/>
    <w:rsid w:val="00704D41"/>
    <w:rsid w:val="00704DCB"/>
    <w:rsid w:val="00704DF4"/>
    <w:rsid w:val="00704E29"/>
    <w:rsid w:val="00704F50"/>
    <w:rsid w:val="00704FA2"/>
    <w:rsid w:val="00704FAC"/>
    <w:rsid w:val="00704FB8"/>
    <w:rsid w:val="00704FBF"/>
    <w:rsid w:val="0070517D"/>
    <w:rsid w:val="00705199"/>
    <w:rsid w:val="0070527A"/>
    <w:rsid w:val="007052C4"/>
    <w:rsid w:val="0070530D"/>
    <w:rsid w:val="00705312"/>
    <w:rsid w:val="007053FE"/>
    <w:rsid w:val="00705483"/>
    <w:rsid w:val="00705485"/>
    <w:rsid w:val="007054F5"/>
    <w:rsid w:val="00705508"/>
    <w:rsid w:val="007056D2"/>
    <w:rsid w:val="00705700"/>
    <w:rsid w:val="007057F1"/>
    <w:rsid w:val="00705849"/>
    <w:rsid w:val="0070587F"/>
    <w:rsid w:val="007058AA"/>
    <w:rsid w:val="00705AF8"/>
    <w:rsid w:val="00705D0C"/>
    <w:rsid w:val="00705D44"/>
    <w:rsid w:val="00705D80"/>
    <w:rsid w:val="00705DE3"/>
    <w:rsid w:val="00705E9E"/>
    <w:rsid w:val="00705EA9"/>
    <w:rsid w:val="00705EB7"/>
    <w:rsid w:val="00705F15"/>
    <w:rsid w:val="00705F67"/>
    <w:rsid w:val="00705FAF"/>
    <w:rsid w:val="0070604E"/>
    <w:rsid w:val="00706066"/>
    <w:rsid w:val="00706074"/>
    <w:rsid w:val="007060C7"/>
    <w:rsid w:val="007060E6"/>
    <w:rsid w:val="007062DE"/>
    <w:rsid w:val="007062F7"/>
    <w:rsid w:val="0070633F"/>
    <w:rsid w:val="0070638E"/>
    <w:rsid w:val="00706438"/>
    <w:rsid w:val="00706457"/>
    <w:rsid w:val="007064F4"/>
    <w:rsid w:val="007065D9"/>
    <w:rsid w:val="007065EA"/>
    <w:rsid w:val="007066E6"/>
    <w:rsid w:val="0070678F"/>
    <w:rsid w:val="007067AE"/>
    <w:rsid w:val="007067D1"/>
    <w:rsid w:val="00706800"/>
    <w:rsid w:val="00706875"/>
    <w:rsid w:val="00706883"/>
    <w:rsid w:val="007068C1"/>
    <w:rsid w:val="007068D2"/>
    <w:rsid w:val="00706984"/>
    <w:rsid w:val="00706985"/>
    <w:rsid w:val="00706991"/>
    <w:rsid w:val="007069CD"/>
    <w:rsid w:val="00706B58"/>
    <w:rsid w:val="00706B8D"/>
    <w:rsid w:val="00706BEB"/>
    <w:rsid w:val="00706CEA"/>
    <w:rsid w:val="00706D2D"/>
    <w:rsid w:val="00706DCB"/>
    <w:rsid w:val="00706DE9"/>
    <w:rsid w:val="00706F62"/>
    <w:rsid w:val="0070703F"/>
    <w:rsid w:val="0070707F"/>
    <w:rsid w:val="007071C5"/>
    <w:rsid w:val="007071D3"/>
    <w:rsid w:val="0070732F"/>
    <w:rsid w:val="0070738F"/>
    <w:rsid w:val="007073F1"/>
    <w:rsid w:val="00707447"/>
    <w:rsid w:val="007074BD"/>
    <w:rsid w:val="007075BD"/>
    <w:rsid w:val="007075FE"/>
    <w:rsid w:val="00707663"/>
    <w:rsid w:val="007076E1"/>
    <w:rsid w:val="00707776"/>
    <w:rsid w:val="007077E7"/>
    <w:rsid w:val="007077EF"/>
    <w:rsid w:val="007079DA"/>
    <w:rsid w:val="00707A87"/>
    <w:rsid w:val="00707B91"/>
    <w:rsid w:val="00707BC2"/>
    <w:rsid w:val="00707C2A"/>
    <w:rsid w:val="00707C37"/>
    <w:rsid w:val="00707D01"/>
    <w:rsid w:val="00707D1E"/>
    <w:rsid w:val="00707D3F"/>
    <w:rsid w:val="00707D79"/>
    <w:rsid w:val="00707DBC"/>
    <w:rsid w:val="00707F02"/>
    <w:rsid w:val="00710097"/>
    <w:rsid w:val="007100C7"/>
    <w:rsid w:val="007100F7"/>
    <w:rsid w:val="0071016D"/>
    <w:rsid w:val="007101F0"/>
    <w:rsid w:val="00710233"/>
    <w:rsid w:val="007102BB"/>
    <w:rsid w:val="007103B8"/>
    <w:rsid w:val="00710421"/>
    <w:rsid w:val="0071044B"/>
    <w:rsid w:val="0071046C"/>
    <w:rsid w:val="007104F3"/>
    <w:rsid w:val="00710512"/>
    <w:rsid w:val="0071054A"/>
    <w:rsid w:val="00710564"/>
    <w:rsid w:val="007105AD"/>
    <w:rsid w:val="0071063F"/>
    <w:rsid w:val="0071065F"/>
    <w:rsid w:val="0071079A"/>
    <w:rsid w:val="007107A9"/>
    <w:rsid w:val="007107FA"/>
    <w:rsid w:val="007108D3"/>
    <w:rsid w:val="007109BF"/>
    <w:rsid w:val="007109CF"/>
    <w:rsid w:val="00710AE0"/>
    <w:rsid w:val="00710B18"/>
    <w:rsid w:val="00710B90"/>
    <w:rsid w:val="00710CC0"/>
    <w:rsid w:val="00710CD5"/>
    <w:rsid w:val="00710DD3"/>
    <w:rsid w:val="00710DF6"/>
    <w:rsid w:val="00710FE4"/>
    <w:rsid w:val="00711140"/>
    <w:rsid w:val="0071121B"/>
    <w:rsid w:val="0071128F"/>
    <w:rsid w:val="007112A8"/>
    <w:rsid w:val="007112B2"/>
    <w:rsid w:val="007112E4"/>
    <w:rsid w:val="0071142A"/>
    <w:rsid w:val="007114C7"/>
    <w:rsid w:val="007114FB"/>
    <w:rsid w:val="0071151A"/>
    <w:rsid w:val="0071156E"/>
    <w:rsid w:val="00711585"/>
    <w:rsid w:val="007115C9"/>
    <w:rsid w:val="007115D2"/>
    <w:rsid w:val="0071162B"/>
    <w:rsid w:val="0071163E"/>
    <w:rsid w:val="00711663"/>
    <w:rsid w:val="00711682"/>
    <w:rsid w:val="0071169E"/>
    <w:rsid w:val="00711757"/>
    <w:rsid w:val="007117E2"/>
    <w:rsid w:val="007118AE"/>
    <w:rsid w:val="007119BB"/>
    <w:rsid w:val="00711A5A"/>
    <w:rsid w:val="00711AA2"/>
    <w:rsid w:val="00711AE7"/>
    <w:rsid w:val="00711B85"/>
    <w:rsid w:val="00711BE6"/>
    <w:rsid w:val="00711C0F"/>
    <w:rsid w:val="00711C53"/>
    <w:rsid w:val="00711CEA"/>
    <w:rsid w:val="00711EFF"/>
    <w:rsid w:val="00711F03"/>
    <w:rsid w:val="00711FB2"/>
    <w:rsid w:val="00712043"/>
    <w:rsid w:val="007120A1"/>
    <w:rsid w:val="007120BC"/>
    <w:rsid w:val="007120F3"/>
    <w:rsid w:val="00712131"/>
    <w:rsid w:val="00712287"/>
    <w:rsid w:val="00712358"/>
    <w:rsid w:val="0071237F"/>
    <w:rsid w:val="00712481"/>
    <w:rsid w:val="00712513"/>
    <w:rsid w:val="0071252A"/>
    <w:rsid w:val="0071257B"/>
    <w:rsid w:val="007125C4"/>
    <w:rsid w:val="00712632"/>
    <w:rsid w:val="0071263D"/>
    <w:rsid w:val="0071264B"/>
    <w:rsid w:val="00712721"/>
    <w:rsid w:val="00712751"/>
    <w:rsid w:val="007127FC"/>
    <w:rsid w:val="0071280C"/>
    <w:rsid w:val="00712902"/>
    <w:rsid w:val="00712A3F"/>
    <w:rsid w:val="00712A64"/>
    <w:rsid w:val="00712BA7"/>
    <w:rsid w:val="00712BD4"/>
    <w:rsid w:val="00712C56"/>
    <w:rsid w:val="00712CA8"/>
    <w:rsid w:val="00712CE2"/>
    <w:rsid w:val="00712DA2"/>
    <w:rsid w:val="00712EE5"/>
    <w:rsid w:val="00712F01"/>
    <w:rsid w:val="00712FAD"/>
    <w:rsid w:val="00712FCF"/>
    <w:rsid w:val="0071308F"/>
    <w:rsid w:val="007130B2"/>
    <w:rsid w:val="007130F5"/>
    <w:rsid w:val="0071330D"/>
    <w:rsid w:val="0071332A"/>
    <w:rsid w:val="007133C3"/>
    <w:rsid w:val="007133C4"/>
    <w:rsid w:val="00713405"/>
    <w:rsid w:val="00713456"/>
    <w:rsid w:val="00713554"/>
    <w:rsid w:val="007136E4"/>
    <w:rsid w:val="0071377D"/>
    <w:rsid w:val="00713895"/>
    <w:rsid w:val="00713949"/>
    <w:rsid w:val="00713966"/>
    <w:rsid w:val="0071397B"/>
    <w:rsid w:val="00713A3D"/>
    <w:rsid w:val="00713A5B"/>
    <w:rsid w:val="00713B05"/>
    <w:rsid w:val="00713B65"/>
    <w:rsid w:val="00713BA8"/>
    <w:rsid w:val="00713BBF"/>
    <w:rsid w:val="00713D03"/>
    <w:rsid w:val="00713D85"/>
    <w:rsid w:val="00713DA4"/>
    <w:rsid w:val="00713DB2"/>
    <w:rsid w:val="00713E8D"/>
    <w:rsid w:val="00713F58"/>
    <w:rsid w:val="00714036"/>
    <w:rsid w:val="0071407B"/>
    <w:rsid w:val="00714108"/>
    <w:rsid w:val="00714131"/>
    <w:rsid w:val="007141EB"/>
    <w:rsid w:val="00714372"/>
    <w:rsid w:val="00714520"/>
    <w:rsid w:val="00714542"/>
    <w:rsid w:val="007145DE"/>
    <w:rsid w:val="00714723"/>
    <w:rsid w:val="007147B5"/>
    <w:rsid w:val="00714857"/>
    <w:rsid w:val="007148FF"/>
    <w:rsid w:val="00714964"/>
    <w:rsid w:val="007149A0"/>
    <w:rsid w:val="007149A4"/>
    <w:rsid w:val="007149FA"/>
    <w:rsid w:val="00714A0A"/>
    <w:rsid w:val="00714A47"/>
    <w:rsid w:val="00714AF7"/>
    <w:rsid w:val="00714B63"/>
    <w:rsid w:val="00714BB5"/>
    <w:rsid w:val="00714C17"/>
    <w:rsid w:val="00714D7D"/>
    <w:rsid w:val="00714DEB"/>
    <w:rsid w:val="00714E27"/>
    <w:rsid w:val="00714E31"/>
    <w:rsid w:val="00714F19"/>
    <w:rsid w:val="00714F96"/>
    <w:rsid w:val="00714F97"/>
    <w:rsid w:val="00715155"/>
    <w:rsid w:val="007151ED"/>
    <w:rsid w:val="00715201"/>
    <w:rsid w:val="00715293"/>
    <w:rsid w:val="00715340"/>
    <w:rsid w:val="0071535A"/>
    <w:rsid w:val="007154D6"/>
    <w:rsid w:val="00715552"/>
    <w:rsid w:val="0071565D"/>
    <w:rsid w:val="007156A9"/>
    <w:rsid w:val="0071577B"/>
    <w:rsid w:val="00715844"/>
    <w:rsid w:val="0071591A"/>
    <w:rsid w:val="0071593C"/>
    <w:rsid w:val="00715951"/>
    <w:rsid w:val="007159BB"/>
    <w:rsid w:val="007159E0"/>
    <w:rsid w:val="007159E9"/>
    <w:rsid w:val="00715A28"/>
    <w:rsid w:val="00715A34"/>
    <w:rsid w:val="00715A48"/>
    <w:rsid w:val="00715A4B"/>
    <w:rsid w:val="00715A5B"/>
    <w:rsid w:val="00715AA2"/>
    <w:rsid w:val="00715AC6"/>
    <w:rsid w:val="00715AD6"/>
    <w:rsid w:val="00715AEC"/>
    <w:rsid w:val="00715B2B"/>
    <w:rsid w:val="00715B4A"/>
    <w:rsid w:val="00715BFE"/>
    <w:rsid w:val="00715C4D"/>
    <w:rsid w:val="00715C7A"/>
    <w:rsid w:val="00715CC6"/>
    <w:rsid w:val="00715CF8"/>
    <w:rsid w:val="00715D0D"/>
    <w:rsid w:val="00715D6E"/>
    <w:rsid w:val="00715E9C"/>
    <w:rsid w:val="00715ECB"/>
    <w:rsid w:val="00715F56"/>
    <w:rsid w:val="00716073"/>
    <w:rsid w:val="007160B4"/>
    <w:rsid w:val="007160F1"/>
    <w:rsid w:val="0071619F"/>
    <w:rsid w:val="007161AC"/>
    <w:rsid w:val="007162F5"/>
    <w:rsid w:val="007162F9"/>
    <w:rsid w:val="007163A6"/>
    <w:rsid w:val="00716524"/>
    <w:rsid w:val="00716536"/>
    <w:rsid w:val="007165F7"/>
    <w:rsid w:val="007165FC"/>
    <w:rsid w:val="007165FD"/>
    <w:rsid w:val="0071661A"/>
    <w:rsid w:val="0071666F"/>
    <w:rsid w:val="007166E0"/>
    <w:rsid w:val="007166F4"/>
    <w:rsid w:val="007167AA"/>
    <w:rsid w:val="007167CD"/>
    <w:rsid w:val="007167E2"/>
    <w:rsid w:val="0071686C"/>
    <w:rsid w:val="007168FC"/>
    <w:rsid w:val="00716A28"/>
    <w:rsid w:val="00716B52"/>
    <w:rsid w:val="00716D8F"/>
    <w:rsid w:val="00716F6D"/>
    <w:rsid w:val="00716FA0"/>
    <w:rsid w:val="007170F8"/>
    <w:rsid w:val="0071727E"/>
    <w:rsid w:val="00717283"/>
    <w:rsid w:val="00717343"/>
    <w:rsid w:val="00717349"/>
    <w:rsid w:val="007173B4"/>
    <w:rsid w:val="007173F6"/>
    <w:rsid w:val="00717403"/>
    <w:rsid w:val="007174F3"/>
    <w:rsid w:val="00717541"/>
    <w:rsid w:val="007175EA"/>
    <w:rsid w:val="007176F2"/>
    <w:rsid w:val="0071773B"/>
    <w:rsid w:val="00717769"/>
    <w:rsid w:val="0071778B"/>
    <w:rsid w:val="00717841"/>
    <w:rsid w:val="0071786B"/>
    <w:rsid w:val="007178BF"/>
    <w:rsid w:val="007178C4"/>
    <w:rsid w:val="00717B05"/>
    <w:rsid w:val="00717C0C"/>
    <w:rsid w:val="00717C67"/>
    <w:rsid w:val="00717D91"/>
    <w:rsid w:val="00717D94"/>
    <w:rsid w:val="00717E14"/>
    <w:rsid w:val="00717F12"/>
    <w:rsid w:val="00717F36"/>
    <w:rsid w:val="00717F7D"/>
    <w:rsid w:val="00717FD9"/>
    <w:rsid w:val="007200CC"/>
    <w:rsid w:val="007201F5"/>
    <w:rsid w:val="007202A4"/>
    <w:rsid w:val="007202ED"/>
    <w:rsid w:val="00720331"/>
    <w:rsid w:val="00720425"/>
    <w:rsid w:val="007204EC"/>
    <w:rsid w:val="00720589"/>
    <w:rsid w:val="0072073C"/>
    <w:rsid w:val="00720811"/>
    <w:rsid w:val="007208EA"/>
    <w:rsid w:val="0072090F"/>
    <w:rsid w:val="00720AB0"/>
    <w:rsid w:val="00720B38"/>
    <w:rsid w:val="00720BC5"/>
    <w:rsid w:val="00720BCD"/>
    <w:rsid w:val="00720C52"/>
    <w:rsid w:val="00720D32"/>
    <w:rsid w:val="00720E0E"/>
    <w:rsid w:val="00720E14"/>
    <w:rsid w:val="00720E28"/>
    <w:rsid w:val="00720E57"/>
    <w:rsid w:val="00720E8F"/>
    <w:rsid w:val="00720F68"/>
    <w:rsid w:val="00720F7D"/>
    <w:rsid w:val="00720FD9"/>
    <w:rsid w:val="00721006"/>
    <w:rsid w:val="00721038"/>
    <w:rsid w:val="0072106B"/>
    <w:rsid w:val="007210AD"/>
    <w:rsid w:val="007210B0"/>
    <w:rsid w:val="007210D1"/>
    <w:rsid w:val="00721105"/>
    <w:rsid w:val="00721150"/>
    <w:rsid w:val="0072116A"/>
    <w:rsid w:val="007211B5"/>
    <w:rsid w:val="00721200"/>
    <w:rsid w:val="007212D2"/>
    <w:rsid w:val="0072131D"/>
    <w:rsid w:val="00721547"/>
    <w:rsid w:val="0072167C"/>
    <w:rsid w:val="00721715"/>
    <w:rsid w:val="00721787"/>
    <w:rsid w:val="0072183A"/>
    <w:rsid w:val="00721848"/>
    <w:rsid w:val="007218D1"/>
    <w:rsid w:val="00721AED"/>
    <w:rsid w:val="00721B88"/>
    <w:rsid w:val="00721BE0"/>
    <w:rsid w:val="00721C7A"/>
    <w:rsid w:val="00721D8F"/>
    <w:rsid w:val="00721E6C"/>
    <w:rsid w:val="00721F47"/>
    <w:rsid w:val="0072209B"/>
    <w:rsid w:val="00722127"/>
    <w:rsid w:val="00722221"/>
    <w:rsid w:val="00722256"/>
    <w:rsid w:val="007222CC"/>
    <w:rsid w:val="007222DD"/>
    <w:rsid w:val="007222E1"/>
    <w:rsid w:val="00722304"/>
    <w:rsid w:val="0072235D"/>
    <w:rsid w:val="007223D4"/>
    <w:rsid w:val="007223FD"/>
    <w:rsid w:val="0072248D"/>
    <w:rsid w:val="0072250A"/>
    <w:rsid w:val="00722543"/>
    <w:rsid w:val="0072265E"/>
    <w:rsid w:val="0072276B"/>
    <w:rsid w:val="00722780"/>
    <w:rsid w:val="007227DE"/>
    <w:rsid w:val="00722819"/>
    <w:rsid w:val="0072296C"/>
    <w:rsid w:val="007229D5"/>
    <w:rsid w:val="00722A6C"/>
    <w:rsid w:val="00722B22"/>
    <w:rsid w:val="00722C6C"/>
    <w:rsid w:val="00722D39"/>
    <w:rsid w:val="00722D50"/>
    <w:rsid w:val="00722D6E"/>
    <w:rsid w:val="00722E71"/>
    <w:rsid w:val="00722EAA"/>
    <w:rsid w:val="00722F34"/>
    <w:rsid w:val="00722F36"/>
    <w:rsid w:val="007230B6"/>
    <w:rsid w:val="0072314A"/>
    <w:rsid w:val="0072318F"/>
    <w:rsid w:val="007231A3"/>
    <w:rsid w:val="007231A7"/>
    <w:rsid w:val="00723203"/>
    <w:rsid w:val="0072320F"/>
    <w:rsid w:val="00723277"/>
    <w:rsid w:val="00723374"/>
    <w:rsid w:val="00723432"/>
    <w:rsid w:val="007234B1"/>
    <w:rsid w:val="0072359C"/>
    <w:rsid w:val="007235E6"/>
    <w:rsid w:val="00723605"/>
    <w:rsid w:val="00723629"/>
    <w:rsid w:val="007236CB"/>
    <w:rsid w:val="007236D2"/>
    <w:rsid w:val="0072377E"/>
    <w:rsid w:val="007237B8"/>
    <w:rsid w:val="00723802"/>
    <w:rsid w:val="00723820"/>
    <w:rsid w:val="0072386C"/>
    <w:rsid w:val="007238AC"/>
    <w:rsid w:val="007238B8"/>
    <w:rsid w:val="007238DA"/>
    <w:rsid w:val="00723965"/>
    <w:rsid w:val="00723A17"/>
    <w:rsid w:val="00723B6F"/>
    <w:rsid w:val="00723B86"/>
    <w:rsid w:val="00723B92"/>
    <w:rsid w:val="00723C83"/>
    <w:rsid w:val="00723DF7"/>
    <w:rsid w:val="00723E16"/>
    <w:rsid w:val="00723E54"/>
    <w:rsid w:val="00723EAE"/>
    <w:rsid w:val="00723EE7"/>
    <w:rsid w:val="00723F5E"/>
    <w:rsid w:val="00724085"/>
    <w:rsid w:val="007240C5"/>
    <w:rsid w:val="00724170"/>
    <w:rsid w:val="00724188"/>
    <w:rsid w:val="00724267"/>
    <w:rsid w:val="007242F9"/>
    <w:rsid w:val="00724300"/>
    <w:rsid w:val="00724316"/>
    <w:rsid w:val="0072434A"/>
    <w:rsid w:val="0072440D"/>
    <w:rsid w:val="00724485"/>
    <w:rsid w:val="007244EB"/>
    <w:rsid w:val="0072456D"/>
    <w:rsid w:val="00724584"/>
    <w:rsid w:val="0072460E"/>
    <w:rsid w:val="00724686"/>
    <w:rsid w:val="007246BB"/>
    <w:rsid w:val="0072474B"/>
    <w:rsid w:val="007247D4"/>
    <w:rsid w:val="00724825"/>
    <w:rsid w:val="00724873"/>
    <w:rsid w:val="00724981"/>
    <w:rsid w:val="0072498D"/>
    <w:rsid w:val="00724A01"/>
    <w:rsid w:val="00724A8F"/>
    <w:rsid w:val="00724B25"/>
    <w:rsid w:val="00724B2C"/>
    <w:rsid w:val="00724D9C"/>
    <w:rsid w:val="00724E24"/>
    <w:rsid w:val="00724E28"/>
    <w:rsid w:val="00724E39"/>
    <w:rsid w:val="00724E9F"/>
    <w:rsid w:val="00724FC4"/>
    <w:rsid w:val="00724FD3"/>
    <w:rsid w:val="00724FEA"/>
    <w:rsid w:val="0072506F"/>
    <w:rsid w:val="007250D5"/>
    <w:rsid w:val="00725181"/>
    <w:rsid w:val="00725190"/>
    <w:rsid w:val="007252EE"/>
    <w:rsid w:val="00725329"/>
    <w:rsid w:val="007253AC"/>
    <w:rsid w:val="007253CD"/>
    <w:rsid w:val="00725445"/>
    <w:rsid w:val="00725571"/>
    <w:rsid w:val="00725595"/>
    <w:rsid w:val="00725678"/>
    <w:rsid w:val="007256C4"/>
    <w:rsid w:val="007256F6"/>
    <w:rsid w:val="0072577D"/>
    <w:rsid w:val="007259CB"/>
    <w:rsid w:val="00725A64"/>
    <w:rsid w:val="00725A65"/>
    <w:rsid w:val="00725A67"/>
    <w:rsid w:val="00725AD8"/>
    <w:rsid w:val="00725B0B"/>
    <w:rsid w:val="00725B29"/>
    <w:rsid w:val="00725B49"/>
    <w:rsid w:val="00725BE3"/>
    <w:rsid w:val="00725C62"/>
    <w:rsid w:val="00725D54"/>
    <w:rsid w:val="00725DBE"/>
    <w:rsid w:val="00725E03"/>
    <w:rsid w:val="00725F84"/>
    <w:rsid w:val="00725F85"/>
    <w:rsid w:val="007262D7"/>
    <w:rsid w:val="00726343"/>
    <w:rsid w:val="007263A9"/>
    <w:rsid w:val="007263D0"/>
    <w:rsid w:val="00726491"/>
    <w:rsid w:val="007264F9"/>
    <w:rsid w:val="0072650A"/>
    <w:rsid w:val="00726528"/>
    <w:rsid w:val="00726545"/>
    <w:rsid w:val="007266CA"/>
    <w:rsid w:val="0072674A"/>
    <w:rsid w:val="007267C4"/>
    <w:rsid w:val="007269B5"/>
    <w:rsid w:val="00726A08"/>
    <w:rsid w:val="00726C13"/>
    <w:rsid w:val="00726C2F"/>
    <w:rsid w:val="00726C4B"/>
    <w:rsid w:val="00726C85"/>
    <w:rsid w:val="00726CAC"/>
    <w:rsid w:val="00726CC4"/>
    <w:rsid w:val="00726CC7"/>
    <w:rsid w:val="00726D63"/>
    <w:rsid w:val="00726D6F"/>
    <w:rsid w:val="00726DEC"/>
    <w:rsid w:val="00726E5D"/>
    <w:rsid w:val="00726E95"/>
    <w:rsid w:val="00726F75"/>
    <w:rsid w:val="00726FE0"/>
    <w:rsid w:val="0072702A"/>
    <w:rsid w:val="00727078"/>
    <w:rsid w:val="007270D4"/>
    <w:rsid w:val="00727102"/>
    <w:rsid w:val="00727184"/>
    <w:rsid w:val="0072725B"/>
    <w:rsid w:val="007272FC"/>
    <w:rsid w:val="007273CE"/>
    <w:rsid w:val="007273EA"/>
    <w:rsid w:val="00727434"/>
    <w:rsid w:val="00727533"/>
    <w:rsid w:val="00727540"/>
    <w:rsid w:val="00727574"/>
    <w:rsid w:val="00727595"/>
    <w:rsid w:val="007275A1"/>
    <w:rsid w:val="007275BA"/>
    <w:rsid w:val="0072764B"/>
    <w:rsid w:val="00727883"/>
    <w:rsid w:val="00727888"/>
    <w:rsid w:val="00727949"/>
    <w:rsid w:val="00727974"/>
    <w:rsid w:val="00727B09"/>
    <w:rsid w:val="00727C16"/>
    <w:rsid w:val="00727C72"/>
    <w:rsid w:val="00727C75"/>
    <w:rsid w:val="00727CF8"/>
    <w:rsid w:val="00727D0D"/>
    <w:rsid w:val="00727D30"/>
    <w:rsid w:val="00727E36"/>
    <w:rsid w:val="00727F87"/>
    <w:rsid w:val="00727FE9"/>
    <w:rsid w:val="00730066"/>
    <w:rsid w:val="0073007C"/>
    <w:rsid w:val="0073008B"/>
    <w:rsid w:val="0073016D"/>
    <w:rsid w:val="00730266"/>
    <w:rsid w:val="0073032A"/>
    <w:rsid w:val="00730355"/>
    <w:rsid w:val="0073038A"/>
    <w:rsid w:val="007303C3"/>
    <w:rsid w:val="007304DD"/>
    <w:rsid w:val="007305A5"/>
    <w:rsid w:val="0073063B"/>
    <w:rsid w:val="00730844"/>
    <w:rsid w:val="007308A1"/>
    <w:rsid w:val="007308FE"/>
    <w:rsid w:val="00730A14"/>
    <w:rsid w:val="00730A23"/>
    <w:rsid w:val="00730AD8"/>
    <w:rsid w:val="00730AFE"/>
    <w:rsid w:val="00730C86"/>
    <w:rsid w:val="00730D1A"/>
    <w:rsid w:val="00730D81"/>
    <w:rsid w:val="00730D90"/>
    <w:rsid w:val="00730D95"/>
    <w:rsid w:val="00730DF1"/>
    <w:rsid w:val="00730EE2"/>
    <w:rsid w:val="00730F0C"/>
    <w:rsid w:val="00730F36"/>
    <w:rsid w:val="00730F82"/>
    <w:rsid w:val="0073106E"/>
    <w:rsid w:val="007310C3"/>
    <w:rsid w:val="007310E9"/>
    <w:rsid w:val="00731110"/>
    <w:rsid w:val="00731133"/>
    <w:rsid w:val="007311B5"/>
    <w:rsid w:val="0073122C"/>
    <w:rsid w:val="00731408"/>
    <w:rsid w:val="0073144A"/>
    <w:rsid w:val="007314B8"/>
    <w:rsid w:val="007315F4"/>
    <w:rsid w:val="00731618"/>
    <w:rsid w:val="007316EE"/>
    <w:rsid w:val="0073173D"/>
    <w:rsid w:val="007317A0"/>
    <w:rsid w:val="0073183F"/>
    <w:rsid w:val="00731898"/>
    <w:rsid w:val="007318AD"/>
    <w:rsid w:val="007318B7"/>
    <w:rsid w:val="00731900"/>
    <w:rsid w:val="00731961"/>
    <w:rsid w:val="00731988"/>
    <w:rsid w:val="00731A2C"/>
    <w:rsid w:val="00731A94"/>
    <w:rsid w:val="00731AF9"/>
    <w:rsid w:val="00731B7A"/>
    <w:rsid w:val="00731C03"/>
    <w:rsid w:val="00731C50"/>
    <w:rsid w:val="00731E3F"/>
    <w:rsid w:val="00731F8A"/>
    <w:rsid w:val="00732163"/>
    <w:rsid w:val="00732229"/>
    <w:rsid w:val="00732272"/>
    <w:rsid w:val="007322D6"/>
    <w:rsid w:val="007322E1"/>
    <w:rsid w:val="00732310"/>
    <w:rsid w:val="007323CB"/>
    <w:rsid w:val="00732423"/>
    <w:rsid w:val="00732576"/>
    <w:rsid w:val="007325D2"/>
    <w:rsid w:val="00732759"/>
    <w:rsid w:val="007327EF"/>
    <w:rsid w:val="00732836"/>
    <w:rsid w:val="00732A46"/>
    <w:rsid w:val="00732B82"/>
    <w:rsid w:val="00732C5D"/>
    <w:rsid w:val="00732CE8"/>
    <w:rsid w:val="00732D39"/>
    <w:rsid w:val="00732D83"/>
    <w:rsid w:val="00732E10"/>
    <w:rsid w:val="00732E3B"/>
    <w:rsid w:val="00732E43"/>
    <w:rsid w:val="00732E97"/>
    <w:rsid w:val="00732EB0"/>
    <w:rsid w:val="00732F12"/>
    <w:rsid w:val="00732F4D"/>
    <w:rsid w:val="007330A4"/>
    <w:rsid w:val="007330C0"/>
    <w:rsid w:val="00733192"/>
    <w:rsid w:val="0073320F"/>
    <w:rsid w:val="00733328"/>
    <w:rsid w:val="00733338"/>
    <w:rsid w:val="0073336E"/>
    <w:rsid w:val="007333A5"/>
    <w:rsid w:val="0073342D"/>
    <w:rsid w:val="007334CA"/>
    <w:rsid w:val="007334DE"/>
    <w:rsid w:val="0073359E"/>
    <w:rsid w:val="007335C5"/>
    <w:rsid w:val="007336E7"/>
    <w:rsid w:val="00733767"/>
    <w:rsid w:val="007337A2"/>
    <w:rsid w:val="007337D1"/>
    <w:rsid w:val="007337D9"/>
    <w:rsid w:val="00733980"/>
    <w:rsid w:val="00733A2F"/>
    <w:rsid w:val="00733A42"/>
    <w:rsid w:val="00733B5A"/>
    <w:rsid w:val="00733BC4"/>
    <w:rsid w:val="00733BC6"/>
    <w:rsid w:val="00733BFF"/>
    <w:rsid w:val="00733C47"/>
    <w:rsid w:val="00733C7F"/>
    <w:rsid w:val="00733C8F"/>
    <w:rsid w:val="00733C91"/>
    <w:rsid w:val="00733D25"/>
    <w:rsid w:val="00733D92"/>
    <w:rsid w:val="00733DDC"/>
    <w:rsid w:val="00733E87"/>
    <w:rsid w:val="00733F11"/>
    <w:rsid w:val="00733FBD"/>
    <w:rsid w:val="00734028"/>
    <w:rsid w:val="00734029"/>
    <w:rsid w:val="0073415A"/>
    <w:rsid w:val="00734176"/>
    <w:rsid w:val="007341D5"/>
    <w:rsid w:val="00734203"/>
    <w:rsid w:val="007342FD"/>
    <w:rsid w:val="00734301"/>
    <w:rsid w:val="0073432F"/>
    <w:rsid w:val="007343DA"/>
    <w:rsid w:val="0073443A"/>
    <w:rsid w:val="007345E7"/>
    <w:rsid w:val="00734605"/>
    <w:rsid w:val="0073466D"/>
    <w:rsid w:val="0073473C"/>
    <w:rsid w:val="00734745"/>
    <w:rsid w:val="00734770"/>
    <w:rsid w:val="0073484B"/>
    <w:rsid w:val="00734A93"/>
    <w:rsid w:val="00734BBD"/>
    <w:rsid w:val="00734BEB"/>
    <w:rsid w:val="00734C2F"/>
    <w:rsid w:val="00734C8E"/>
    <w:rsid w:val="00734C9A"/>
    <w:rsid w:val="00734CC9"/>
    <w:rsid w:val="00734D1F"/>
    <w:rsid w:val="00734D3D"/>
    <w:rsid w:val="00734D68"/>
    <w:rsid w:val="00734D76"/>
    <w:rsid w:val="00734E8E"/>
    <w:rsid w:val="00734ED2"/>
    <w:rsid w:val="00734EFC"/>
    <w:rsid w:val="00734F4A"/>
    <w:rsid w:val="00734FC8"/>
    <w:rsid w:val="00734FD2"/>
    <w:rsid w:val="00735067"/>
    <w:rsid w:val="00735076"/>
    <w:rsid w:val="007350CD"/>
    <w:rsid w:val="00735164"/>
    <w:rsid w:val="007351D4"/>
    <w:rsid w:val="0073538D"/>
    <w:rsid w:val="007353D5"/>
    <w:rsid w:val="0073541B"/>
    <w:rsid w:val="00735484"/>
    <w:rsid w:val="007354F8"/>
    <w:rsid w:val="007354FC"/>
    <w:rsid w:val="00735504"/>
    <w:rsid w:val="0073555D"/>
    <w:rsid w:val="0073569F"/>
    <w:rsid w:val="007357A9"/>
    <w:rsid w:val="007357D6"/>
    <w:rsid w:val="00735898"/>
    <w:rsid w:val="007358A1"/>
    <w:rsid w:val="007358E6"/>
    <w:rsid w:val="00735955"/>
    <w:rsid w:val="00735AEA"/>
    <w:rsid w:val="00735B15"/>
    <w:rsid w:val="00735B80"/>
    <w:rsid w:val="00735C34"/>
    <w:rsid w:val="00735DAE"/>
    <w:rsid w:val="00735E7E"/>
    <w:rsid w:val="00735E86"/>
    <w:rsid w:val="00735FF8"/>
    <w:rsid w:val="00736056"/>
    <w:rsid w:val="0073617A"/>
    <w:rsid w:val="0073621B"/>
    <w:rsid w:val="00736257"/>
    <w:rsid w:val="007362C8"/>
    <w:rsid w:val="00736318"/>
    <w:rsid w:val="0073634A"/>
    <w:rsid w:val="0073637B"/>
    <w:rsid w:val="007363CB"/>
    <w:rsid w:val="00736457"/>
    <w:rsid w:val="00736468"/>
    <w:rsid w:val="00736532"/>
    <w:rsid w:val="007366AA"/>
    <w:rsid w:val="0073682B"/>
    <w:rsid w:val="007368E3"/>
    <w:rsid w:val="00736926"/>
    <w:rsid w:val="007369B8"/>
    <w:rsid w:val="00736AB3"/>
    <w:rsid w:val="00736ABE"/>
    <w:rsid w:val="00736AF1"/>
    <w:rsid w:val="00736C16"/>
    <w:rsid w:val="00736C3B"/>
    <w:rsid w:val="00736C67"/>
    <w:rsid w:val="00736C6C"/>
    <w:rsid w:val="00736CA9"/>
    <w:rsid w:val="00736DF0"/>
    <w:rsid w:val="00736DF2"/>
    <w:rsid w:val="00736E4B"/>
    <w:rsid w:val="00736F1D"/>
    <w:rsid w:val="00736FF9"/>
    <w:rsid w:val="00737162"/>
    <w:rsid w:val="007371AD"/>
    <w:rsid w:val="007371E9"/>
    <w:rsid w:val="007371F1"/>
    <w:rsid w:val="00737322"/>
    <w:rsid w:val="00737411"/>
    <w:rsid w:val="0073759D"/>
    <w:rsid w:val="00737638"/>
    <w:rsid w:val="00737817"/>
    <w:rsid w:val="0073781C"/>
    <w:rsid w:val="0073781E"/>
    <w:rsid w:val="00737A20"/>
    <w:rsid w:val="00737B5E"/>
    <w:rsid w:val="00737C4B"/>
    <w:rsid w:val="00737C9A"/>
    <w:rsid w:val="00737D56"/>
    <w:rsid w:val="00737DA3"/>
    <w:rsid w:val="00737E26"/>
    <w:rsid w:val="00737E82"/>
    <w:rsid w:val="00737E8B"/>
    <w:rsid w:val="00740196"/>
    <w:rsid w:val="0074025A"/>
    <w:rsid w:val="007403AB"/>
    <w:rsid w:val="00740431"/>
    <w:rsid w:val="0074043B"/>
    <w:rsid w:val="00740458"/>
    <w:rsid w:val="0074046F"/>
    <w:rsid w:val="00740474"/>
    <w:rsid w:val="007404CB"/>
    <w:rsid w:val="007405F1"/>
    <w:rsid w:val="0074064A"/>
    <w:rsid w:val="007406B0"/>
    <w:rsid w:val="007406C5"/>
    <w:rsid w:val="007407C7"/>
    <w:rsid w:val="00740902"/>
    <w:rsid w:val="00740925"/>
    <w:rsid w:val="007409A2"/>
    <w:rsid w:val="007409C2"/>
    <w:rsid w:val="007409D9"/>
    <w:rsid w:val="00740A19"/>
    <w:rsid w:val="00740A74"/>
    <w:rsid w:val="00740AA6"/>
    <w:rsid w:val="00740B2F"/>
    <w:rsid w:val="00740B74"/>
    <w:rsid w:val="00740CE7"/>
    <w:rsid w:val="00740D6B"/>
    <w:rsid w:val="00740DFB"/>
    <w:rsid w:val="00740DFC"/>
    <w:rsid w:val="00740ED3"/>
    <w:rsid w:val="00740F53"/>
    <w:rsid w:val="0074101E"/>
    <w:rsid w:val="00741028"/>
    <w:rsid w:val="0074106E"/>
    <w:rsid w:val="007410C5"/>
    <w:rsid w:val="007411C2"/>
    <w:rsid w:val="007411C6"/>
    <w:rsid w:val="007411EE"/>
    <w:rsid w:val="007411EF"/>
    <w:rsid w:val="00741233"/>
    <w:rsid w:val="00741288"/>
    <w:rsid w:val="00741328"/>
    <w:rsid w:val="007413F0"/>
    <w:rsid w:val="007413F8"/>
    <w:rsid w:val="00741407"/>
    <w:rsid w:val="00741481"/>
    <w:rsid w:val="0074157A"/>
    <w:rsid w:val="0074158F"/>
    <w:rsid w:val="0074164A"/>
    <w:rsid w:val="00741662"/>
    <w:rsid w:val="0074167C"/>
    <w:rsid w:val="00741706"/>
    <w:rsid w:val="00741718"/>
    <w:rsid w:val="00741786"/>
    <w:rsid w:val="00741801"/>
    <w:rsid w:val="0074185F"/>
    <w:rsid w:val="007418C0"/>
    <w:rsid w:val="007418EB"/>
    <w:rsid w:val="0074192E"/>
    <w:rsid w:val="0074196C"/>
    <w:rsid w:val="007419E9"/>
    <w:rsid w:val="00741A18"/>
    <w:rsid w:val="00741A30"/>
    <w:rsid w:val="00741A6C"/>
    <w:rsid w:val="00741BE1"/>
    <w:rsid w:val="00741C28"/>
    <w:rsid w:val="00741D64"/>
    <w:rsid w:val="00741DB2"/>
    <w:rsid w:val="00741E42"/>
    <w:rsid w:val="00741E59"/>
    <w:rsid w:val="00741EDE"/>
    <w:rsid w:val="00741F10"/>
    <w:rsid w:val="00741F37"/>
    <w:rsid w:val="007420CF"/>
    <w:rsid w:val="007420F2"/>
    <w:rsid w:val="00742211"/>
    <w:rsid w:val="0074236F"/>
    <w:rsid w:val="007423D1"/>
    <w:rsid w:val="0074244F"/>
    <w:rsid w:val="0074247F"/>
    <w:rsid w:val="00742512"/>
    <w:rsid w:val="0074254C"/>
    <w:rsid w:val="0074255C"/>
    <w:rsid w:val="00742563"/>
    <w:rsid w:val="007425FD"/>
    <w:rsid w:val="007426D2"/>
    <w:rsid w:val="007427D1"/>
    <w:rsid w:val="00742942"/>
    <w:rsid w:val="00742956"/>
    <w:rsid w:val="0074296B"/>
    <w:rsid w:val="00742AF1"/>
    <w:rsid w:val="00742B17"/>
    <w:rsid w:val="00742BE2"/>
    <w:rsid w:val="00742DDD"/>
    <w:rsid w:val="00742DF7"/>
    <w:rsid w:val="00742E32"/>
    <w:rsid w:val="00743031"/>
    <w:rsid w:val="00743034"/>
    <w:rsid w:val="0074303F"/>
    <w:rsid w:val="007430B5"/>
    <w:rsid w:val="007430BE"/>
    <w:rsid w:val="007430C0"/>
    <w:rsid w:val="0074314C"/>
    <w:rsid w:val="00743160"/>
    <w:rsid w:val="007431FC"/>
    <w:rsid w:val="00743416"/>
    <w:rsid w:val="0074341B"/>
    <w:rsid w:val="007434BE"/>
    <w:rsid w:val="007434DC"/>
    <w:rsid w:val="007436FB"/>
    <w:rsid w:val="00743862"/>
    <w:rsid w:val="00743934"/>
    <w:rsid w:val="00743967"/>
    <w:rsid w:val="00743A24"/>
    <w:rsid w:val="00743ABD"/>
    <w:rsid w:val="00743AC3"/>
    <w:rsid w:val="00743BA6"/>
    <w:rsid w:val="00743BD5"/>
    <w:rsid w:val="00743C04"/>
    <w:rsid w:val="00743C1B"/>
    <w:rsid w:val="00743C5F"/>
    <w:rsid w:val="00743C7D"/>
    <w:rsid w:val="00743D80"/>
    <w:rsid w:val="00743DB8"/>
    <w:rsid w:val="00743E31"/>
    <w:rsid w:val="00743E63"/>
    <w:rsid w:val="00743E98"/>
    <w:rsid w:val="00743F2A"/>
    <w:rsid w:val="00743F90"/>
    <w:rsid w:val="0074402F"/>
    <w:rsid w:val="007443E9"/>
    <w:rsid w:val="00744480"/>
    <w:rsid w:val="007444E9"/>
    <w:rsid w:val="0074451A"/>
    <w:rsid w:val="007445A4"/>
    <w:rsid w:val="007446FD"/>
    <w:rsid w:val="0074476E"/>
    <w:rsid w:val="00744829"/>
    <w:rsid w:val="00744887"/>
    <w:rsid w:val="007448FA"/>
    <w:rsid w:val="007448FE"/>
    <w:rsid w:val="00744A10"/>
    <w:rsid w:val="00744A1B"/>
    <w:rsid w:val="00744A21"/>
    <w:rsid w:val="00744A33"/>
    <w:rsid w:val="00744BA6"/>
    <w:rsid w:val="00744C17"/>
    <w:rsid w:val="00744C2F"/>
    <w:rsid w:val="00744C64"/>
    <w:rsid w:val="00744C7E"/>
    <w:rsid w:val="00744CB8"/>
    <w:rsid w:val="00744DE8"/>
    <w:rsid w:val="00744FA7"/>
    <w:rsid w:val="00745053"/>
    <w:rsid w:val="0074519E"/>
    <w:rsid w:val="00745214"/>
    <w:rsid w:val="007452C8"/>
    <w:rsid w:val="007452D4"/>
    <w:rsid w:val="0074532B"/>
    <w:rsid w:val="0074532C"/>
    <w:rsid w:val="007453B6"/>
    <w:rsid w:val="00745416"/>
    <w:rsid w:val="00745423"/>
    <w:rsid w:val="00745425"/>
    <w:rsid w:val="0074542D"/>
    <w:rsid w:val="0074544A"/>
    <w:rsid w:val="00745458"/>
    <w:rsid w:val="007455FA"/>
    <w:rsid w:val="0074562C"/>
    <w:rsid w:val="007456B5"/>
    <w:rsid w:val="0074570D"/>
    <w:rsid w:val="007457AB"/>
    <w:rsid w:val="00745837"/>
    <w:rsid w:val="0074585D"/>
    <w:rsid w:val="00745912"/>
    <w:rsid w:val="00745A32"/>
    <w:rsid w:val="00745A43"/>
    <w:rsid w:val="00745A6A"/>
    <w:rsid w:val="00745BB2"/>
    <w:rsid w:val="00745BC5"/>
    <w:rsid w:val="00745D04"/>
    <w:rsid w:val="00745DD2"/>
    <w:rsid w:val="00745E47"/>
    <w:rsid w:val="00745F76"/>
    <w:rsid w:val="00745F86"/>
    <w:rsid w:val="00745F8D"/>
    <w:rsid w:val="00745FFB"/>
    <w:rsid w:val="0074603A"/>
    <w:rsid w:val="00746145"/>
    <w:rsid w:val="0074629B"/>
    <w:rsid w:val="007462FD"/>
    <w:rsid w:val="0074640A"/>
    <w:rsid w:val="00746422"/>
    <w:rsid w:val="007464BD"/>
    <w:rsid w:val="00746559"/>
    <w:rsid w:val="0074662E"/>
    <w:rsid w:val="00746669"/>
    <w:rsid w:val="0074669C"/>
    <w:rsid w:val="00746724"/>
    <w:rsid w:val="00746A39"/>
    <w:rsid w:val="00746A90"/>
    <w:rsid w:val="00746B30"/>
    <w:rsid w:val="00746BE1"/>
    <w:rsid w:val="00746CBF"/>
    <w:rsid w:val="00746CED"/>
    <w:rsid w:val="00746D0E"/>
    <w:rsid w:val="00746E62"/>
    <w:rsid w:val="00746F41"/>
    <w:rsid w:val="00746FE1"/>
    <w:rsid w:val="0074702F"/>
    <w:rsid w:val="00747041"/>
    <w:rsid w:val="007470E6"/>
    <w:rsid w:val="007470F7"/>
    <w:rsid w:val="00747126"/>
    <w:rsid w:val="00747185"/>
    <w:rsid w:val="0074724D"/>
    <w:rsid w:val="00747307"/>
    <w:rsid w:val="0074730F"/>
    <w:rsid w:val="00747366"/>
    <w:rsid w:val="007473D8"/>
    <w:rsid w:val="007473E2"/>
    <w:rsid w:val="0074743F"/>
    <w:rsid w:val="0074755F"/>
    <w:rsid w:val="00747593"/>
    <w:rsid w:val="007475AD"/>
    <w:rsid w:val="007475B9"/>
    <w:rsid w:val="007475D5"/>
    <w:rsid w:val="00747783"/>
    <w:rsid w:val="0074785A"/>
    <w:rsid w:val="00747909"/>
    <w:rsid w:val="007479D2"/>
    <w:rsid w:val="00747A21"/>
    <w:rsid w:val="00747AB8"/>
    <w:rsid w:val="00747B23"/>
    <w:rsid w:val="00747BAF"/>
    <w:rsid w:val="00747BB9"/>
    <w:rsid w:val="00747C88"/>
    <w:rsid w:val="00747CBD"/>
    <w:rsid w:val="00747D2E"/>
    <w:rsid w:val="00747DDD"/>
    <w:rsid w:val="00750065"/>
    <w:rsid w:val="007500D7"/>
    <w:rsid w:val="007500F6"/>
    <w:rsid w:val="00750187"/>
    <w:rsid w:val="0075020E"/>
    <w:rsid w:val="00750382"/>
    <w:rsid w:val="0075046D"/>
    <w:rsid w:val="0075069C"/>
    <w:rsid w:val="00750759"/>
    <w:rsid w:val="00750962"/>
    <w:rsid w:val="00750978"/>
    <w:rsid w:val="00750B25"/>
    <w:rsid w:val="00750C64"/>
    <w:rsid w:val="00750CC7"/>
    <w:rsid w:val="00750CFE"/>
    <w:rsid w:val="00750D3F"/>
    <w:rsid w:val="00750D7D"/>
    <w:rsid w:val="00750D8C"/>
    <w:rsid w:val="00750E6E"/>
    <w:rsid w:val="00750EFD"/>
    <w:rsid w:val="00750F3C"/>
    <w:rsid w:val="00750F56"/>
    <w:rsid w:val="00750F62"/>
    <w:rsid w:val="00751029"/>
    <w:rsid w:val="007511D3"/>
    <w:rsid w:val="00751245"/>
    <w:rsid w:val="007513FA"/>
    <w:rsid w:val="007514BC"/>
    <w:rsid w:val="007515F0"/>
    <w:rsid w:val="00751678"/>
    <w:rsid w:val="007518A2"/>
    <w:rsid w:val="00751924"/>
    <w:rsid w:val="007519F7"/>
    <w:rsid w:val="00751A13"/>
    <w:rsid w:val="00751AA4"/>
    <w:rsid w:val="00751B80"/>
    <w:rsid w:val="00751B99"/>
    <w:rsid w:val="00751BDA"/>
    <w:rsid w:val="00751BDF"/>
    <w:rsid w:val="00751C1B"/>
    <w:rsid w:val="00751C82"/>
    <w:rsid w:val="00751CC4"/>
    <w:rsid w:val="00751DB0"/>
    <w:rsid w:val="00751E07"/>
    <w:rsid w:val="00751E0E"/>
    <w:rsid w:val="00751E22"/>
    <w:rsid w:val="00751E51"/>
    <w:rsid w:val="00751FCE"/>
    <w:rsid w:val="00751FDB"/>
    <w:rsid w:val="00752000"/>
    <w:rsid w:val="0075209C"/>
    <w:rsid w:val="0075233B"/>
    <w:rsid w:val="0075233D"/>
    <w:rsid w:val="007524D8"/>
    <w:rsid w:val="007524FB"/>
    <w:rsid w:val="0075254A"/>
    <w:rsid w:val="00752560"/>
    <w:rsid w:val="007525E2"/>
    <w:rsid w:val="007525EA"/>
    <w:rsid w:val="00752667"/>
    <w:rsid w:val="007526E2"/>
    <w:rsid w:val="007526F4"/>
    <w:rsid w:val="00752855"/>
    <w:rsid w:val="0075285E"/>
    <w:rsid w:val="007528CC"/>
    <w:rsid w:val="007528DA"/>
    <w:rsid w:val="00752993"/>
    <w:rsid w:val="00752A3E"/>
    <w:rsid w:val="00752B11"/>
    <w:rsid w:val="00752BD5"/>
    <w:rsid w:val="00752C1C"/>
    <w:rsid w:val="00752D96"/>
    <w:rsid w:val="00752DB3"/>
    <w:rsid w:val="007530FD"/>
    <w:rsid w:val="0075313D"/>
    <w:rsid w:val="00753212"/>
    <w:rsid w:val="00753273"/>
    <w:rsid w:val="007533A7"/>
    <w:rsid w:val="00753644"/>
    <w:rsid w:val="00753657"/>
    <w:rsid w:val="007536FD"/>
    <w:rsid w:val="00753705"/>
    <w:rsid w:val="0075374B"/>
    <w:rsid w:val="00753878"/>
    <w:rsid w:val="007539A7"/>
    <w:rsid w:val="007539FF"/>
    <w:rsid w:val="00753A35"/>
    <w:rsid w:val="00753AC2"/>
    <w:rsid w:val="00753AD2"/>
    <w:rsid w:val="00753CA9"/>
    <w:rsid w:val="00753CFB"/>
    <w:rsid w:val="00753D14"/>
    <w:rsid w:val="00753E41"/>
    <w:rsid w:val="00753E47"/>
    <w:rsid w:val="00753EB7"/>
    <w:rsid w:val="00753FB5"/>
    <w:rsid w:val="0075401E"/>
    <w:rsid w:val="00754020"/>
    <w:rsid w:val="00754093"/>
    <w:rsid w:val="007541A6"/>
    <w:rsid w:val="007541B3"/>
    <w:rsid w:val="007541B8"/>
    <w:rsid w:val="007541E0"/>
    <w:rsid w:val="00754278"/>
    <w:rsid w:val="00754377"/>
    <w:rsid w:val="00754390"/>
    <w:rsid w:val="007543B4"/>
    <w:rsid w:val="007543C9"/>
    <w:rsid w:val="00754415"/>
    <w:rsid w:val="0075441C"/>
    <w:rsid w:val="0075443B"/>
    <w:rsid w:val="00754468"/>
    <w:rsid w:val="00754515"/>
    <w:rsid w:val="0075459F"/>
    <w:rsid w:val="007545A9"/>
    <w:rsid w:val="0075464A"/>
    <w:rsid w:val="00754667"/>
    <w:rsid w:val="007546AC"/>
    <w:rsid w:val="007546EC"/>
    <w:rsid w:val="0075478F"/>
    <w:rsid w:val="007547CA"/>
    <w:rsid w:val="0075492E"/>
    <w:rsid w:val="00754941"/>
    <w:rsid w:val="00754956"/>
    <w:rsid w:val="00754972"/>
    <w:rsid w:val="00754A08"/>
    <w:rsid w:val="00754AD6"/>
    <w:rsid w:val="00754B43"/>
    <w:rsid w:val="00754C44"/>
    <w:rsid w:val="00754DFF"/>
    <w:rsid w:val="00754E13"/>
    <w:rsid w:val="00754EB7"/>
    <w:rsid w:val="00754ECC"/>
    <w:rsid w:val="00755179"/>
    <w:rsid w:val="0075521F"/>
    <w:rsid w:val="00755236"/>
    <w:rsid w:val="0075525D"/>
    <w:rsid w:val="0075526F"/>
    <w:rsid w:val="00755274"/>
    <w:rsid w:val="00755325"/>
    <w:rsid w:val="0075534D"/>
    <w:rsid w:val="007553D8"/>
    <w:rsid w:val="00755406"/>
    <w:rsid w:val="0075543D"/>
    <w:rsid w:val="0075551F"/>
    <w:rsid w:val="0075558C"/>
    <w:rsid w:val="00755609"/>
    <w:rsid w:val="00755612"/>
    <w:rsid w:val="00755745"/>
    <w:rsid w:val="0075577E"/>
    <w:rsid w:val="00755785"/>
    <w:rsid w:val="007557BF"/>
    <w:rsid w:val="007558CC"/>
    <w:rsid w:val="00755965"/>
    <w:rsid w:val="00755ABD"/>
    <w:rsid w:val="00755B09"/>
    <w:rsid w:val="00755B26"/>
    <w:rsid w:val="00755D0D"/>
    <w:rsid w:val="00755D4B"/>
    <w:rsid w:val="00755D50"/>
    <w:rsid w:val="00755EAD"/>
    <w:rsid w:val="00755EE2"/>
    <w:rsid w:val="00755EE7"/>
    <w:rsid w:val="00755F9B"/>
    <w:rsid w:val="00756152"/>
    <w:rsid w:val="00756160"/>
    <w:rsid w:val="007561FB"/>
    <w:rsid w:val="00756235"/>
    <w:rsid w:val="007562A3"/>
    <w:rsid w:val="007562B3"/>
    <w:rsid w:val="007563D2"/>
    <w:rsid w:val="007564FE"/>
    <w:rsid w:val="00756545"/>
    <w:rsid w:val="007565A6"/>
    <w:rsid w:val="00756688"/>
    <w:rsid w:val="00756727"/>
    <w:rsid w:val="0075672E"/>
    <w:rsid w:val="00756770"/>
    <w:rsid w:val="007567EC"/>
    <w:rsid w:val="00756895"/>
    <w:rsid w:val="00756919"/>
    <w:rsid w:val="00756940"/>
    <w:rsid w:val="007569ED"/>
    <w:rsid w:val="00756A03"/>
    <w:rsid w:val="00756A29"/>
    <w:rsid w:val="00756AE3"/>
    <w:rsid w:val="00756B19"/>
    <w:rsid w:val="00756BD1"/>
    <w:rsid w:val="00756BF7"/>
    <w:rsid w:val="00756CA2"/>
    <w:rsid w:val="00756CB1"/>
    <w:rsid w:val="00756CF0"/>
    <w:rsid w:val="00756D53"/>
    <w:rsid w:val="00756DA0"/>
    <w:rsid w:val="00756DAD"/>
    <w:rsid w:val="00756DF9"/>
    <w:rsid w:val="00756E13"/>
    <w:rsid w:val="00756E55"/>
    <w:rsid w:val="00756F7C"/>
    <w:rsid w:val="00756FB7"/>
    <w:rsid w:val="00756FD1"/>
    <w:rsid w:val="00757006"/>
    <w:rsid w:val="00757022"/>
    <w:rsid w:val="0075719B"/>
    <w:rsid w:val="007571F0"/>
    <w:rsid w:val="0075722B"/>
    <w:rsid w:val="0075723A"/>
    <w:rsid w:val="007572B4"/>
    <w:rsid w:val="007573CC"/>
    <w:rsid w:val="00757402"/>
    <w:rsid w:val="00757450"/>
    <w:rsid w:val="00757527"/>
    <w:rsid w:val="007575B1"/>
    <w:rsid w:val="007575CE"/>
    <w:rsid w:val="00757600"/>
    <w:rsid w:val="0075760B"/>
    <w:rsid w:val="007576A4"/>
    <w:rsid w:val="007576B9"/>
    <w:rsid w:val="007576BA"/>
    <w:rsid w:val="00757701"/>
    <w:rsid w:val="007577A0"/>
    <w:rsid w:val="0075787F"/>
    <w:rsid w:val="00757913"/>
    <w:rsid w:val="007579DC"/>
    <w:rsid w:val="00757B1A"/>
    <w:rsid w:val="00757B56"/>
    <w:rsid w:val="00757CEF"/>
    <w:rsid w:val="00757E28"/>
    <w:rsid w:val="00757E33"/>
    <w:rsid w:val="00757E45"/>
    <w:rsid w:val="00757E93"/>
    <w:rsid w:val="00757F12"/>
    <w:rsid w:val="00757F82"/>
    <w:rsid w:val="00757F90"/>
    <w:rsid w:val="0076009B"/>
    <w:rsid w:val="007600AC"/>
    <w:rsid w:val="0076014A"/>
    <w:rsid w:val="00760205"/>
    <w:rsid w:val="00760264"/>
    <w:rsid w:val="007602E9"/>
    <w:rsid w:val="00760355"/>
    <w:rsid w:val="00760394"/>
    <w:rsid w:val="00760398"/>
    <w:rsid w:val="00760439"/>
    <w:rsid w:val="00760471"/>
    <w:rsid w:val="00760488"/>
    <w:rsid w:val="007604A2"/>
    <w:rsid w:val="00760513"/>
    <w:rsid w:val="00760547"/>
    <w:rsid w:val="0076057A"/>
    <w:rsid w:val="00760796"/>
    <w:rsid w:val="007607BD"/>
    <w:rsid w:val="007608D0"/>
    <w:rsid w:val="007608D7"/>
    <w:rsid w:val="0076095C"/>
    <w:rsid w:val="00760A35"/>
    <w:rsid w:val="00760A70"/>
    <w:rsid w:val="00760A82"/>
    <w:rsid w:val="00760AA6"/>
    <w:rsid w:val="00760B06"/>
    <w:rsid w:val="00760B18"/>
    <w:rsid w:val="00760B73"/>
    <w:rsid w:val="00760BD0"/>
    <w:rsid w:val="00760CEB"/>
    <w:rsid w:val="00760D84"/>
    <w:rsid w:val="00760D95"/>
    <w:rsid w:val="00760DD8"/>
    <w:rsid w:val="00760E5E"/>
    <w:rsid w:val="00760F39"/>
    <w:rsid w:val="0076100D"/>
    <w:rsid w:val="00761073"/>
    <w:rsid w:val="0076119B"/>
    <w:rsid w:val="007611AB"/>
    <w:rsid w:val="00761242"/>
    <w:rsid w:val="00761294"/>
    <w:rsid w:val="007612EB"/>
    <w:rsid w:val="00761455"/>
    <w:rsid w:val="00761490"/>
    <w:rsid w:val="00761549"/>
    <w:rsid w:val="00761639"/>
    <w:rsid w:val="007616B4"/>
    <w:rsid w:val="0076175A"/>
    <w:rsid w:val="007617E7"/>
    <w:rsid w:val="00761816"/>
    <w:rsid w:val="007618F5"/>
    <w:rsid w:val="0076190B"/>
    <w:rsid w:val="00761963"/>
    <w:rsid w:val="00761B22"/>
    <w:rsid w:val="00761E44"/>
    <w:rsid w:val="00761EF9"/>
    <w:rsid w:val="00761F1A"/>
    <w:rsid w:val="00761F24"/>
    <w:rsid w:val="00761F31"/>
    <w:rsid w:val="0076212F"/>
    <w:rsid w:val="00762155"/>
    <w:rsid w:val="007621A1"/>
    <w:rsid w:val="007621B6"/>
    <w:rsid w:val="0076225E"/>
    <w:rsid w:val="007622FD"/>
    <w:rsid w:val="007623FA"/>
    <w:rsid w:val="007624B1"/>
    <w:rsid w:val="00762595"/>
    <w:rsid w:val="007625B8"/>
    <w:rsid w:val="007626B9"/>
    <w:rsid w:val="0076270F"/>
    <w:rsid w:val="00762783"/>
    <w:rsid w:val="007628BD"/>
    <w:rsid w:val="007628D7"/>
    <w:rsid w:val="0076290D"/>
    <w:rsid w:val="00762AA2"/>
    <w:rsid w:val="00762B3C"/>
    <w:rsid w:val="00762BD5"/>
    <w:rsid w:val="00762D5F"/>
    <w:rsid w:val="00762D8F"/>
    <w:rsid w:val="00763062"/>
    <w:rsid w:val="0076308D"/>
    <w:rsid w:val="0076315C"/>
    <w:rsid w:val="00763211"/>
    <w:rsid w:val="007632E6"/>
    <w:rsid w:val="0076332A"/>
    <w:rsid w:val="00763355"/>
    <w:rsid w:val="00763397"/>
    <w:rsid w:val="007633AD"/>
    <w:rsid w:val="007633B3"/>
    <w:rsid w:val="007633CD"/>
    <w:rsid w:val="00763405"/>
    <w:rsid w:val="00763438"/>
    <w:rsid w:val="0076348C"/>
    <w:rsid w:val="007635CE"/>
    <w:rsid w:val="00763673"/>
    <w:rsid w:val="00763771"/>
    <w:rsid w:val="007638DD"/>
    <w:rsid w:val="0076393F"/>
    <w:rsid w:val="00763A9C"/>
    <w:rsid w:val="00763AB4"/>
    <w:rsid w:val="00763BB0"/>
    <w:rsid w:val="00763CE3"/>
    <w:rsid w:val="00763D23"/>
    <w:rsid w:val="00763D40"/>
    <w:rsid w:val="00763F2E"/>
    <w:rsid w:val="00763F86"/>
    <w:rsid w:val="00764022"/>
    <w:rsid w:val="00764110"/>
    <w:rsid w:val="0076414F"/>
    <w:rsid w:val="0076418B"/>
    <w:rsid w:val="00764218"/>
    <w:rsid w:val="00764238"/>
    <w:rsid w:val="007642C7"/>
    <w:rsid w:val="00764395"/>
    <w:rsid w:val="007644BD"/>
    <w:rsid w:val="0076464A"/>
    <w:rsid w:val="00764679"/>
    <w:rsid w:val="007646BF"/>
    <w:rsid w:val="007646C6"/>
    <w:rsid w:val="00764755"/>
    <w:rsid w:val="0076477E"/>
    <w:rsid w:val="00764799"/>
    <w:rsid w:val="007648E4"/>
    <w:rsid w:val="00764946"/>
    <w:rsid w:val="0076496A"/>
    <w:rsid w:val="00764A67"/>
    <w:rsid w:val="00764A8B"/>
    <w:rsid w:val="00764AB4"/>
    <w:rsid w:val="00764AB8"/>
    <w:rsid w:val="00764ACF"/>
    <w:rsid w:val="00764AE6"/>
    <w:rsid w:val="00764B3C"/>
    <w:rsid w:val="00764CA1"/>
    <w:rsid w:val="00764CB8"/>
    <w:rsid w:val="00764D9D"/>
    <w:rsid w:val="00764E40"/>
    <w:rsid w:val="00764F34"/>
    <w:rsid w:val="00764FA1"/>
    <w:rsid w:val="00764FC4"/>
    <w:rsid w:val="00765271"/>
    <w:rsid w:val="00765316"/>
    <w:rsid w:val="007654E7"/>
    <w:rsid w:val="0076554C"/>
    <w:rsid w:val="00765583"/>
    <w:rsid w:val="007655E4"/>
    <w:rsid w:val="0076564B"/>
    <w:rsid w:val="00765700"/>
    <w:rsid w:val="00765871"/>
    <w:rsid w:val="0076589C"/>
    <w:rsid w:val="007658BA"/>
    <w:rsid w:val="00765A47"/>
    <w:rsid w:val="00765A7A"/>
    <w:rsid w:val="00765B12"/>
    <w:rsid w:val="00765B81"/>
    <w:rsid w:val="00765BBA"/>
    <w:rsid w:val="00765C5B"/>
    <w:rsid w:val="00765DB8"/>
    <w:rsid w:val="00765DCA"/>
    <w:rsid w:val="00765DFB"/>
    <w:rsid w:val="00765E5F"/>
    <w:rsid w:val="00765E72"/>
    <w:rsid w:val="00765FE8"/>
    <w:rsid w:val="0076604E"/>
    <w:rsid w:val="0076609B"/>
    <w:rsid w:val="0076623B"/>
    <w:rsid w:val="00766256"/>
    <w:rsid w:val="00766283"/>
    <w:rsid w:val="007662E4"/>
    <w:rsid w:val="0076631F"/>
    <w:rsid w:val="007664C1"/>
    <w:rsid w:val="00766673"/>
    <w:rsid w:val="007666D9"/>
    <w:rsid w:val="007666F2"/>
    <w:rsid w:val="0076673B"/>
    <w:rsid w:val="00766788"/>
    <w:rsid w:val="007667D2"/>
    <w:rsid w:val="007667E1"/>
    <w:rsid w:val="007667F6"/>
    <w:rsid w:val="0076682E"/>
    <w:rsid w:val="0076685E"/>
    <w:rsid w:val="00766950"/>
    <w:rsid w:val="0076697D"/>
    <w:rsid w:val="007669FA"/>
    <w:rsid w:val="00766A2D"/>
    <w:rsid w:val="00766A9F"/>
    <w:rsid w:val="00766AC8"/>
    <w:rsid w:val="00766B43"/>
    <w:rsid w:val="00766BD8"/>
    <w:rsid w:val="00766C2E"/>
    <w:rsid w:val="00766DE3"/>
    <w:rsid w:val="00766E32"/>
    <w:rsid w:val="00766E47"/>
    <w:rsid w:val="00766E90"/>
    <w:rsid w:val="00766E94"/>
    <w:rsid w:val="00766E9A"/>
    <w:rsid w:val="00766EFD"/>
    <w:rsid w:val="00766F59"/>
    <w:rsid w:val="0076701F"/>
    <w:rsid w:val="00767129"/>
    <w:rsid w:val="007672C0"/>
    <w:rsid w:val="00767356"/>
    <w:rsid w:val="007673F4"/>
    <w:rsid w:val="00767414"/>
    <w:rsid w:val="00767454"/>
    <w:rsid w:val="007674AB"/>
    <w:rsid w:val="00767502"/>
    <w:rsid w:val="00767522"/>
    <w:rsid w:val="0076752E"/>
    <w:rsid w:val="0076754B"/>
    <w:rsid w:val="0076764A"/>
    <w:rsid w:val="007676A4"/>
    <w:rsid w:val="007676A6"/>
    <w:rsid w:val="007676CF"/>
    <w:rsid w:val="007677E2"/>
    <w:rsid w:val="007678AC"/>
    <w:rsid w:val="007678B7"/>
    <w:rsid w:val="00767912"/>
    <w:rsid w:val="00767916"/>
    <w:rsid w:val="00767997"/>
    <w:rsid w:val="007679DD"/>
    <w:rsid w:val="00767A1C"/>
    <w:rsid w:val="00767A2A"/>
    <w:rsid w:val="00767A7F"/>
    <w:rsid w:val="00767AD3"/>
    <w:rsid w:val="00767AE0"/>
    <w:rsid w:val="00767AF4"/>
    <w:rsid w:val="00767B1E"/>
    <w:rsid w:val="00767B68"/>
    <w:rsid w:val="00767CC1"/>
    <w:rsid w:val="00767CD4"/>
    <w:rsid w:val="00767D0A"/>
    <w:rsid w:val="00767E09"/>
    <w:rsid w:val="00767EC8"/>
    <w:rsid w:val="00767FC8"/>
    <w:rsid w:val="007701D2"/>
    <w:rsid w:val="007701EC"/>
    <w:rsid w:val="0077020E"/>
    <w:rsid w:val="0077028D"/>
    <w:rsid w:val="00770372"/>
    <w:rsid w:val="0077040C"/>
    <w:rsid w:val="00770443"/>
    <w:rsid w:val="00770469"/>
    <w:rsid w:val="00770480"/>
    <w:rsid w:val="007704D2"/>
    <w:rsid w:val="007704E0"/>
    <w:rsid w:val="00770596"/>
    <w:rsid w:val="00770617"/>
    <w:rsid w:val="00770664"/>
    <w:rsid w:val="007707D6"/>
    <w:rsid w:val="00770802"/>
    <w:rsid w:val="00770827"/>
    <w:rsid w:val="0077082B"/>
    <w:rsid w:val="00770B70"/>
    <w:rsid w:val="00770BB4"/>
    <w:rsid w:val="00770C6C"/>
    <w:rsid w:val="00770D1F"/>
    <w:rsid w:val="00770DED"/>
    <w:rsid w:val="00770E5B"/>
    <w:rsid w:val="00770FF5"/>
    <w:rsid w:val="00771025"/>
    <w:rsid w:val="00771049"/>
    <w:rsid w:val="0077104B"/>
    <w:rsid w:val="00771210"/>
    <w:rsid w:val="0077127F"/>
    <w:rsid w:val="00771369"/>
    <w:rsid w:val="007713AB"/>
    <w:rsid w:val="007713B1"/>
    <w:rsid w:val="00771461"/>
    <w:rsid w:val="0077146F"/>
    <w:rsid w:val="007714AD"/>
    <w:rsid w:val="007714FA"/>
    <w:rsid w:val="00771546"/>
    <w:rsid w:val="0077156E"/>
    <w:rsid w:val="00771583"/>
    <w:rsid w:val="007715C8"/>
    <w:rsid w:val="00771693"/>
    <w:rsid w:val="0077169C"/>
    <w:rsid w:val="00771726"/>
    <w:rsid w:val="00771741"/>
    <w:rsid w:val="0077194F"/>
    <w:rsid w:val="007719E9"/>
    <w:rsid w:val="00771B76"/>
    <w:rsid w:val="00771C09"/>
    <w:rsid w:val="00771D83"/>
    <w:rsid w:val="00771DF8"/>
    <w:rsid w:val="00771F04"/>
    <w:rsid w:val="00771F83"/>
    <w:rsid w:val="00771FCE"/>
    <w:rsid w:val="00772102"/>
    <w:rsid w:val="00772142"/>
    <w:rsid w:val="0077217B"/>
    <w:rsid w:val="007721D0"/>
    <w:rsid w:val="00772430"/>
    <w:rsid w:val="0077257E"/>
    <w:rsid w:val="0077261A"/>
    <w:rsid w:val="00772687"/>
    <w:rsid w:val="00772739"/>
    <w:rsid w:val="00772863"/>
    <w:rsid w:val="007728EC"/>
    <w:rsid w:val="00772958"/>
    <w:rsid w:val="00772A60"/>
    <w:rsid w:val="00772A7B"/>
    <w:rsid w:val="00772A8C"/>
    <w:rsid w:val="00772A97"/>
    <w:rsid w:val="00772AC4"/>
    <w:rsid w:val="00772B0F"/>
    <w:rsid w:val="00772B84"/>
    <w:rsid w:val="00772C16"/>
    <w:rsid w:val="00772CB6"/>
    <w:rsid w:val="00772CBD"/>
    <w:rsid w:val="00772D64"/>
    <w:rsid w:val="00772E24"/>
    <w:rsid w:val="00772E56"/>
    <w:rsid w:val="00772E86"/>
    <w:rsid w:val="00772EE8"/>
    <w:rsid w:val="00772F56"/>
    <w:rsid w:val="00772F5E"/>
    <w:rsid w:val="0077303A"/>
    <w:rsid w:val="007730B9"/>
    <w:rsid w:val="00773106"/>
    <w:rsid w:val="0077315F"/>
    <w:rsid w:val="007731BE"/>
    <w:rsid w:val="00773230"/>
    <w:rsid w:val="00773243"/>
    <w:rsid w:val="007732B8"/>
    <w:rsid w:val="00773386"/>
    <w:rsid w:val="00773495"/>
    <w:rsid w:val="0077352F"/>
    <w:rsid w:val="00773671"/>
    <w:rsid w:val="00773686"/>
    <w:rsid w:val="00773813"/>
    <w:rsid w:val="0077398A"/>
    <w:rsid w:val="007739FA"/>
    <w:rsid w:val="00773ADD"/>
    <w:rsid w:val="00773B8F"/>
    <w:rsid w:val="00773C1E"/>
    <w:rsid w:val="00773CCE"/>
    <w:rsid w:val="00773DDB"/>
    <w:rsid w:val="00773E6A"/>
    <w:rsid w:val="00773EDD"/>
    <w:rsid w:val="00773FEA"/>
    <w:rsid w:val="0077403D"/>
    <w:rsid w:val="00774077"/>
    <w:rsid w:val="00774099"/>
    <w:rsid w:val="00774140"/>
    <w:rsid w:val="007743D2"/>
    <w:rsid w:val="007744E4"/>
    <w:rsid w:val="00774649"/>
    <w:rsid w:val="00774755"/>
    <w:rsid w:val="0077476D"/>
    <w:rsid w:val="007747B3"/>
    <w:rsid w:val="007748E9"/>
    <w:rsid w:val="007748F7"/>
    <w:rsid w:val="00774960"/>
    <w:rsid w:val="00774967"/>
    <w:rsid w:val="007749AF"/>
    <w:rsid w:val="007749E4"/>
    <w:rsid w:val="007749EF"/>
    <w:rsid w:val="00774A21"/>
    <w:rsid w:val="00774A83"/>
    <w:rsid w:val="00774B16"/>
    <w:rsid w:val="00774B1B"/>
    <w:rsid w:val="00774B1C"/>
    <w:rsid w:val="00774B4C"/>
    <w:rsid w:val="00774B75"/>
    <w:rsid w:val="00774BAD"/>
    <w:rsid w:val="00774C29"/>
    <w:rsid w:val="00774CC0"/>
    <w:rsid w:val="00774D4F"/>
    <w:rsid w:val="00774DA7"/>
    <w:rsid w:val="00774DD3"/>
    <w:rsid w:val="00774EC3"/>
    <w:rsid w:val="00774F61"/>
    <w:rsid w:val="00774FA8"/>
    <w:rsid w:val="00774FAE"/>
    <w:rsid w:val="00774FCA"/>
    <w:rsid w:val="00774FD2"/>
    <w:rsid w:val="007750D0"/>
    <w:rsid w:val="00775196"/>
    <w:rsid w:val="007752F4"/>
    <w:rsid w:val="00775472"/>
    <w:rsid w:val="00775567"/>
    <w:rsid w:val="00775641"/>
    <w:rsid w:val="007756B3"/>
    <w:rsid w:val="007756DE"/>
    <w:rsid w:val="007756E4"/>
    <w:rsid w:val="007757FD"/>
    <w:rsid w:val="0077580F"/>
    <w:rsid w:val="00775A45"/>
    <w:rsid w:val="00775AD1"/>
    <w:rsid w:val="00775AE1"/>
    <w:rsid w:val="00775B58"/>
    <w:rsid w:val="00775BBD"/>
    <w:rsid w:val="00775CAD"/>
    <w:rsid w:val="00775D80"/>
    <w:rsid w:val="00775D95"/>
    <w:rsid w:val="00775E34"/>
    <w:rsid w:val="00775F8E"/>
    <w:rsid w:val="00775FE4"/>
    <w:rsid w:val="0077606E"/>
    <w:rsid w:val="007760B7"/>
    <w:rsid w:val="0077610A"/>
    <w:rsid w:val="00776110"/>
    <w:rsid w:val="007762A7"/>
    <w:rsid w:val="007762B8"/>
    <w:rsid w:val="007762C8"/>
    <w:rsid w:val="007762CD"/>
    <w:rsid w:val="007763B9"/>
    <w:rsid w:val="007763E9"/>
    <w:rsid w:val="00776416"/>
    <w:rsid w:val="007764E5"/>
    <w:rsid w:val="007766ED"/>
    <w:rsid w:val="00776711"/>
    <w:rsid w:val="007767FE"/>
    <w:rsid w:val="00776907"/>
    <w:rsid w:val="00776911"/>
    <w:rsid w:val="00776988"/>
    <w:rsid w:val="00776A09"/>
    <w:rsid w:val="00776B37"/>
    <w:rsid w:val="00776B4F"/>
    <w:rsid w:val="00776B89"/>
    <w:rsid w:val="00776BDA"/>
    <w:rsid w:val="00776CFE"/>
    <w:rsid w:val="00776D5A"/>
    <w:rsid w:val="00776DC8"/>
    <w:rsid w:val="00776DFD"/>
    <w:rsid w:val="00776E22"/>
    <w:rsid w:val="00776EBF"/>
    <w:rsid w:val="00776F30"/>
    <w:rsid w:val="007770C1"/>
    <w:rsid w:val="0077719E"/>
    <w:rsid w:val="007771D1"/>
    <w:rsid w:val="007771EB"/>
    <w:rsid w:val="007771FB"/>
    <w:rsid w:val="007772D7"/>
    <w:rsid w:val="00777386"/>
    <w:rsid w:val="0077741C"/>
    <w:rsid w:val="0077746B"/>
    <w:rsid w:val="007774C4"/>
    <w:rsid w:val="007774E5"/>
    <w:rsid w:val="00777561"/>
    <w:rsid w:val="007775FF"/>
    <w:rsid w:val="007776AF"/>
    <w:rsid w:val="00777724"/>
    <w:rsid w:val="0077772B"/>
    <w:rsid w:val="0077776D"/>
    <w:rsid w:val="0077781D"/>
    <w:rsid w:val="00777841"/>
    <w:rsid w:val="00777867"/>
    <w:rsid w:val="007778FE"/>
    <w:rsid w:val="007779D1"/>
    <w:rsid w:val="00777A2E"/>
    <w:rsid w:val="00777A71"/>
    <w:rsid w:val="00777B92"/>
    <w:rsid w:val="00777BED"/>
    <w:rsid w:val="00777BFB"/>
    <w:rsid w:val="00777C51"/>
    <w:rsid w:val="00777C56"/>
    <w:rsid w:val="00777D99"/>
    <w:rsid w:val="00777E0E"/>
    <w:rsid w:val="00777F7E"/>
    <w:rsid w:val="00777FB1"/>
    <w:rsid w:val="00777FD8"/>
    <w:rsid w:val="00777FFE"/>
    <w:rsid w:val="007800B2"/>
    <w:rsid w:val="00780148"/>
    <w:rsid w:val="0078019E"/>
    <w:rsid w:val="0078020E"/>
    <w:rsid w:val="00780215"/>
    <w:rsid w:val="0078029A"/>
    <w:rsid w:val="00780314"/>
    <w:rsid w:val="00780340"/>
    <w:rsid w:val="007803D5"/>
    <w:rsid w:val="007803FD"/>
    <w:rsid w:val="0078041B"/>
    <w:rsid w:val="007804C3"/>
    <w:rsid w:val="007804F3"/>
    <w:rsid w:val="00780510"/>
    <w:rsid w:val="00780583"/>
    <w:rsid w:val="00780591"/>
    <w:rsid w:val="0078060F"/>
    <w:rsid w:val="007806AB"/>
    <w:rsid w:val="007806B5"/>
    <w:rsid w:val="007806E0"/>
    <w:rsid w:val="00780772"/>
    <w:rsid w:val="007808A1"/>
    <w:rsid w:val="007808C2"/>
    <w:rsid w:val="00780933"/>
    <w:rsid w:val="0078098D"/>
    <w:rsid w:val="007809B1"/>
    <w:rsid w:val="00780A0B"/>
    <w:rsid w:val="00780A8D"/>
    <w:rsid w:val="00780A9B"/>
    <w:rsid w:val="00780B35"/>
    <w:rsid w:val="00780B4D"/>
    <w:rsid w:val="00780B72"/>
    <w:rsid w:val="00780BF8"/>
    <w:rsid w:val="00780CE9"/>
    <w:rsid w:val="00780D06"/>
    <w:rsid w:val="00780D55"/>
    <w:rsid w:val="00780E19"/>
    <w:rsid w:val="00780E90"/>
    <w:rsid w:val="00780ED7"/>
    <w:rsid w:val="00780F74"/>
    <w:rsid w:val="00780FAD"/>
    <w:rsid w:val="00780FC1"/>
    <w:rsid w:val="00781027"/>
    <w:rsid w:val="007810A4"/>
    <w:rsid w:val="0078111A"/>
    <w:rsid w:val="00781243"/>
    <w:rsid w:val="00781378"/>
    <w:rsid w:val="007813C4"/>
    <w:rsid w:val="00781462"/>
    <w:rsid w:val="0078147A"/>
    <w:rsid w:val="00781583"/>
    <w:rsid w:val="00781655"/>
    <w:rsid w:val="007816AE"/>
    <w:rsid w:val="00781701"/>
    <w:rsid w:val="00781722"/>
    <w:rsid w:val="007817AF"/>
    <w:rsid w:val="007818B5"/>
    <w:rsid w:val="007818CD"/>
    <w:rsid w:val="00781913"/>
    <w:rsid w:val="007819BD"/>
    <w:rsid w:val="00781A95"/>
    <w:rsid w:val="00781B30"/>
    <w:rsid w:val="00781C15"/>
    <w:rsid w:val="00781E66"/>
    <w:rsid w:val="00781E92"/>
    <w:rsid w:val="00781EE3"/>
    <w:rsid w:val="00782023"/>
    <w:rsid w:val="00782081"/>
    <w:rsid w:val="007821ED"/>
    <w:rsid w:val="00782240"/>
    <w:rsid w:val="0078224F"/>
    <w:rsid w:val="007823A9"/>
    <w:rsid w:val="007823B5"/>
    <w:rsid w:val="007823B6"/>
    <w:rsid w:val="00782440"/>
    <w:rsid w:val="0078256A"/>
    <w:rsid w:val="00782611"/>
    <w:rsid w:val="00782661"/>
    <w:rsid w:val="00782899"/>
    <w:rsid w:val="007828A7"/>
    <w:rsid w:val="00782971"/>
    <w:rsid w:val="007829C0"/>
    <w:rsid w:val="00782A75"/>
    <w:rsid w:val="00782C33"/>
    <w:rsid w:val="00782C56"/>
    <w:rsid w:val="00782C68"/>
    <w:rsid w:val="00782D15"/>
    <w:rsid w:val="00782DB3"/>
    <w:rsid w:val="00782DB7"/>
    <w:rsid w:val="00782EEF"/>
    <w:rsid w:val="00782F0D"/>
    <w:rsid w:val="00783056"/>
    <w:rsid w:val="0078306A"/>
    <w:rsid w:val="0078314B"/>
    <w:rsid w:val="00783172"/>
    <w:rsid w:val="00783331"/>
    <w:rsid w:val="00783345"/>
    <w:rsid w:val="0078335B"/>
    <w:rsid w:val="00783458"/>
    <w:rsid w:val="007834D8"/>
    <w:rsid w:val="007834DF"/>
    <w:rsid w:val="007834ED"/>
    <w:rsid w:val="0078356E"/>
    <w:rsid w:val="007835AE"/>
    <w:rsid w:val="0078362E"/>
    <w:rsid w:val="0078367E"/>
    <w:rsid w:val="00783686"/>
    <w:rsid w:val="007837C2"/>
    <w:rsid w:val="0078382B"/>
    <w:rsid w:val="00783843"/>
    <w:rsid w:val="00783991"/>
    <w:rsid w:val="0078399A"/>
    <w:rsid w:val="00783A85"/>
    <w:rsid w:val="00783BB0"/>
    <w:rsid w:val="00783BC4"/>
    <w:rsid w:val="00783BF7"/>
    <w:rsid w:val="00783C61"/>
    <w:rsid w:val="00783C7A"/>
    <w:rsid w:val="00783D3F"/>
    <w:rsid w:val="00783E83"/>
    <w:rsid w:val="00783FCA"/>
    <w:rsid w:val="0078413B"/>
    <w:rsid w:val="0078415A"/>
    <w:rsid w:val="00784291"/>
    <w:rsid w:val="00784324"/>
    <w:rsid w:val="007844FD"/>
    <w:rsid w:val="00784514"/>
    <w:rsid w:val="00784574"/>
    <w:rsid w:val="0078460F"/>
    <w:rsid w:val="0078462A"/>
    <w:rsid w:val="00784670"/>
    <w:rsid w:val="007847A3"/>
    <w:rsid w:val="007847FC"/>
    <w:rsid w:val="00784893"/>
    <w:rsid w:val="00784997"/>
    <w:rsid w:val="007849BE"/>
    <w:rsid w:val="00784A54"/>
    <w:rsid w:val="00784ACC"/>
    <w:rsid w:val="00784C81"/>
    <w:rsid w:val="00784C9D"/>
    <w:rsid w:val="00784CB1"/>
    <w:rsid w:val="00784D0A"/>
    <w:rsid w:val="00784D45"/>
    <w:rsid w:val="00784F12"/>
    <w:rsid w:val="00784F55"/>
    <w:rsid w:val="007850F8"/>
    <w:rsid w:val="007851EC"/>
    <w:rsid w:val="007852D6"/>
    <w:rsid w:val="0078530B"/>
    <w:rsid w:val="00785331"/>
    <w:rsid w:val="007853E7"/>
    <w:rsid w:val="007853F6"/>
    <w:rsid w:val="00785536"/>
    <w:rsid w:val="007855C0"/>
    <w:rsid w:val="00785608"/>
    <w:rsid w:val="00785747"/>
    <w:rsid w:val="007857BB"/>
    <w:rsid w:val="007857D2"/>
    <w:rsid w:val="0078584C"/>
    <w:rsid w:val="00785889"/>
    <w:rsid w:val="00785A43"/>
    <w:rsid w:val="00785BE6"/>
    <w:rsid w:val="00785C0C"/>
    <w:rsid w:val="00785C21"/>
    <w:rsid w:val="00785C2B"/>
    <w:rsid w:val="00785E5E"/>
    <w:rsid w:val="00785EB7"/>
    <w:rsid w:val="00785F01"/>
    <w:rsid w:val="00785F33"/>
    <w:rsid w:val="00785F67"/>
    <w:rsid w:val="00785F6C"/>
    <w:rsid w:val="00786070"/>
    <w:rsid w:val="00786087"/>
    <w:rsid w:val="007860DD"/>
    <w:rsid w:val="007861CE"/>
    <w:rsid w:val="00786279"/>
    <w:rsid w:val="00786360"/>
    <w:rsid w:val="007863EC"/>
    <w:rsid w:val="00786439"/>
    <w:rsid w:val="007864E0"/>
    <w:rsid w:val="007866EB"/>
    <w:rsid w:val="00786719"/>
    <w:rsid w:val="007867A9"/>
    <w:rsid w:val="007867B5"/>
    <w:rsid w:val="007867DA"/>
    <w:rsid w:val="007868BE"/>
    <w:rsid w:val="007869CC"/>
    <w:rsid w:val="00786A01"/>
    <w:rsid w:val="00786A1D"/>
    <w:rsid w:val="00786A7F"/>
    <w:rsid w:val="00786AA2"/>
    <w:rsid w:val="00786B31"/>
    <w:rsid w:val="00786B88"/>
    <w:rsid w:val="00786C02"/>
    <w:rsid w:val="00786C04"/>
    <w:rsid w:val="00786C60"/>
    <w:rsid w:val="00786CC2"/>
    <w:rsid w:val="00786D53"/>
    <w:rsid w:val="00786D91"/>
    <w:rsid w:val="00786D96"/>
    <w:rsid w:val="00786DB7"/>
    <w:rsid w:val="00786EA1"/>
    <w:rsid w:val="00787091"/>
    <w:rsid w:val="0078717D"/>
    <w:rsid w:val="00787333"/>
    <w:rsid w:val="007873A4"/>
    <w:rsid w:val="007873AE"/>
    <w:rsid w:val="007873B2"/>
    <w:rsid w:val="00787493"/>
    <w:rsid w:val="007874DD"/>
    <w:rsid w:val="007874E2"/>
    <w:rsid w:val="00787535"/>
    <w:rsid w:val="00787617"/>
    <w:rsid w:val="007876BF"/>
    <w:rsid w:val="007877AD"/>
    <w:rsid w:val="007877E8"/>
    <w:rsid w:val="00787921"/>
    <w:rsid w:val="00787960"/>
    <w:rsid w:val="00787A32"/>
    <w:rsid w:val="00787A50"/>
    <w:rsid w:val="00787A89"/>
    <w:rsid w:val="00787A99"/>
    <w:rsid w:val="00787AF2"/>
    <w:rsid w:val="00787C08"/>
    <w:rsid w:val="00787C1E"/>
    <w:rsid w:val="00787CF6"/>
    <w:rsid w:val="00787D34"/>
    <w:rsid w:val="00787D4B"/>
    <w:rsid w:val="00787D57"/>
    <w:rsid w:val="00787D6E"/>
    <w:rsid w:val="00787D84"/>
    <w:rsid w:val="00787DE0"/>
    <w:rsid w:val="00787E92"/>
    <w:rsid w:val="00787EA0"/>
    <w:rsid w:val="00787EF5"/>
    <w:rsid w:val="00787F2C"/>
    <w:rsid w:val="00787F79"/>
    <w:rsid w:val="00790156"/>
    <w:rsid w:val="0079015D"/>
    <w:rsid w:val="00790168"/>
    <w:rsid w:val="007901D2"/>
    <w:rsid w:val="007902A6"/>
    <w:rsid w:val="007902B2"/>
    <w:rsid w:val="00790383"/>
    <w:rsid w:val="00790407"/>
    <w:rsid w:val="00790559"/>
    <w:rsid w:val="007905FA"/>
    <w:rsid w:val="0079068A"/>
    <w:rsid w:val="007908A2"/>
    <w:rsid w:val="00790915"/>
    <w:rsid w:val="007909F6"/>
    <w:rsid w:val="007909FE"/>
    <w:rsid w:val="00790A43"/>
    <w:rsid w:val="00790A72"/>
    <w:rsid w:val="00790D35"/>
    <w:rsid w:val="00790D8C"/>
    <w:rsid w:val="00790E14"/>
    <w:rsid w:val="00790F11"/>
    <w:rsid w:val="00790F5D"/>
    <w:rsid w:val="00790FD4"/>
    <w:rsid w:val="00791086"/>
    <w:rsid w:val="007911A3"/>
    <w:rsid w:val="00791285"/>
    <w:rsid w:val="0079139C"/>
    <w:rsid w:val="00791450"/>
    <w:rsid w:val="007915D5"/>
    <w:rsid w:val="00791716"/>
    <w:rsid w:val="00791753"/>
    <w:rsid w:val="0079196C"/>
    <w:rsid w:val="00791997"/>
    <w:rsid w:val="00791A0B"/>
    <w:rsid w:val="00791A66"/>
    <w:rsid w:val="00791A69"/>
    <w:rsid w:val="00791A75"/>
    <w:rsid w:val="00791AB9"/>
    <w:rsid w:val="00791BE3"/>
    <w:rsid w:val="00791BE6"/>
    <w:rsid w:val="00791C8A"/>
    <w:rsid w:val="00791CED"/>
    <w:rsid w:val="00791E44"/>
    <w:rsid w:val="00791E5D"/>
    <w:rsid w:val="00791E91"/>
    <w:rsid w:val="00791F26"/>
    <w:rsid w:val="00791FD9"/>
    <w:rsid w:val="00791FDC"/>
    <w:rsid w:val="00791FF8"/>
    <w:rsid w:val="007920A8"/>
    <w:rsid w:val="0079219B"/>
    <w:rsid w:val="007921AF"/>
    <w:rsid w:val="00792232"/>
    <w:rsid w:val="00792267"/>
    <w:rsid w:val="0079246B"/>
    <w:rsid w:val="00792583"/>
    <w:rsid w:val="00792717"/>
    <w:rsid w:val="00792798"/>
    <w:rsid w:val="00792838"/>
    <w:rsid w:val="007928F7"/>
    <w:rsid w:val="00792921"/>
    <w:rsid w:val="007929D1"/>
    <w:rsid w:val="007929E4"/>
    <w:rsid w:val="00792AD2"/>
    <w:rsid w:val="00792B5B"/>
    <w:rsid w:val="00792BA6"/>
    <w:rsid w:val="00792BAA"/>
    <w:rsid w:val="00792BFA"/>
    <w:rsid w:val="00792C23"/>
    <w:rsid w:val="00792D1F"/>
    <w:rsid w:val="00792D9C"/>
    <w:rsid w:val="00793028"/>
    <w:rsid w:val="007930AE"/>
    <w:rsid w:val="00793197"/>
    <w:rsid w:val="00793202"/>
    <w:rsid w:val="007932F8"/>
    <w:rsid w:val="00793401"/>
    <w:rsid w:val="00793404"/>
    <w:rsid w:val="0079355E"/>
    <w:rsid w:val="0079359B"/>
    <w:rsid w:val="007936B8"/>
    <w:rsid w:val="0079376C"/>
    <w:rsid w:val="007938F7"/>
    <w:rsid w:val="00793B99"/>
    <w:rsid w:val="00793C93"/>
    <w:rsid w:val="00793CE5"/>
    <w:rsid w:val="00793CFA"/>
    <w:rsid w:val="00793D02"/>
    <w:rsid w:val="00793D0B"/>
    <w:rsid w:val="00793D2E"/>
    <w:rsid w:val="00793D4E"/>
    <w:rsid w:val="00793D51"/>
    <w:rsid w:val="00793D6F"/>
    <w:rsid w:val="00793D73"/>
    <w:rsid w:val="00793DAC"/>
    <w:rsid w:val="00793DAE"/>
    <w:rsid w:val="00793E3D"/>
    <w:rsid w:val="00793EE1"/>
    <w:rsid w:val="00793FA9"/>
    <w:rsid w:val="00794082"/>
    <w:rsid w:val="007940AB"/>
    <w:rsid w:val="007940B8"/>
    <w:rsid w:val="0079436A"/>
    <w:rsid w:val="0079440C"/>
    <w:rsid w:val="007944EA"/>
    <w:rsid w:val="00794560"/>
    <w:rsid w:val="00794564"/>
    <w:rsid w:val="007946B4"/>
    <w:rsid w:val="0079471A"/>
    <w:rsid w:val="00794744"/>
    <w:rsid w:val="00794878"/>
    <w:rsid w:val="0079487E"/>
    <w:rsid w:val="007948C3"/>
    <w:rsid w:val="007948C7"/>
    <w:rsid w:val="007948F8"/>
    <w:rsid w:val="007948FD"/>
    <w:rsid w:val="00794971"/>
    <w:rsid w:val="00794CAA"/>
    <w:rsid w:val="00794CB0"/>
    <w:rsid w:val="00794D4B"/>
    <w:rsid w:val="00794D79"/>
    <w:rsid w:val="00794E0F"/>
    <w:rsid w:val="00794E13"/>
    <w:rsid w:val="00794E40"/>
    <w:rsid w:val="00794FA7"/>
    <w:rsid w:val="00794FB2"/>
    <w:rsid w:val="00794FBA"/>
    <w:rsid w:val="00795072"/>
    <w:rsid w:val="00795105"/>
    <w:rsid w:val="0079517F"/>
    <w:rsid w:val="00795295"/>
    <w:rsid w:val="00795333"/>
    <w:rsid w:val="007953A9"/>
    <w:rsid w:val="007953B9"/>
    <w:rsid w:val="007953EA"/>
    <w:rsid w:val="00795407"/>
    <w:rsid w:val="00795448"/>
    <w:rsid w:val="00795509"/>
    <w:rsid w:val="00795579"/>
    <w:rsid w:val="00795642"/>
    <w:rsid w:val="007956AC"/>
    <w:rsid w:val="007956AD"/>
    <w:rsid w:val="007956CF"/>
    <w:rsid w:val="007956E1"/>
    <w:rsid w:val="00795880"/>
    <w:rsid w:val="0079594E"/>
    <w:rsid w:val="00795B1F"/>
    <w:rsid w:val="00795BB6"/>
    <w:rsid w:val="00795BF1"/>
    <w:rsid w:val="00795C26"/>
    <w:rsid w:val="00795C40"/>
    <w:rsid w:val="00795C73"/>
    <w:rsid w:val="00795D2D"/>
    <w:rsid w:val="00795EB4"/>
    <w:rsid w:val="00795FB1"/>
    <w:rsid w:val="007960D0"/>
    <w:rsid w:val="00796197"/>
    <w:rsid w:val="00796350"/>
    <w:rsid w:val="00796363"/>
    <w:rsid w:val="007963BB"/>
    <w:rsid w:val="007963C2"/>
    <w:rsid w:val="00796526"/>
    <w:rsid w:val="0079653E"/>
    <w:rsid w:val="007965DB"/>
    <w:rsid w:val="0079660A"/>
    <w:rsid w:val="00796741"/>
    <w:rsid w:val="00796759"/>
    <w:rsid w:val="007967F2"/>
    <w:rsid w:val="007967F4"/>
    <w:rsid w:val="0079693A"/>
    <w:rsid w:val="0079695B"/>
    <w:rsid w:val="00796A19"/>
    <w:rsid w:val="00796A59"/>
    <w:rsid w:val="00796AB1"/>
    <w:rsid w:val="00796B0B"/>
    <w:rsid w:val="00796C1A"/>
    <w:rsid w:val="00796C68"/>
    <w:rsid w:val="00796C7B"/>
    <w:rsid w:val="00796DA3"/>
    <w:rsid w:val="00796E19"/>
    <w:rsid w:val="00796E1F"/>
    <w:rsid w:val="00796E50"/>
    <w:rsid w:val="00796E74"/>
    <w:rsid w:val="00796E8B"/>
    <w:rsid w:val="00796FB1"/>
    <w:rsid w:val="00797045"/>
    <w:rsid w:val="00797086"/>
    <w:rsid w:val="00797143"/>
    <w:rsid w:val="0079718A"/>
    <w:rsid w:val="007971A5"/>
    <w:rsid w:val="007971D1"/>
    <w:rsid w:val="007971EF"/>
    <w:rsid w:val="00797488"/>
    <w:rsid w:val="00797518"/>
    <w:rsid w:val="00797644"/>
    <w:rsid w:val="00797655"/>
    <w:rsid w:val="00797679"/>
    <w:rsid w:val="0079772B"/>
    <w:rsid w:val="0079772F"/>
    <w:rsid w:val="0079773B"/>
    <w:rsid w:val="007977CC"/>
    <w:rsid w:val="0079793A"/>
    <w:rsid w:val="00797972"/>
    <w:rsid w:val="00797B0E"/>
    <w:rsid w:val="00797B7E"/>
    <w:rsid w:val="00797C24"/>
    <w:rsid w:val="00797C99"/>
    <w:rsid w:val="00797DC3"/>
    <w:rsid w:val="00797DC5"/>
    <w:rsid w:val="00797DC7"/>
    <w:rsid w:val="00797F36"/>
    <w:rsid w:val="00797F77"/>
    <w:rsid w:val="007A00BA"/>
    <w:rsid w:val="007A01A6"/>
    <w:rsid w:val="007A01D6"/>
    <w:rsid w:val="007A02AE"/>
    <w:rsid w:val="007A02DF"/>
    <w:rsid w:val="007A0398"/>
    <w:rsid w:val="007A05A2"/>
    <w:rsid w:val="007A05BA"/>
    <w:rsid w:val="007A0744"/>
    <w:rsid w:val="007A07A9"/>
    <w:rsid w:val="007A07B4"/>
    <w:rsid w:val="007A08E5"/>
    <w:rsid w:val="007A0AA5"/>
    <w:rsid w:val="007A0B3C"/>
    <w:rsid w:val="007A0CBA"/>
    <w:rsid w:val="007A0D51"/>
    <w:rsid w:val="007A0D90"/>
    <w:rsid w:val="007A0D9F"/>
    <w:rsid w:val="007A0DE3"/>
    <w:rsid w:val="007A0DF5"/>
    <w:rsid w:val="007A0F6F"/>
    <w:rsid w:val="007A1052"/>
    <w:rsid w:val="007A1141"/>
    <w:rsid w:val="007A1188"/>
    <w:rsid w:val="007A11AD"/>
    <w:rsid w:val="007A12F4"/>
    <w:rsid w:val="007A12FE"/>
    <w:rsid w:val="007A13E8"/>
    <w:rsid w:val="007A1411"/>
    <w:rsid w:val="007A1547"/>
    <w:rsid w:val="007A1572"/>
    <w:rsid w:val="007A15C2"/>
    <w:rsid w:val="007A190A"/>
    <w:rsid w:val="007A194C"/>
    <w:rsid w:val="007A19AB"/>
    <w:rsid w:val="007A19D0"/>
    <w:rsid w:val="007A1A1F"/>
    <w:rsid w:val="007A1B3A"/>
    <w:rsid w:val="007A1BC8"/>
    <w:rsid w:val="007A1C14"/>
    <w:rsid w:val="007A1CBB"/>
    <w:rsid w:val="007A1CC6"/>
    <w:rsid w:val="007A1CD6"/>
    <w:rsid w:val="007A1D11"/>
    <w:rsid w:val="007A1E3B"/>
    <w:rsid w:val="007A20CA"/>
    <w:rsid w:val="007A21A8"/>
    <w:rsid w:val="007A21EA"/>
    <w:rsid w:val="007A2233"/>
    <w:rsid w:val="007A228B"/>
    <w:rsid w:val="007A2296"/>
    <w:rsid w:val="007A2347"/>
    <w:rsid w:val="007A2464"/>
    <w:rsid w:val="007A246A"/>
    <w:rsid w:val="007A249E"/>
    <w:rsid w:val="007A2501"/>
    <w:rsid w:val="007A2504"/>
    <w:rsid w:val="007A2538"/>
    <w:rsid w:val="007A257F"/>
    <w:rsid w:val="007A259E"/>
    <w:rsid w:val="007A262C"/>
    <w:rsid w:val="007A264B"/>
    <w:rsid w:val="007A265B"/>
    <w:rsid w:val="007A268A"/>
    <w:rsid w:val="007A2699"/>
    <w:rsid w:val="007A2720"/>
    <w:rsid w:val="007A2823"/>
    <w:rsid w:val="007A2830"/>
    <w:rsid w:val="007A291D"/>
    <w:rsid w:val="007A2AD4"/>
    <w:rsid w:val="007A2B58"/>
    <w:rsid w:val="007A2BD7"/>
    <w:rsid w:val="007A2C25"/>
    <w:rsid w:val="007A2C27"/>
    <w:rsid w:val="007A2C50"/>
    <w:rsid w:val="007A2D38"/>
    <w:rsid w:val="007A2DF0"/>
    <w:rsid w:val="007A306E"/>
    <w:rsid w:val="007A30A8"/>
    <w:rsid w:val="007A3165"/>
    <w:rsid w:val="007A31D1"/>
    <w:rsid w:val="007A324D"/>
    <w:rsid w:val="007A32FF"/>
    <w:rsid w:val="007A34F3"/>
    <w:rsid w:val="007A3539"/>
    <w:rsid w:val="007A3727"/>
    <w:rsid w:val="007A37BD"/>
    <w:rsid w:val="007A384C"/>
    <w:rsid w:val="007A3899"/>
    <w:rsid w:val="007A38D4"/>
    <w:rsid w:val="007A3983"/>
    <w:rsid w:val="007A3A35"/>
    <w:rsid w:val="007A3BC1"/>
    <w:rsid w:val="007A3CB4"/>
    <w:rsid w:val="007A3D1B"/>
    <w:rsid w:val="007A3DF2"/>
    <w:rsid w:val="007A3E79"/>
    <w:rsid w:val="007A3ECE"/>
    <w:rsid w:val="007A3ED3"/>
    <w:rsid w:val="007A41E7"/>
    <w:rsid w:val="007A42AF"/>
    <w:rsid w:val="007A42D5"/>
    <w:rsid w:val="007A42ED"/>
    <w:rsid w:val="007A4336"/>
    <w:rsid w:val="007A4348"/>
    <w:rsid w:val="007A44DB"/>
    <w:rsid w:val="007A458B"/>
    <w:rsid w:val="007A47A3"/>
    <w:rsid w:val="007A4931"/>
    <w:rsid w:val="007A4A05"/>
    <w:rsid w:val="007A4A4C"/>
    <w:rsid w:val="007A4B4B"/>
    <w:rsid w:val="007A4C15"/>
    <w:rsid w:val="007A4C43"/>
    <w:rsid w:val="007A4C44"/>
    <w:rsid w:val="007A4C50"/>
    <w:rsid w:val="007A4CA8"/>
    <w:rsid w:val="007A4D45"/>
    <w:rsid w:val="007A4E22"/>
    <w:rsid w:val="007A4E3A"/>
    <w:rsid w:val="007A4EA9"/>
    <w:rsid w:val="007A5073"/>
    <w:rsid w:val="007A50AF"/>
    <w:rsid w:val="007A5151"/>
    <w:rsid w:val="007A51BE"/>
    <w:rsid w:val="007A5387"/>
    <w:rsid w:val="007A543B"/>
    <w:rsid w:val="007A5494"/>
    <w:rsid w:val="007A549B"/>
    <w:rsid w:val="007A549E"/>
    <w:rsid w:val="007A54C4"/>
    <w:rsid w:val="007A55C7"/>
    <w:rsid w:val="007A5641"/>
    <w:rsid w:val="007A5685"/>
    <w:rsid w:val="007A56AE"/>
    <w:rsid w:val="007A56DF"/>
    <w:rsid w:val="007A5745"/>
    <w:rsid w:val="007A5845"/>
    <w:rsid w:val="007A59C0"/>
    <w:rsid w:val="007A5A76"/>
    <w:rsid w:val="007A5B48"/>
    <w:rsid w:val="007A5CD0"/>
    <w:rsid w:val="007A5D35"/>
    <w:rsid w:val="007A5DBC"/>
    <w:rsid w:val="007A5E05"/>
    <w:rsid w:val="007A5E30"/>
    <w:rsid w:val="007A6027"/>
    <w:rsid w:val="007A61D6"/>
    <w:rsid w:val="007A6226"/>
    <w:rsid w:val="007A631D"/>
    <w:rsid w:val="007A6360"/>
    <w:rsid w:val="007A6364"/>
    <w:rsid w:val="007A639A"/>
    <w:rsid w:val="007A64AC"/>
    <w:rsid w:val="007A64BD"/>
    <w:rsid w:val="007A64EC"/>
    <w:rsid w:val="007A659B"/>
    <w:rsid w:val="007A659C"/>
    <w:rsid w:val="007A6643"/>
    <w:rsid w:val="007A669D"/>
    <w:rsid w:val="007A674B"/>
    <w:rsid w:val="007A6810"/>
    <w:rsid w:val="007A68C4"/>
    <w:rsid w:val="007A693F"/>
    <w:rsid w:val="007A6974"/>
    <w:rsid w:val="007A6A73"/>
    <w:rsid w:val="007A6B36"/>
    <w:rsid w:val="007A6B76"/>
    <w:rsid w:val="007A6BDB"/>
    <w:rsid w:val="007A6C13"/>
    <w:rsid w:val="007A6CB6"/>
    <w:rsid w:val="007A6DC9"/>
    <w:rsid w:val="007A6E2C"/>
    <w:rsid w:val="007A6EA2"/>
    <w:rsid w:val="007A6EE2"/>
    <w:rsid w:val="007A6F16"/>
    <w:rsid w:val="007A6FC8"/>
    <w:rsid w:val="007A70BC"/>
    <w:rsid w:val="007A70D8"/>
    <w:rsid w:val="007A7104"/>
    <w:rsid w:val="007A7109"/>
    <w:rsid w:val="007A7123"/>
    <w:rsid w:val="007A71AA"/>
    <w:rsid w:val="007A71CA"/>
    <w:rsid w:val="007A721F"/>
    <w:rsid w:val="007A7395"/>
    <w:rsid w:val="007A7493"/>
    <w:rsid w:val="007A74D1"/>
    <w:rsid w:val="007A74FE"/>
    <w:rsid w:val="007A76D7"/>
    <w:rsid w:val="007A779C"/>
    <w:rsid w:val="007A78E9"/>
    <w:rsid w:val="007A7962"/>
    <w:rsid w:val="007A7971"/>
    <w:rsid w:val="007A7B18"/>
    <w:rsid w:val="007A7BC3"/>
    <w:rsid w:val="007A7BE8"/>
    <w:rsid w:val="007A7BF1"/>
    <w:rsid w:val="007A7CDB"/>
    <w:rsid w:val="007A7D30"/>
    <w:rsid w:val="007A7E4D"/>
    <w:rsid w:val="007A7E85"/>
    <w:rsid w:val="007A7E8A"/>
    <w:rsid w:val="007A7FFB"/>
    <w:rsid w:val="007B00BA"/>
    <w:rsid w:val="007B0108"/>
    <w:rsid w:val="007B01CB"/>
    <w:rsid w:val="007B01FC"/>
    <w:rsid w:val="007B01FD"/>
    <w:rsid w:val="007B0267"/>
    <w:rsid w:val="007B0344"/>
    <w:rsid w:val="007B0358"/>
    <w:rsid w:val="007B039A"/>
    <w:rsid w:val="007B03B1"/>
    <w:rsid w:val="007B03C5"/>
    <w:rsid w:val="007B03C8"/>
    <w:rsid w:val="007B03ED"/>
    <w:rsid w:val="007B058D"/>
    <w:rsid w:val="007B05CC"/>
    <w:rsid w:val="007B06A4"/>
    <w:rsid w:val="007B0785"/>
    <w:rsid w:val="007B080A"/>
    <w:rsid w:val="007B0820"/>
    <w:rsid w:val="007B0842"/>
    <w:rsid w:val="007B08AC"/>
    <w:rsid w:val="007B09B2"/>
    <w:rsid w:val="007B09F5"/>
    <w:rsid w:val="007B0AAF"/>
    <w:rsid w:val="007B0B6B"/>
    <w:rsid w:val="007B0BE5"/>
    <w:rsid w:val="007B0BFD"/>
    <w:rsid w:val="007B0C2C"/>
    <w:rsid w:val="007B0C8C"/>
    <w:rsid w:val="007B0CF7"/>
    <w:rsid w:val="007B0D55"/>
    <w:rsid w:val="007B0DC1"/>
    <w:rsid w:val="007B1082"/>
    <w:rsid w:val="007B1260"/>
    <w:rsid w:val="007B127A"/>
    <w:rsid w:val="007B135D"/>
    <w:rsid w:val="007B13C7"/>
    <w:rsid w:val="007B13CE"/>
    <w:rsid w:val="007B142B"/>
    <w:rsid w:val="007B1441"/>
    <w:rsid w:val="007B1474"/>
    <w:rsid w:val="007B157A"/>
    <w:rsid w:val="007B161E"/>
    <w:rsid w:val="007B176F"/>
    <w:rsid w:val="007B1773"/>
    <w:rsid w:val="007B1868"/>
    <w:rsid w:val="007B1889"/>
    <w:rsid w:val="007B18A7"/>
    <w:rsid w:val="007B19EF"/>
    <w:rsid w:val="007B1A49"/>
    <w:rsid w:val="007B1A7A"/>
    <w:rsid w:val="007B1C6A"/>
    <w:rsid w:val="007B1C8F"/>
    <w:rsid w:val="007B1D0D"/>
    <w:rsid w:val="007B1DF4"/>
    <w:rsid w:val="007B1F65"/>
    <w:rsid w:val="007B1FAF"/>
    <w:rsid w:val="007B1FCC"/>
    <w:rsid w:val="007B2052"/>
    <w:rsid w:val="007B212E"/>
    <w:rsid w:val="007B219D"/>
    <w:rsid w:val="007B223E"/>
    <w:rsid w:val="007B224A"/>
    <w:rsid w:val="007B225E"/>
    <w:rsid w:val="007B230B"/>
    <w:rsid w:val="007B23A5"/>
    <w:rsid w:val="007B2495"/>
    <w:rsid w:val="007B2598"/>
    <w:rsid w:val="007B25BF"/>
    <w:rsid w:val="007B2738"/>
    <w:rsid w:val="007B27F8"/>
    <w:rsid w:val="007B2931"/>
    <w:rsid w:val="007B2991"/>
    <w:rsid w:val="007B2AA4"/>
    <w:rsid w:val="007B2ACB"/>
    <w:rsid w:val="007B2B02"/>
    <w:rsid w:val="007B2B2E"/>
    <w:rsid w:val="007B2BA5"/>
    <w:rsid w:val="007B2BA6"/>
    <w:rsid w:val="007B2DE7"/>
    <w:rsid w:val="007B2EAB"/>
    <w:rsid w:val="007B2F34"/>
    <w:rsid w:val="007B3012"/>
    <w:rsid w:val="007B3085"/>
    <w:rsid w:val="007B3096"/>
    <w:rsid w:val="007B327D"/>
    <w:rsid w:val="007B3358"/>
    <w:rsid w:val="007B3431"/>
    <w:rsid w:val="007B349D"/>
    <w:rsid w:val="007B349F"/>
    <w:rsid w:val="007B34F2"/>
    <w:rsid w:val="007B355D"/>
    <w:rsid w:val="007B3574"/>
    <w:rsid w:val="007B3581"/>
    <w:rsid w:val="007B3598"/>
    <w:rsid w:val="007B359A"/>
    <w:rsid w:val="007B35D3"/>
    <w:rsid w:val="007B35D7"/>
    <w:rsid w:val="007B36C4"/>
    <w:rsid w:val="007B3747"/>
    <w:rsid w:val="007B378D"/>
    <w:rsid w:val="007B37ED"/>
    <w:rsid w:val="007B38E9"/>
    <w:rsid w:val="007B38F1"/>
    <w:rsid w:val="007B3BBB"/>
    <w:rsid w:val="007B3CA7"/>
    <w:rsid w:val="007B3CF0"/>
    <w:rsid w:val="007B3D0E"/>
    <w:rsid w:val="007B3D17"/>
    <w:rsid w:val="007B3DC6"/>
    <w:rsid w:val="007B3DD9"/>
    <w:rsid w:val="007B3F3D"/>
    <w:rsid w:val="007B3F61"/>
    <w:rsid w:val="007B4054"/>
    <w:rsid w:val="007B40AE"/>
    <w:rsid w:val="007B4139"/>
    <w:rsid w:val="007B4243"/>
    <w:rsid w:val="007B425D"/>
    <w:rsid w:val="007B42D8"/>
    <w:rsid w:val="007B4350"/>
    <w:rsid w:val="007B4384"/>
    <w:rsid w:val="007B43FC"/>
    <w:rsid w:val="007B4423"/>
    <w:rsid w:val="007B443B"/>
    <w:rsid w:val="007B4450"/>
    <w:rsid w:val="007B445C"/>
    <w:rsid w:val="007B4518"/>
    <w:rsid w:val="007B461A"/>
    <w:rsid w:val="007B46A1"/>
    <w:rsid w:val="007B4840"/>
    <w:rsid w:val="007B4974"/>
    <w:rsid w:val="007B4A91"/>
    <w:rsid w:val="007B4AAF"/>
    <w:rsid w:val="007B4AFA"/>
    <w:rsid w:val="007B4D39"/>
    <w:rsid w:val="007B4D99"/>
    <w:rsid w:val="007B4E66"/>
    <w:rsid w:val="007B4EC2"/>
    <w:rsid w:val="007B4ECD"/>
    <w:rsid w:val="007B4F23"/>
    <w:rsid w:val="007B4F30"/>
    <w:rsid w:val="007B4F47"/>
    <w:rsid w:val="007B51C8"/>
    <w:rsid w:val="007B51CB"/>
    <w:rsid w:val="007B5234"/>
    <w:rsid w:val="007B5265"/>
    <w:rsid w:val="007B530C"/>
    <w:rsid w:val="007B5350"/>
    <w:rsid w:val="007B53A3"/>
    <w:rsid w:val="007B54C1"/>
    <w:rsid w:val="007B54D1"/>
    <w:rsid w:val="007B54FD"/>
    <w:rsid w:val="007B550B"/>
    <w:rsid w:val="007B551B"/>
    <w:rsid w:val="007B5623"/>
    <w:rsid w:val="007B5668"/>
    <w:rsid w:val="007B5680"/>
    <w:rsid w:val="007B5717"/>
    <w:rsid w:val="007B5774"/>
    <w:rsid w:val="007B57A2"/>
    <w:rsid w:val="007B5827"/>
    <w:rsid w:val="007B58B5"/>
    <w:rsid w:val="007B58FA"/>
    <w:rsid w:val="007B5A5B"/>
    <w:rsid w:val="007B5B0E"/>
    <w:rsid w:val="007B5DAD"/>
    <w:rsid w:val="007B5DB7"/>
    <w:rsid w:val="007B5DF3"/>
    <w:rsid w:val="007B5E05"/>
    <w:rsid w:val="007B5E16"/>
    <w:rsid w:val="007B5E1E"/>
    <w:rsid w:val="007B5E2A"/>
    <w:rsid w:val="007B5E56"/>
    <w:rsid w:val="007B5F64"/>
    <w:rsid w:val="007B5FB3"/>
    <w:rsid w:val="007B5FE9"/>
    <w:rsid w:val="007B6102"/>
    <w:rsid w:val="007B614D"/>
    <w:rsid w:val="007B6265"/>
    <w:rsid w:val="007B632F"/>
    <w:rsid w:val="007B6333"/>
    <w:rsid w:val="007B64A5"/>
    <w:rsid w:val="007B6557"/>
    <w:rsid w:val="007B679F"/>
    <w:rsid w:val="007B681D"/>
    <w:rsid w:val="007B6846"/>
    <w:rsid w:val="007B687B"/>
    <w:rsid w:val="007B6914"/>
    <w:rsid w:val="007B693C"/>
    <w:rsid w:val="007B698F"/>
    <w:rsid w:val="007B6A20"/>
    <w:rsid w:val="007B6BD5"/>
    <w:rsid w:val="007B6BDB"/>
    <w:rsid w:val="007B6C68"/>
    <w:rsid w:val="007B6CB7"/>
    <w:rsid w:val="007B6CEB"/>
    <w:rsid w:val="007B6D92"/>
    <w:rsid w:val="007B6DAE"/>
    <w:rsid w:val="007B6E55"/>
    <w:rsid w:val="007B6E68"/>
    <w:rsid w:val="007B6EB7"/>
    <w:rsid w:val="007B6F6E"/>
    <w:rsid w:val="007B6FAC"/>
    <w:rsid w:val="007B70B0"/>
    <w:rsid w:val="007B70F1"/>
    <w:rsid w:val="007B72BC"/>
    <w:rsid w:val="007B73C7"/>
    <w:rsid w:val="007B73EA"/>
    <w:rsid w:val="007B7455"/>
    <w:rsid w:val="007B74DA"/>
    <w:rsid w:val="007B7575"/>
    <w:rsid w:val="007B764B"/>
    <w:rsid w:val="007B7708"/>
    <w:rsid w:val="007B7715"/>
    <w:rsid w:val="007B77C4"/>
    <w:rsid w:val="007B785C"/>
    <w:rsid w:val="007B792A"/>
    <w:rsid w:val="007B7AE9"/>
    <w:rsid w:val="007B7B41"/>
    <w:rsid w:val="007B7C1E"/>
    <w:rsid w:val="007B7C68"/>
    <w:rsid w:val="007B7DAA"/>
    <w:rsid w:val="007B7E15"/>
    <w:rsid w:val="007B7E43"/>
    <w:rsid w:val="007B7EE5"/>
    <w:rsid w:val="007C00BE"/>
    <w:rsid w:val="007C00BF"/>
    <w:rsid w:val="007C00DF"/>
    <w:rsid w:val="007C011D"/>
    <w:rsid w:val="007C01D6"/>
    <w:rsid w:val="007C01DB"/>
    <w:rsid w:val="007C02BB"/>
    <w:rsid w:val="007C03E8"/>
    <w:rsid w:val="007C0437"/>
    <w:rsid w:val="007C04A3"/>
    <w:rsid w:val="007C055D"/>
    <w:rsid w:val="007C05AE"/>
    <w:rsid w:val="007C0603"/>
    <w:rsid w:val="007C0624"/>
    <w:rsid w:val="007C06FF"/>
    <w:rsid w:val="007C0752"/>
    <w:rsid w:val="007C075E"/>
    <w:rsid w:val="007C0894"/>
    <w:rsid w:val="007C08E5"/>
    <w:rsid w:val="007C092D"/>
    <w:rsid w:val="007C0985"/>
    <w:rsid w:val="007C0B4D"/>
    <w:rsid w:val="007C0BDF"/>
    <w:rsid w:val="007C0CE3"/>
    <w:rsid w:val="007C0CEF"/>
    <w:rsid w:val="007C0EA7"/>
    <w:rsid w:val="007C0EE9"/>
    <w:rsid w:val="007C10DA"/>
    <w:rsid w:val="007C113C"/>
    <w:rsid w:val="007C12BF"/>
    <w:rsid w:val="007C13C6"/>
    <w:rsid w:val="007C1419"/>
    <w:rsid w:val="007C1437"/>
    <w:rsid w:val="007C157F"/>
    <w:rsid w:val="007C15B5"/>
    <w:rsid w:val="007C1623"/>
    <w:rsid w:val="007C1676"/>
    <w:rsid w:val="007C1696"/>
    <w:rsid w:val="007C16FB"/>
    <w:rsid w:val="007C1757"/>
    <w:rsid w:val="007C1909"/>
    <w:rsid w:val="007C193D"/>
    <w:rsid w:val="007C1B39"/>
    <w:rsid w:val="007C1C0B"/>
    <w:rsid w:val="007C1CB7"/>
    <w:rsid w:val="007C1D4B"/>
    <w:rsid w:val="007C1E00"/>
    <w:rsid w:val="007C1E3C"/>
    <w:rsid w:val="007C1EC4"/>
    <w:rsid w:val="007C1F3F"/>
    <w:rsid w:val="007C209D"/>
    <w:rsid w:val="007C20EF"/>
    <w:rsid w:val="007C2112"/>
    <w:rsid w:val="007C211F"/>
    <w:rsid w:val="007C2199"/>
    <w:rsid w:val="007C221D"/>
    <w:rsid w:val="007C2256"/>
    <w:rsid w:val="007C22D1"/>
    <w:rsid w:val="007C22D3"/>
    <w:rsid w:val="007C22EF"/>
    <w:rsid w:val="007C24B5"/>
    <w:rsid w:val="007C257D"/>
    <w:rsid w:val="007C25BE"/>
    <w:rsid w:val="007C25C7"/>
    <w:rsid w:val="007C26F8"/>
    <w:rsid w:val="007C27C0"/>
    <w:rsid w:val="007C287C"/>
    <w:rsid w:val="007C28C3"/>
    <w:rsid w:val="007C2941"/>
    <w:rsid w:val="007C2A84"/>
    <w:rsid w:val="007C2A85"/>
    <w:rsid w:val="007C2ABC"/>
    <w:rsid w:val="007C2BFF"/>
    <w:rsid w:val="007C2C60"/>
    <w:rsid w:val="007C2CE6"/>
    <w:rsid w:val="007C2D23"/>
    <w:rsid w:val="007C2D5F"/>
    <w:rsid w:val="007C2D86"/>
    <w:rsid w:val="007C2D9B"/>
    <w:rsid w:val="007C2EB3"/>
    <w:rsid w:val="007C2EEB"/>
    <w:rsid w:val="007C2EFA"/>
    <w:rsid w:val="007C2F90"/>
    <w:rsid w:val="007C3075"/>
    <w:rsid w:val="007C30B9"/>
    <w:rsid w:val="007C3194"/>
    <w:rsid w:val="007C31B9"/>
    <w:rsid w:val="007C3237"/>
    <w:rsid w:val="007C3241"/>
    <w:rsid w:val="007C3257"/>
    <w:rsid w:val="007C3363"/>
    <w:rsid w:val="007C33D5"/>
    <w:rsid w:val="007C33DB"/>
    <w:rsid w:val="007C343F"/>
    <w:rsid w:val="007C34A3"/>
    <w:rsid w:val="007C3546"/>
    <w:rsid w:val="007C35CA"/>
    <w:rsid w:val="007C35FE"/>
    <w:rsid w:val="007C3641"/>
    <w:rsid w:val="007C3659"/>
    <w:rsid w:val="007C367B"/>
    <w:rsid w:val="007C3742"/>
    <w:rsid w:val="007C3800"/>
    <w:rsid w:val="007C39AA"/>
    <w:rsid w:val="007C3A63"/>
    <w:rsid w:val="007C3A84"/>
    <w:rsid w:val="007C3C16"/>
    <w:rsid w:val="007C3C28"/>
    <w:rsid w:val="007C3C37"/>
    <w:rsid w:val="007C3CCA"/>
    <w:rsid w:val="007C3E0D"/>
    <w:rsid w:val="007C3E6B"/>
    <w:rsid w:val="007C3F1B"/>
    <w:rsid w:val="007C3F21"/>
    <w:rsid w:val="007C3F7D"/>
    <w:rsid w:val="007C3F89"/>
    <w:rsid w:val="007C40AE"/>
    <w:rsid w:val="007C40D2"/>
    <w:rsid w:val="007C4100"/>
    <w:rsid w:val="007C4131"/>
    <w:rsid w:val="007C414C"/>
    <w:rsid w:val="007C4248"/>
    <w:rsid w:val="007C4274"/>
    <w:rsid w:val="007C42E6"/>
    <w:rsid w:val="007C42F8"/>
    <w:rsid w:val="007C4337"/>
    <w:rsid w:val="007C4445"/>
    <w:rsid w:val="007C449A"/>
    <w:rsid w:val="007C44AF"/>
    <w:rsid w:val="007C44B4"/>
    <w:rsid w:val="007C44E9"/>
    <w:rsid w:val="007C4634"/>
    <w:rsid w:val="007C4792"/>
    <w:rsid w:val="007C47AE"/>
    <w:rsid w:val="007C47EF"/>
    <w:rsid w:val="007C483B"/>
    <w:rsid w:val="007C4877"/>
    <w:rsid w:val="007C48EF"/>
    <w:rsid w:val="007C4922"/>
    <w:rsid w:val="007C495B"/>
    <w:rsid w:val="007C4A72"/>
    <w:rsid w:val="007C4AF0"/>
    <w:rsid w:val="007C4AF9"/>
    <w:rsid w:val="007C4AFF"/>
    <w:rsid w:val="007C4C17"/>
    <w:rsid w:val="007C4C57"/>
    <w:rsid w:val="007C4C92"/>
    <w:rsid w:val="007C4D08"/>
    <w:rsid w:val="007C4D0D"/>
    <w:rsid w:val="007C4D7E"/>
    <w:rsid w:val="007C4DA8"/>
    <w:rsid w:val="007C4E02"/>
    <w:rsid w:val="007C5046"/>
    <w:rsid w:val="007C514B"/>
    <w:rsid w:val="007C518F"/>
    <w:rsid w:val="007C5208"/>
    <w:rsid w:val="007C521C"/>
    <w:rsid w:val="007C52C3"/>
    <w:rsid w:val="007C5480"/>
    <w:rsid w:val="007C54B8"/>
    <w:rsid w:val="007C54E4"/>
    <w:rsid w:val="007C5541"/>
    <w:rsid w:val="007C5589"/>
    <w:rsid w:val="007C55AB"/>
    <w:rsid w:val="007C5690"/>
    <w:rsid w:val="007C574D"/>
    <w:rsid w:val="007C575D"/>
    <w:rsid w:val="007C57AA"/>
    <w:rsid w:val="007C58FD"/>
    <w:rsid w:val="007C594E"/>
    <w:rsid w:val="007C5972"/>
    <w:rsid w:val="007C5A01"/>
    <w:rsid w:val="007C5A57"/>
    <w:rsid w:val="007C5BA0"/>
    <w:rsid w:val="007C5BAF"/>
    <w:rsid w:val="007C5C67"/>
    <w:rsid w:val="007C5D05"/>
    <w:rsid w:val="007C5EA5"/>
    <w:rsid w:val="007C5F24"/>
    <w:rsid w:val="007C5F8B"/>
    <w:rsid w:val="007C5F9A"/>
    <w:rsid w:val="007C5FD0"/>
    <w:rsid w:val="007C5FDD"/>
    <w:rsid w:val="007C6013"/>
    <w:rsid w:val="007C60CA"/>
    <w:rsid w:val="007C612E"/>
    <w:rsid w:val="007C61AA"/>
    <w:rsid w:val="007C6206"/>
    <w:rsid w:val="007C6248"/>
    <w:rsid w:val="007C62E6"/>
    <w:rsid w:val="007C638D"/>
    <w:rsid w:val="007C64B2"/>
    <w:rsid w:val="007C64B5"/>
    <w:rsid w:val="007C6633"/>
    <w:rsid w:val="007C6664"/>
    <w:rsid w:val="007C66C3"/>
    <w:rsid w:val="007C6707"/>
    <w:rsid w:val="007C6759"/>
    <w:rsid w:val="007C67C8"/>
    <w:rsid w:val="007C6838"/>
    <w:rsid w:val="007C691C"/>
    <w:rsid w:val="007C693C"/>
    <w:rsid w:val="007C69CF"/>
    <w:rsid w:val="007C69E9"/>
    <w:rsid w:val="007C69F8"/>
    <w:rsid w:val="007C6A46"/>
    <w:rsid w:val="007C6AE0"/>
    <w:rsid w:val="007C6AED"/>
    <w:rsid w:val="007C6B64"/>
    <w:rsid w:val="007C6BBF"/>
    <w:rsid w:val="007C6BFE"/>
    <w:rsid w:val="007C6C2E"/>
    <w:rsid w:val="007C6C91"/>
    <w:rsid w:val="007C6CC8"/>
    <w:rsid w:val="007C6CCB"/>
    <w:rsid w:val="007C6CEC"/>
    <w:rsid w:val="007C6D46"/>
    <w:rsid w:val="007C6DB1"/>
    <w:rsid w:val="007C6E37"/>
    <w:rsid w:val="007C6E61"/>
    <w:rsid w:val="007C6E6D"/>
    <w:rsid w:val="007C70A0"/>
    <w:rsid w:val="007C714C"/>
    <w:rsid w:val="007C72DB"/>
    <w:rsid w:val="007C7381"/>
    <w:rsid w:val="007C7384"/>
    <w:rsid w:val="007C74C7"/>
    <w:rsid w:val="007C7525"/>
    <w:rsid w:val="007C7527"/>
    <w:rsid w:val="007C7539"/>
    <w:rsid w:val="007C754E"/>
    <w:rsid w:val="007C7552"/>
    <w:rsid w:val="007C75D4"/>
    <w:rsid w:val="007C768B"/>
    <w:rsid w:val="007C78E7"/>
    <w:rsid w:val="007C794B"/>
    <w:rsid w:val="007C79BE"/>
    <w:rsid w:val="007C7A52"/>
    <w:rsid w:val="007C7B21"/>
    <w:rsid w:val="007C7B29"/>
    <w:rsid w:val="007C7BCE"/>
    <w:rsid w:val="007C7BE0"/>
    <w:rsid w:val="007C7C09"/>
    <w:rsid w:val="007C7C26"/>
    <w:rsid w:val="007C7C48"/>
    <w:rsid w:val="007C7DBF"/>
    <w:rsid w:val="007C7E12"/>
    <w:rsid w:val="007C7E83"/>
    <w:rsid w:val="007C7E8B"/>
    <w:rsid w:val="007C7EBF"/>
    <w:rsid w:val="007C7F6A"/>
    <w:rsid w:val="007C7F94"/>
    <w:rsid w:val="007D001D"/>
    <w:rsid w:val="007D0052"/>
    <w:rsid w:val="007D0062"/>
    <w:rsid w:val="007D0066"/>
    <w:rsid w:val="007D00B9"/>
    <w:rsid w:val="007D00D6"/>
    <w:rsid w:val="007D013C"/>
    <w:rsid w:val="007D0187"/>
    <w:rsid w:val="007D01AA"/>
    <w:rsid w:val="007D022C"/>
    <w:rsid w:val="007D0300"/>
    <w:rsid w:val="007D03DF"/>
    <w:rsid w:val="007D0414"/>
    <w:rsid w:val="007D0520"/>
    <w:rsid w:val="007D06B2"/>
    <w:rsid w:val="007D06B7"/>
    <w:rsid w:val="007D0761"/>
    <w:rsid w:val="007D07CE"/>
    <w:rsid w:val="007D084B"/>
    <w:rsid w:val="007D0882"/>
    <w:rsid w:val="007D09D7"/>
    <w:rsid w:val="007D0AB0"/>
    <w:rsid w:val="007D0B30"/>
    <w:rsid w:val="007D0B49"/>
    <w:rsid w:val="007D0BDF"/>
    <w:rsid w:val="007D0CC4"/>
    <w:rsid w:val="007D0F39"/>
    <w:rsid w:val="007D0F93"/>
    <w:rsid w:val="007D0FAE"/>
    <w:rsid w:val="007D0FC9"/>
    <w:rsid w:val="007D1068"/>
    <w:rsid w:val="007D107B"/>
    <w:rsid w:val="007D10ED"/>
    <w:rsid w:val="007D1164"/>
    <w:rsid w:val="007D1237"/>
    <w:rsid w:val="007D1250"/>
    <w:rsid w:val="007D1303"/>
    <w:rsid w:val="007D133A"/>
    <w:rsid w:val="007D1466"/>
    <w:rsid w:val="007D14C1"/>
    <w:rsid w:val="007D15D3"/>
    <w:rsid w:val="007D1701"/>
    <w:rsid w:val="007D170B"/>
    <w:rsid w:val="007D178C"/>
    <w:rsid w:val="007D17E3"/>
    <w:rsid w:val="007D1800"/>
    <w:rsid w:val="007D1934"/>
    <w:rsid w:val="007D1AB2"/>
    <w:rsid w:val="007D1AFA"/>
    <w:rsid w:val="007D1B4E"/>
    <w:rsid w:val="007D1BDC"/>
    <w:rsid w:val="007D1C5C"/>
    <w:rsid w:val="007D1C71"/>
    <w:rsid w:val="007D1CD0"/>
    <w:rsid w:val="007D1CE0"/>
    <w:rsid w:val="007D1CF8"/>
    <w:rsid w:val="007D1D92"/>
    <w:rsid w:val="007D1D97"/>
    <w:rsid w:val="007D1E4C"/>
    <w:rsid w:val="007D1FA5"/>
    <w:rsid w:val="007D20A1"/>
    <w:rsid w:val="007D2100"/>
    <w:rsid w:val="007D2179"/>
    <w:rsid w:val="007D21A7"/>
    <w:rsid w:val="007D21D6"/>
    <w:rsid w:val="007D2260"/>
    <w:rsid w:val="007D2272"/>
    <w:rsid w:val="007D227C"/>
    <w:rsid w:val="007D22B9"/>
    <w:rsid w:val="007D22FD"/>
    <w:rsid w:val="007D2305"/>
    <w:rsid w:val="007D23C1"/>
    <w:rsid w:val="007D24E9"/>
    <w:rsid w:val="007D2697"/>
    <w:rsid w:val="007D26C1"/>
    <w:rsid w:val="007D26E1"/>
    <w:rsid w:val="007D275B"/>
    <w:rsid w:val="007D27D4"/>
    <w:rsid w:val="007D281A"/>
    <w:rsid w:val="007D2879"/>
    <w:rsid w:val="007D2881"/>
    <w:rsid w:val="007D28E1"/>
    <w:rsid w:val="007D2970"/>
    <w:rsid w:val="007D2AA1"/>
    <w:rsid w:val="007D2BFB"/>
    <w:rsid w:val="007D2C00"/>
    <w:rsid w:val="007D2DB7"/>
    <w:rsid w:val="007D2DB8"/>
    <w:rsid w:val="007D2EA9"/>
    <w:rsid w:val="007D2F2D"/>
    <w:rsid w:val="007D2F9A"/>
    <w:rsid w:val="007D2FD4"/>
    <w:rsid w:val="007D30C5"/>
    <w:rsid w:val="007D3114"/>
    <w:rsid w:val="007D3197"/>
    <w:rsid w:val="007D31DB"/>
    <w:rsid w:val="007D3262"/>
    <w:rsid w:val="007D328E"/>
    <w:rsid w:val="007D3312"/>
    <w:rsid w:val="007D3370"/>
    <w:rsid w:val="007D3399"/>
    <w:rsid w:val="007D33A8"/>
    <w:rsid w:val="007D34C0"/>
    <w:rsid w:val="007D34C2"/>
    <w:rsid w:val="007D3750"/>
    <w:rsid w:val="007D3787"/>
    <w:rsid w:val="007D37C5"/>
    <w:rsid w:val="007D37E0"/>
    <w:rsid w:val="007D3810"/>
    <w:rsid w:val="007D389E"/>
    <w:rsid w:val="007D38E9"/>
    <w:rsid w:val="007D3936"/>
    <w:rsid w:val="007D396D"/>
    <w:rsid w:val="007D3992"/>
    <w:rsid w:val="007D3A4C"/>
    <w:rsid w:val="007D3A91"/>
    <w:rsid w:val="007D3B85"/>
    <w:rsid w:val="007D3C25"/>
    <w:rsid w:val="007D3D6A"/>
    <w:rsid w:val="007D3DC2"/>
    <w:rsid w:val="007D3DFE"/>
    <w:rsid w:val="007D3E25"/>
    <w:rsid w:val="007D3E71"/>
    <w:rsid w:val="007D3EC0"/>
    <w:rsid w:val="007D3FE4"/>
    <w:rsid w:val="007D40C4"/>
    <w:rsid w:val="007D413C"/>
    <w:rsid w:val="007D424F"/>
    <w:rsid w:val="007D425B"/>
    <w:rsid w:val="007D4271"/>
    <w:rsid w:val="007D4317"/>
    <w:rsid w:val="007D4327"/>
    <w:rsid w:val="007D432C"/>
    <w:rsid w:val="007D4332"/>
    <w:rsid w:val="007D43EF"/>
    <w:rsid w:val="007D461D"/>
    <w:rsid w:val="007D465C"/>
    <w:rsid w:val="007D465D"/>
    <w:rsid w:val="007D46A9"/>
    <w:rsid w:val="007D4759"/>
    <w:rsid w:val="007D4795"/>
    <w:rsid w:val="007D4839"/>
    <w:rsid w:val="007D4898"/>
    <w:rsid w:val="007D489F"/>
    <w:rsid w:val="007D48A6"/>
    <w:rsid w:val="007D4912"/>
    <w:rsid w:val="007D4945"/>
    <w:rsid w:val="007D495B"/>
    <w:rsid w:val="007D4961"/>
    <w:rsid w:val="007D4972"/>
    <w:rsid w:val="007D4983"/>
    <w:rsid w:val="007D4A45"/>
    <w:rsid w:val="007D4A8B"/>
    <w:rsid w:val="007D4AC4"/>
    <w:rsid w:val="007D4AED"/>
    <w:rsid w:val="007D4BB8"/>
    <w:rsid w:val="007D4C7A"/>
    <w:rsid w:val="007D4CEC"/>
    <w:rsid w:val="007D4D56"/>
    <w:rsid w:val="007D4D5C"/>
    <w:rsid w:val="007D4DA1"/>
    <w:rsid w:val="007D4E2A"/>
    <w:rsid w:val="007D4EE0"/>
    <w:rsid w:val="007D4F17"/>
    <w:rsid w:val="007D4F7B"/>
    <w:rsid w:val="007D500B"/>
    <w:rsid w:val="007D5045"/>
    <w:rsid w:val="007D5126"/>
    <w:rsid w:val="007D5184"/>
    <w:rsid w:val="007D51A2"/>
    <w:rsid w:val="007D51F4"/>
    <w:rsid w:val="007D525D"/>
    <w:rsid w:val="007D538E"/>
    <w:rsid w:val="007D5448"/>
    <w:rsid w:val="007D54B9"/>
    <w:rsid w:val="007D54EB"/>
    <w:rsid w:val="007D558C"/>
    <w:rsid w:val="007D559A"/>
    <w:rsid w:val="007D55B0"/>
    <w:rsid w:val="007D55D2"/>
    <w:rsid w:val="007D5693"/>
    <w:rsid w:val="007D56EA"/>
    <w:rsid w:val="007D5760"/>
    <w:rsid w:val="007D5835"/>
    <w:rsid w:val="007D596D"/>
    <w:rsid w:val="007D59DE"/>
    <w:rsid w:val="007D5A27"/>
    <w:rsid w:val="007D5AD1"/>
    <w:rsid w:val="007D5BDF"/>
    <w:rsid w:val="007D5C32"/>
    <w:rsid w:val="007D5C34"/>
    <w:rsid w:val="007D5CAC"/>
    <w:rsid w:val="007D5CDC"/>
    <w:rsid w:val="007D5D40"/>
    <w:rsid w:val="007D5DA4"/>
    <w:rsid w:val="007D5E3D"/>
    <w:rsid w:val="007D5E7B"/>
    <w:rsid w:val="007D5F25"/>
    <w:rsid w:val="007D5F54"/>
    <w:rsid w:val="007D604C"/>
    <w:rsid w:val="007D6054"/>
    <w:rsid w:val="007D6109"/>
    <w:rsid w:val="007D6290"/>
    <w:rsid w:val="007D6416"/>
    <w:rsid w:val="007D648C"/>
    <w:rsid w:val="007D64A0"/>
    <w:rsid w:val="007D64D3"/>
    <w:rsid w:val="007D64DB"/>
    <w:rsid w:val="007D64F9"/>
    <w:rsid w:val="007D6637"/>
    <w:rsid w:val="007D6699"/>
    <w:rsid w:val="007D6709"/>
    <w:rsid w:val="007D67B8"/>
    <w:rsid w:val="007D6806"/>
    <w:rsid w:val="007D6884"/>
    <w:rsid w:val="007D6CEA"/>
    <w:rsid w:val="007D6DE3"/>
    <w:rsid w:val="007D6DE6"/>
    <w:rsid w:val="007D6E5E"/>
    <w:rsid w:val="007D6E70"/>
    <w:rsid w:val="007D6E81"/>
    <w:rsid w:val="007D7006"/>
    <w:rsid w:val="007D7013"/>
    <w:rsid w:val="007D7100"/>
    <w:rsid w:val="007D713A"/>
    <w:rsid w:val="007D71B1"/>
    <w:rsid w:val="007D71CE"/>
    <w:rsid w:val="007D72F4"/>
    <w:rsid w:val="007D73AE"/>
    <w:rsid w:val="007D73CB"/>
    <w:rsid w:val="007D73E1"/>
    <w:rsid w:val="007D7443"/>
    <w:rsid w:val="007D74A7"/>
    <w:rsid w:val="007D75E3"/>
    <w:rsid w:val="007D7739"/>
    <w:rsid w:val="007D778A"/>
    <w:rsid w:val="007D77AA"/>
    <w:rsid w:val="007D77D5"/>
    <w:rsid w:val="007D7854"/>
    <w:rsid w:val="007D787B"/>
    <w:rsid w:val="007D793D"/>
    <w:rsid w:val="007D795F"/>
    <w:rsid w:val="007D79AD"/>
    <w:rsid w:val="007D7A94"/>
    <w:rsid w:val="007D7B36"/>
    <w:rsid w:val="007D7C59"/>
    <w:rsid w:val="007D7C8B"/>
    <w:rsid w:val="007D7CED"/>
    <w:rsid w:val="007D7D1B"/>
    <w:rsid w:val="007D7D65"/>
    <w:rsid w:val="007D7E0A"/>
    <w:rsid w:val="007D7E5D"/>
    <w:rsid w:val="007D7F15"/>
    <w:rsid w:val="007E012C"/>
    <w:rsid w:val="007E01AB"/>
    <w:rsid w:val="007E0200"/>
    <w:rsid w:val="007E0216"/>
    <w:rsid w:val="007E0244"/>
    <w:rsid w:val="007E02D9"/>
    <w:rsid w:val="007E04BD"/>
    <w:rsid w:val="007E04EC"/>
    <w:rsid w:val="007E0515"/>
    <w:rsid w:val="007E0632"/>
    <w:rsid w:val="007E0732"/>
    <w:rsid w:val="007E0756"/>
    <w:rsid w:val="007E07A4"/>
    <w:rsid w:val="007E07EE"/>
    <w:rsid w:val="007E0864"/>
    <w:rsid w:val="007E096B"/>
    <w:rsid w:val="007E09AC"/>
    <w:rsid w:val="007E0A1A"/>
    <w:rsid w:val="007E0A24"/>
    <w:rsid w:val="007E0A60"/>
    <w:rsid w:val="007E0ACB"/>
    <w:rsid w:val="007E0B4B"/>
    <w:rsid w:val="007E0B65"/>
    <w:rsid w:val="007E0B86"/>
    <w:rsid w:val="007E0C25"/>
    <w:rsid w:val="007E0D09"/>
    <w:rsid w:val="007E0E2F"/>
    <w:rsid w:val="007E0E62"/>
    <w:rsid w:val="007E0F92"/>
    <w:rsid w:val="007E0F99"/>
    <w:rsid w:val="007E11B3"/>
    <w:rsid w:val="007E11D1"/>
    <w:rsid w:val="007E1302"/>
    <w:rsid w:val="007E1356"/>
    <w:rsid w:val="007E1362"/>
    <w:rsid w:val="007E13AC"/>
    <w:rsid w:val="007E145C"/>
    <w:rsid w:val="007E1727"/>
    <w:rsid w:val="007E17CA"/>
    <w:rsid w:val="007E1828"/>
    <w:rsid w:val="007E1851"/>
    <w:rsid w:val="007E1861"/>
    <w:rsid w:val="007E196C"/>
    <w:rsid w:val="007E197D"/>
    <w:rsid w:val="007E1AD4"/>
    <w:rsid w:val="007E1B9D"/>
    <w:rsid w:val="007E1C02"/>
    <w:rsid w:val="007E1C13"/>
    <w:rsid w:val="007E1C8A"/>
    <w:rsid w:val="007E1CDA"/>
    <w:rsid w:val="007E1CE1"/>
    <w:rsid w:val="007E1D35"/>
    <w:rsid w:val="007E1D49"/>
    <w:rsid w:val="007E1DB3"/>
    <w:rsid w:val="007E1EAF"/>
    <w:rsid w:val="007E1EB3"/>
    <w:rsid w:val="007E1EB4"/>
    <w:rsid w:val="007E1EBA"/>
    <w:rsid w:val="007E1F14"/>
    <w:rsid w:val="007E1F4D"/>
    <w:rsid w:val="007E1F6F"/>
    <w:rsid w:val="007E1FAC"/>
    <w:rsid w:val="007E2085"/>
    <w:rsid w:val="007E21D5"/>
    <w:rsid w:val="007E21FA"/>
    <w:rsid w:val="007E2231"/>
    <w:rsid w:val="007E22C1"/>
    <w:rsid w:val="007E2371"/>
    <w:rsid w:val="007E23BD"/>
    <w:rsid w:val="007E23F6"/>
    <w:rsid w:val="007E2409"/>
    <w:rsid w:val="007E2467"/>
    <w:rsid w:val="007E24AB"/>
    <w:rsid w:val="007E2572"/>
    <w:rsid w:val="007E25FE"/>
    <w:rsid w:val="007E2641"/>
    <w:rsid w:val="007E274E"/>
    <w:rsid w:val="007E2795"/>
    <w:rsid w:val="007E27A4"/>
    <w:rsid w:val="007E299E"/>
    <w:rsid w:val="007E29CE"/>
    <w:rsid w:val="007E2BB4"/>
    <w:rsid w:val="007E2BD6"/>
    <w:rsid w:val="007E2C1A"/>
    <w:rsid w:val="007E2D9F"/>
    <w:rsid w:val="007E2DFF"/>
    <w:rsid w:val="007E2E39"/>
    <w:rsid w:val="007E2E93"/>
    <w:rsid w:val="007E2EFA"/>
    <w:rsid w:val="007E2F50"/>
    <w:rsid w:val="007E2F80"/>
    <w:rsid w:val="007E3023"/>
    <w:rsid w:val="007E30A3"/>
    <w:rsid w:val="007E30AE"/>
    <w:rsid w:val="007E30C7"/>
    <w:rsid w:val="007E316F"/>
    <w:rsid w:val="007E317A"/>
    <w:rsid w:val="007E31E1"/>
    <w:rsid w:val="007E32C1"/>
    <w:rsid w:val="007E3310"/>
    <w:rsid w:val="007E3356"/>
    <w:rsid w:val="007E3543"/>
    <w:rsid w:val="007E357C"/>
    <w:rsid w:val="007E358A"/>
    <w:rsid w:val="007E35D9"/>
    <w:rsid w:val="007E360F"/>
    <w:rsid w:val="007E362E"/>
    <w:rsid w:val="007E367D"/>
    <w:rsid w:val="007E36F8"/>
    <w:rsid w:val="007E379E"/>
    <w:rsid w:val="007E37E8"/>
    <w:rsid w:val="007E38F6"/>
    <w:rsid w:val="007E395C"/>
    <w:rsid w:val="007E3970"/>
    <w:rsid w:val="007E3971"/>
    <w:rsid w:val="007E3A0D"/>
    <w:rsid w:val="007E3AC0"/>
    <w:rsid w:val="007E3AC5"/>
    <w:rsid w:val="007E3B05"/>
    <w:rsid w:val="007E3C30"/>
    <w:rsid w:val="007E3C85"/>
    <w:rsid w:val="007E3E2B"/>
    <w:rsid w:val="007E3E3F"/>
    <w:rsid w:val="007E3EA9"/>
    <w:rsid w:val="007E3EC7"/>
    <w:rsid w:val="007E3F0C"/>
    <w:rsid w:val="007E4063"/>
    <w:rsid w:val="007E40D8"/>
    <w:rsid w:val="007E41BB"/>
    <w:rsid w:val="007E41DE"/>
    <w:rsid w:val="007E4218"/>
    <w:rsid w:val="007E4245"/>
    <w:rsid w:val="007E4299"/>
    <w:rsid w:val="007E4362"/>
    <w:rsid w:val="007E43CA"/>
    <w:rsid w:val="007E4417"/>
    <w:rsid w:val="007E4722"/>
    <w:rsid w:val="007E472C"/>
    <w:rsid w:val="007E4743"/>
    <w:rsid w:val="007E47C6"/>
    <w:rsid w:val="007E497C"/>
    <w:rsid w:val="007E49E6"/>
    <w:rsid w:val="007E4A12"/>
    <w:rsid w:val="007E4A2A"/>
    <w:rsid w:val="007E4A90"/>
    <w:rsid w:val="007E4B09"/>
    <w:rsid w:val="007E4C40"/>
    <w:rsid w:val="007E4DF2"/>
    <w:rsid w:val="007E4E36"/>
    <w:rsid w:val="007E4E5F"/>
    <w:rsid w:val="007E4EF9"/>
    <w:rsid w:val="007E4F83"/>
    <w:rsid w:val="007E5048"/>
    <w:rsid w:val="007E52D7"/>
    <w:rsid w:val="007E536F"/>
    <w:rsid w:val="007E5383"/>
    <w:rsid w:val="007E53DE"/>
    <w:rsid w:val="007E553D"/>
    <w:rsid w:val="007E55F4"/>
    <w:rsid w:val="007E568B"/>
    <w:rsid w:val="007E58C0"/>
    <w:rsid w:val="007E5938"/>
    <w:rsid w:val="007E593C"/>
    <w:rsid w:val="007E5970"/>
    <w:rsid w:val="007E5978"/>
    <w:rsid w:val="007E59AB"/>
    <w:rsid w:val="007E59B2"/>
    <w:rsid w:val="007E59CE"/>
    <w:rsid w:val="007E59EA"/>
    <w:rsid w:val="007E5AC8"/>
    <w:rsid w:val="007E5C67"/>
    <w:rsid w:val="007E5CA2"/>
    <w:rsid w:val="007E5DDD"/>
    <w:rsid w:val="007E5F2F"/>
    <w:rsid w:val="007E5F85"/>
    <w:rsid w:val="007E5FFC"/>
    <w:rsid w:val="007E612A"/>
    <w:rsid w:val="007E6296"/>
    <w:rsid w:val="007E6316"/>
    <w:rsid w:val="007E63DF"/>
    <w:rsid w:val="007E6426"/>
    <w:rsid w:val="007E6474"/>
    <w:rsid w:val="007E64B7"/>
    <w:rsid w:val="007E64EC"/>
    <w:rsid w:val="007E66E7"/>
    <w:rsid w:val="007E6733"/>
    <w:rsid w:val="007E6734"/>
    <w:rsid w:val="007E67F2"/>
    <w:rsid w:val="007E6830"/>
    <w:rsid w:val="007E689C"/>
    <w:rsid w:val="007E68B1"/>
    <w:rsid w:val="007E69F1"/>
    <w:rsid w:val="007E6A27"/>
    <w:rsid w:val="007E6A9B"/>
    <w:rsid w:val="007E6AFB"/>
    <w:rsid w:val="007E6B18"/>
    <w:rsid w:val="007E6C71"/>
    <w:rsid w:val="007E6D88"/>
    <w:rsid w:val="007E6DC6"/>
    <w:rsid w:val="007E6DCF"/>
    <w:rsid w:val="007E6DE1"/>
    <w:rsid w:val="007E6F3B"/>
    <w:rsid w:val="007E6FF9"/>
    <w:rsid w:val="007E7023"/>
    <w:rsid w:val="007E7056"/>
    <w:rsid w:val="007E7131"/>
    <w:rsid w:val="007E7357"/>
    <w:rsid w:val="007E73A1"/>
    <w:rsid w:val="007E73DB"/>
    <w:rsid w:val="007E7513"/>
    <w:rsid w:val="007E75EA"/>
    <w:rsid w:val="007E763A"/>
    <w:rsid w:val="007E76A7"/>
    <w:rsid w:val="007E7733"/>
    <w:rsid w:val="007E7799"/>
    <w:rsid w:val="007E7829"/>
    <w:rsid w:val="007E7887"/>
    <w:rsid w:val="007E789B"/>
    <w:rsid w:val="007E78BB"/>
    <w:rsid w:val="007E7937"/>
    <w:rsid w:val="007E7A0B"/>
    <w:rsid w:val="007E7A35"/>
    <w:rsid w:val="007E7A52"/>
    <w:rsid w:val="007E7AA0"/>
    <w:rsid w:val="007E7AD0"/>
    <w:rsid w:val="007E7BC1"/>
    <w:rsid w:val="007E7BE3"/>
    <w:rsid w:val="007E7BF7"/>
    <w:rsid w:val="007E7CC9"/>
    <w:rsid w:val="007E7D0B"/>
    <w:rsid w:val="007E7D31"/>
    <w:rsid w:val="007E7E0A"/>
    <w:rsid w:val="007E7EEF"/>
    <w:rsid w:val="007E7FDC"/>
    <w:rsid w:val="007F0085"/>
    <w:rsid w:val="007F0087"/>
    <w:rsid w:val="007F0204"/>
    <w:rsid w:val="007F02F9"/>
    <w:rsid w:val="007F0356"/>
    <w:rsid w:val="007F03C7"/>
    <w:rsid w:val="007F03EA"/>
    <w:rsid w:val="007F043A"/>
    <w:rsid w:val="007F049A"/>
    <w:rsid w:val="007F0571"/>
    <w:rsid w:val="007F0672"/>
    <w:rsid w:val="007F06FC"/>
    <w:rsid w:val="007F0732"/>
    <w:rsid w:val="007F0867"/>
    <w:rsid w:val="007F0971"/>
    <w:rsid w:val="007F098B"/>
    <w:rsid w:val="007F0BB4"/>
    <w:rsid w:val="007F0C96"/>
    <w:rsid w:val="007F0CA0"/>
    <w:rsid w:val="007F0D1C"/>
    <w:rsid w:val="007F0D61"/>
    <w:rsid w:val="007F0DBC"/>
    <w:rsid w:val="007F0DE4"/>
    <w:rsid w:val="007F0E9C"/>
    <w:rsid w:val="007F0EE4"/>
    <w:rsid w:val="007F0F37"/>
    <w:rsid w:val="007F0F81"/>
    <w:rsid w:val="007F0F8E"/>
    <w:rsid w:val="007F0FA7"/>
    <w:rsid w:val="007F106E"/>
    <w:rsid w:val="007F108C"/>
    <w:rsid w:val="007F1134"/>
    <w:rsid w:val="007F11DF"/>
    <w:rsid w:val="007F1317"/>
    <w:rsid w:val="007F1324"/>
    <w:rsid w:val="007F138C"/>
    <w:rsid w:val="007F139E"/>
    <w:rsid w:val="007F149A"/>
    <w:rsid w:val="007F14AB"/>
    <w:rsid w:val="007F1519"/>
    <w:rsid w:val="007F1658"/>
    <w:rsid w:val="007F1689"/>
    <w:rsid w:val="007F17CF"/>
    <w:rsid w:val="007F17EF"/>
    <w:rsid w:val="007F19AE"/>
    <w:rsid w:val="007F19C9"/>
    <w:rsid w:val="007F1A20"/>
    <w:rsid w:val="007F1B09"/>
    <w:rsid w:val="007F1B61"/>
    <w:rsid w:val="007F1BF0"/>
    <w:rsid w:val="007F1C54"/>
    <w:rsid w:val="007F1CD7"/>
    <w:rsid w:val="007F1DD5"/>
    <w:rsid w:val="007F1DF1"/>
    <w:rsid w:val="007F1E03"/>
    <w:rsid w:val="007F1FFE"/>
    <w:rsid w:val="007F2065"/>
    <w:rsid w:val="007F20A8"/>
    <w:rsid w:val="007F20FF"/>
    <w:rsid w:val="007F212E"/>
    <w:rsid w:val="007F2259"/>
    <w:rsid w:val="007F2260"/>
    <w:rsid w:val="007F226C"/>
    <w:rsid w:val="007F2365"/>
    <w:rsid w:val="007F23E1"/>
    <w:rsid w:val="007F2454"/>
    <w:rsid w:val="007F24D9"/>
    <w:rsid w:val="007F2506"/>
    <w:rsid w:val="007F26D5"/>
    <w:rsid w:val="007F26F7"/>
    <w:rsid w:val="007F27C3"/>
    <w:rsid w:val="007F27F8"/>
    <w:rsid w:val="007F28B1"/>
    <w:rsid w:val="007F28C8"/>
    <w:rsid w:val="007F28F7"/>
    <w:rsid w:val="007F29EC"/>
    <w:rsid w:val="007F2B6D"/>
    <w:rsid w:val="007F2B78"/>
    <w:rsid w:val="007F2B80"/>
    <w:rsid w:val="007F2BC0"/>
    <w:rsid w:val="007F2BE6"/>
    <w:rsid w:val="007F2C0B"/>
    <w:rsid w:val="007F2C49"/>
    <w:rsid w:val="007F2C80"/>
    <w:rsid w:val="007F2CE4"/>
    <w:rsid w:val="007F2D2D"/>
    <w:rsid w:val="007F2D43"/>
    <w:rsid w:val="007F2DB5"/>
    <w:rsid w:val="007F2E8F"/>
    <w:rsid w:val="007F2F94"/>
    <w:rsid w:val="007F3078"/>
    <w:rsid w:val="007F30D6"/>
    <w:rsid w:val="007F3144"/>
    <w:rsid w:val="007F323D"/>
    <w:rsid w:val="007F3245"/>
    <w:rsid w:val="007F324B"/>
    <w:rsid w:val="007F32F4"/>
    <w:rsid w:val="007F32F5"/>
    <w:rsid w:val="007F3312"/>
    <w:rsid w:val="007F3401"/>
    <w:rsid w:val="007F34FE"/>
    <w:rsid w:val="007F3511"/>
    <w:rsid w:val="007F3606"/>
    <w:rsid w:val="007F3633"/>
    <w:rsid w:val="007F3677"/>
    <w:rsid w:val="007F3749"/>
    <w:rsid w:val="007F374C"/>
    <w:rsid w:val="007F37BF"/>
    <w:rsid w:val="007F380D"/>
    <w:rsid w:val="007F395C"/>
    <w:rsid w:val="007F396F"/>
    <w:rsid w:val="007F39D9"/>
    <w:rsid w:val="007F3AC9"/>
    <w:rsid w:val="007F3AD6"/>
    <w:rsid w:val="007F3B2E"/>
    <w:rsid w:val="007F3C20"/>
    <w:rsid w:val="007F3C42"/>
    <w:rsid w:val="007F3CEF"/>
    <w:rsid w:val="007F3CF6"/>
    <w:rsid w:val="007F3DE4"/>
    <w:rsid w:val="007F3EA0"/>
    <w:rsid w:val="007F3EC2"/>
    <w:rsid w:val="007F3FCB"/>
    <w:rsid w:val="007F4217"/>
    <w:rsid w:val="007F437E"/>
    <w:rsid w:val="007F43AE"/>
    <w:rsid w:val="007F455A"/>
    <w:rsid w:val="007F45A9"/>
    <w:rsid w:val="007F45FB"/>
    <w:rsid w:val="007F4627"/>
    <w:rsid w:val="007F4777"/>
    <w:rsid w:val="007F490A"/>
    <w:rsid w:val="007F49BB"/>
    <w:rsid w:val="007F4A99"/>
    <w:rsid w:val="007F4B8A"/>
    <w:rsid w:val="007F4BE8"/>
    <w:rsid w:val="007F4C0B"/>
    <w:rsid w:val="007F4C18"/>
    <w:rsid w:val="007F4C63"/>
    <w:rsid w:val="007F4DAB"/>
    <w:rsid w:val="007F4DD1"/>
    <w:rsid w:val="007F4E20"/>
    <w:rsid w:val="007F4E92"/>
    <w:rsid w:val="007F4ED8"/>
    <w:rsid w:val="007F4EFF"/>
    <w:rsid w:val="007F5033"/>
    <w:rsid w:val="007F5075"/>
    <w:rsid w:val="007F50C0"/>
    <w:rsid w:val="007F50C9"/>
    <w:rsid w:val="007F5153"/>
    <w:rsid w:val="007F51AC"/>
    <w:rsid w:val="007F523B"/>
    <w:rsid w:val="007F5247"/>
    <w:rsid w:val="007F5423"/>
    <w:rsid w:val="007F544A"/>
    <w:rsid w:val="007F55CD"/>
    <w:rsid w:val="007F55ED"/>
    <w:rsid w:val="007F564F"/>
    <w:rsid w:val="007F566F"/>
    <w:rsid w:val="007F56D1"/>
    <w:rsid w:val="007F57CF"/>
    <w:rsid w:val="007F58F1"/>
    <w:rsid w:val="007F5A66"/>
    <w:rsid w:val="007F5AA8"/>
    <w:rsid w:val="007F5AEC"/>
    <w:rsid w:val="007F5B41"/>
    <w:rsid w:val="007F5B80"/>
    <w:rsid w:val="007F5C84"/>
    <w:rsid w:val="007F5D38"/>
    <w:rsid w:val="007F5D48"/>
    <w:rsid w:val="007F5D66"/>
    <w:rsid w:val="007F5D7D"/>
    <w:rsid w:val="007F5D9F"/>
    <w:rsid w:val="007F5DAD"/>
    <w:rsid w:val="007F5E1C"/>
    <w:rsid w:val="007F5EE0"/>
    <w:rsid w:val="007F5FB5"/>
    <w:rsid w:val="007F608F"/>
    <w:rsid w:val="007F61D0"/>
    <w:rsid w:val="007F61EC"/>
    <w:rsid w:val="007F62A1"/>
    <w:rsid w:val="007F62E1"/>
    <w:rsid w:val="007F634D"/>
    <w:rsid w:val="007F64A4"/>
    <w:rsid w:val="007F656B"/>
    <w:rsid w:val="007F6634"/>
    <w:rsid w:val="007F6759"/>
    <w:rsid w:val="007F675A"/>
    <w:rsid w:val="007F6789"/>
    <w:rsid w:val="007F67B7"/>
    <w:rsid w:val="007F67D3"/>
    <w:rsid w:val="007F67EE"/>
    <w:rsid w:val="007F6826"/>
    <w:rsid w:val="007F6885"/>
    <w:rsid w:val="007F698D"/>
    <w:rsid w:val="007F69BB"/>
    <w:rsid w:val="007F69CD"/>
    <w:rsid w:val="007F6A5E"/>
    <w:rsid w:val="007F6A65"/>
    <w:rsid w:val="007F6ABB"/>
    <w:rsid w:val="007F6B33"/>
    <w:rsid w:val="007F6B88"/>
    <w:rsid w:val="007F6C48"/>
    <w:rsid w:val="007F6CEB"/>
    <w:rsid w:val="007F6D02"/>
    <w:rsid w:val="007F6E1C"/>
    <w:rsid w:val="007F6E71"/>
    <w:rsid w:val="007F6F5F"/>
    <w:rsid w:val="007F70E4"/>
    <w:rsid w:val="007F7210"/>
    <w:rsid w:val="007F7217"/>
    <w:rsid w:val="007F73C3"/>
    <w:rsid w:val="007F73C7"/>
    <w:rsid w:val="007F7417"/>
    <w:rsid w:val="007F75A5"/>
    <w:rsid w:val="007F761A"/>
    <w:rsid w:val="007F76E9"/>
    <w:rsid w:val="007F7731"/>
    <w:rsid w:val="007F77DA"/>
    <w:rsid w:val="007F7944"/>
    <w:rsid w:val="007F79F8"/>
    <w:rsid w:val="007F7A5A"/>
    <w:rsid w:val="007F7AC7"/>
    <w:rsid w:val="007F7B3A"/>
    <w:rsid w:val="007F7BE7"/>
    <w:rsid w:val="007F7C42"/>
    <w:rsid w:val="007F7D13"/>
    <w:rsid w:val="007F7D15"/>
    <w:rsid w:val="007F7E3B"/>
    <w:rsid w:val="007F7EBF"/>
    <w:rsid w:val="007F7FDE"/>
    <w:rsid w:val="008001FE"/>
    <w:rsid w:val="008002D7"/>
    <w:rsid w:val="008002EC"/>
    <w:rsid w:val="00800306"/>
    <w:rsid w:val="0080036C"/>
    <w:rsid w:val="008003AC"/>
    <w:rsid w:val="008003DA"/>
    <w:rsid w:val="0080051E"/>
    <w:rsid w:val="008005E4"/>
    <w:rsid w:val="00800688"/>
    <w:rsid w:val="008006D9"/>
    <w:rsid w:val="008006EE"/>
    <w:rsid w:val="008006F4"/>
    <w:rsid w:val="008007F3"/>
    <w:rsid w:val="00800958"/>
    <w:rsid w:val="00800984"/>
    <w:rsid w:val="00800995"/>
    <w:rsid w:val="00800C4C"/>
    <w:rsid w:val="00800C51"/>
    <w:rsid w:val="00800C91"/>
    <w:rsid w:val="00800CE7"/>
    <w:rsid w:val="00800DB7"/>
    <w:rsid w:val="00800E09"/>
    <w:rsid w:val="00800ECD"/>
    <w:rsid w:val="00800F5C"/>
    <w:rsid w:val="00800F77"/>
    <w:rsid w:val="00800FB8"/>
    <w:rsid w:val="00801002"/>
    <w:rsid w:val="00801056"/>
    <w:rsid w:val="00801077"/>
    <w:rsid w:val="008010BB"/>
    <w:rsid w:val="008010E7"/>
    <w:rsid w:val="0080112A"/>
    <w:rsid w:val="00801299"/>
    <w:rsid w:val="008012E9"/>
    <w:rsid w:val="0080136C"/>
    <w:rsid w:val="008013E5"/>
    <w:rsid w:val="00801401"/>
    <w:rsid w:val="0080149C"/>
    <w:rsid w:val="00801581"/>
    <w:rsid w:val="008017D2"/>
    <w:rsid w:val="008017FE"/>
    <w:rsid w:val="00801A2E"/>
    <w:rsid w:val="00801B32"/>
    <w:rsid w:val="00801B70"/>
    <w:rsid w:val="00801B99"/>
    <w:rsid w:val="00801C7A"/>
    <w:rsid w:val="00801CE7"/>
    <w:rsid w:val="00801D78"/>
    <w:rsid w:val="00801DDE"/>
    <w:rsid w:val="0080204D"/>
    <w:rsid w:val="008020BD"/>
    <w:rsid w:val="008024E7"/>
    <w:rsid w:val="008024F2"/>
    <w:rsid w:val="008026D4"/>
    <w:rsid w:val="0080270F"/>
    <w:rsid w:val="00802781"/>
    <w:rsid w:val="008027F5"/>
    <w:rsid w:val="00802883"/>
    <w:rsid w:val="00802944"/>
    <w:rsid w:val="00802A03"/>
    <w:rsid w:val="00802A27"/>
    <w:rsid w:val="00802BAC"/>
    <w:rsid w:val="00802BE0"/>
    <w:rsid w:val="00802CD9"/>
    <w:rsid w:val="00802CE4"/>
    <w:rsid w:val="00802DAA"/>
    <w:rsid w:val="00802DD8"/>
    <w:rsid w:val="00802E39"/>
    <w:rsid w:val="00802EC7"/>
    <w:rsid w:val="00802F31"/>
    <w:rsid w:val="00802F9B"/>
    <w:rsid w:val="0080300D"/>
    <w:rsid w:val="00803069"/>
    <w:rsid w:val="00803072"/>
    <w:rsid w:val="00803130"/>
    <w:rsid w:val="008031A8"/>
    <w:rsid w:val="008031DA"/>
    <w:rsid w:val="0080341B"/>
    <w:rsid w:val="008034F4"/>
    <w:rsid w:val="00803510"/>
    <w:rsid w:val="008035C3"/>
    <w:rsid w:val="008036FC"/>
    <w:rsid w:val="008038C8"/>
    <w:rsid w:val="008039C2"/>
    <w:rsid w:val="00803A1B"/>
    <w:rsid w:val="00803C00"/>
    <w:rsid w:val="00803C52"/>
    <w:rsid w:val="00803D03"/>
    <w:rsid w:val="00803D8E"/>
    <w:rsid w:val="00803DF3"/>
    <w:rsid w:val="00803E91"/>
    <w:rsid w:val="00803EE0"/>
    <w:rsid w:val="00803F62"/>
    <w:rsid w:val="00803FB0"/>
    <w:rsid w:val="00803FE3"/>
    <w:rsid w:val="00804083"/>
    <w:rsid w:val="00804087"/>
    <w:rsid w:val="0080411C"/>
    <w:rsid w:val="0080418F"/>
    <w:rsid w:val="008041A5"/>
    <w:rsid w:val="008041D9"/>
    <w:rsid w:val="0080425C"/>
    <w:rsid w:val="00804296"/>
    <w:rsid w:val="008042DF"/>
    <w:rsid w:val="0080439F"/>
    <w:rsid w:val="008043DA"/>
    <w:rsid w:val="00804405"/>
    <w:rsid w:val="0080469B"/>
    <w:rsid w:val="0080469C"/>
    <w:rsid w:val="008047AE"/>
    <w:rsid w:val="00804850"/>
    <w:rsid w:val="00804890"/>
    <w:rsid w:val="00804905"/>
    <w:rsid w:val="00804930"/>
    <w:rsid w:val="00804946"/>
    <w:rsid w:val="008049DC"/>
    <w:rsid w:val="00804A8D"/>
    <w:rsid w:val="00804B94"/>
    <w:rsid w:val="00804BAD"/>
    <w:rsid w:val="00804BD4"/>
    <w:rsid w:val="00804DCF"/>
    <w:rsid w:val="00804E5E"/>
    <w:rsid w:val="00804F4C"/>
    <w:rsid w:val="00804F71"/>
    <w:rsid w:val="00804FA9"/>
    <w:rsid w:val="00804FBD"/>
    <w:rsid w:val="0080507E"/>
    <w:rsid w:val="008051D7"/>
    <w:rsid w:val="00805206"/>
    <w:rsid w:val="00805287"/>
    <w:rsid w:val="008052CF"/>
    <w:rsid w:val="00805307"/>
    <w:rsid w:val="0080554E"/>
    <w:rsid w:val="00805611"/>
    <w:rsid w:val="008056A6"/>
    <w:rsid w:val="008056AD"/>
    <w:rsid w:val="008056F7"/>
    <w:rsid w:val="0080573D"/>
    <w:rsid w:val="008057BE"/>
    <w:rsid w:val="008058CA"/>
    <w:rsid w:val="008058F1"/>
    <w:rsid w:val="008059B9"/>
    <w:rsid w:val="008059ED"/>
    <w:rsid w:val="00805A41"/>
    <w:rsid w:val="00805A57"/>
    <w:rsid w:val="00805A66"/>
    <w:rsid w:val="00805BD6"/>
    <w:rsid w:val="00805D87"/>
    <w:rsid w:val="00805DF8"/>
    <w:rsid w:val="00805E98"/>
    <w:rsid w:val="00805EEB"/>
    <w:rsid w:val="00805EF8"/>
    <w:rsid w:val="008060F9"/>
    <w:rsid w:val="0080615F"/>
    <w:rsid w:val="00806208"/>
    <w:rsid w:val="0080620D"/>
    <w:rsid w:val="00806505"/>
    <w:rsid w:val="0080658A"/>
    <w:rsid w:val="0080659D"/>
    <w:rsid w:val="008066A2"/>
    <w:rsid w:val="00806746"/>
    <w:rsid w:val="00806823"/>
    <w:rsid w:val="0080690E"/>
    <w:rsid w:val="0080694B"/>
    <w:rsid w:val="008069EA"/>
    <w:rsid w:val="00806A37"/>
    <w:rsid w:val="00806A49"/>
    <w:rsid w:val="00806A56"/>
    <w:rsid w:val="00806A78"/>
    <w:rsid w:val="00806ACD"/>
    <w:rsid w:val="00806CD6"/>
    <w:rsid w:val="00806CDF"/>
    <w:rsid w:val="00806D72"/>
    <w:rsid w:val="00806DA1"/>
    <w:rsid w:val="00806EB3"/>
    <w:rsid w:val="00806F88"/>
    <w:rsid w:val="00806FA9"/>
    <w:rsid w:val="00807088"/>
    <w:rsid w:val="00807103"/>
    <w:rsid w:val="0080715A"/>
    <w:rsid w:val="00807184"/>
    <w:rsid w:val="008071F3"/>
    <w:rsid w:val="008072B4"/>
    <w:rsid w:val="008072D3"/>
    <w:rsid w:val="0080733C"/>
    <w:rsid w:val="0080739E"/>
    <w:rsid w:val="00807407"/>
    <w:rsid w:val="0080755A"/>
    <w:rsid w:val="00807580"/>
    <w:rsid w:val="00807654"/>
    <w:rsid w:val="00807765"/>
    <w:rsid w:val="00807776"/>
    <w:rsid w:val="00807848"/>
    <w:rsid w:val="00807906"/>
    <w:rsid w:val="00807924"/>
    <w:rsid w:val="0080792B"/>
    <w:rsid w:val="008079B2"/>
    <w:rsid w:val="00807A31"/>
    <w:rsid w:val="00807A48"/>
    <w:rsid w:val="00807A7A"/>
    <w:rsid w:val="00807A84"/>
    <w:rsid w:val="00807AB5"/>
    <w:rsid w:val="00807ABB"/>
    <w:rsid w:val="00807BD3"/>
    <w:rsid w:val="00807C37"/>
    <w:rsid w:val="00807D17"/>
    <w:rsid w:val="0081006C"/>
    <w:rsid w:val="008100DE"/>
    <w:rsid w:val="00810176"/>
    <w:rsid w:val="008101C8"/>
    <w:rsid w:val="00810295"/>
    <w:rsid w:val="0081035E"/>
    <w:rsid w:val="0081044D"/>
    <w:rsid w:val="008105DF"/>
    <w:rsid w:val="00810634"/>
    <w:rsid w:val="00810785"/>
    <w:rsid w:val="008107D3"/>
    <w:rsid w:val="00810801"/>
    <w:rsid w:val="00810894"/>
    <w:rsid w:val="008108BD"/>
    <w:rsid w:val="00810A04"/>
    <w:rsid w:val="00810A19"/>
    <w:rsid w:val="00810A63"/>
    <w:rsid w:val="00810B31"/>
    <w:rsid w:val="00810BF4"/>
    <w:rsid w:val="00810CF8"/>
    <w:rsid w:val="00810DB8"/>
    <w:rsid w:val="00810E43"/>
    <w:rsid w:val="00810E5B"/>
    <w:rsid w:val="00810E75"/>
    <w:rsid w:val="00810E76"/>
    <w:rsid w:val="00810F6D"/>
    <w:rsid w:val="00810FB1"/>
    <w:rsid w:val="00810FB3"/>
    <w:rsid w:val="00811000"/>
    <w:rsid w:val="00811007"/>
    <w:rsid w:val="00811050"/>
    <w:rsid w:val="008110AA"/>
    <w:rsid w:val="0081120F"/>
    <w:rsid w:val="008113DE"/>
    <w:rsid w:val="00811483"/>
    <w:rsid w:val="00811484"/>
    <w:rsid w:val="008115F5"/>
    <w:rsid w:val="0081166E"/>
    <w:rsid w:val="0081167F"/>
    <w:rsid w:val="008116CD"/>
    <w:rsid w:val="0081171A"/>
    <w:rsid w:val="00811840"/>
    <w:rsid w:val="00811915"/>
    <w:rsid w:val="00811A36"/>
    <w:rsid w:val="00811A57"/>
    <w:rsid w:val="00811AF8"/>
    <w:rsid w:val="00811B02"/>
    <w:rsid w:val="00811BCD"/>
    <w:rsid w:val="00811C36"/>
    <w:rsid w:val="00811CB7"/>
    <w:rsid w:val="00811E61"/>
    <w:rsid w:val="00811F3B"/>
    <w:rsid w:val="00811F40"/>
    <w:rsid w:val="00811FB7"/>
    <w:rsid w:val="00812031"/>
    <w:rsid w:val="00812165"/>
    <w:rsid w:val="008121CC"/>
    <w:rsid w:val="0081223D"/>
    <w:rsid w:val="00812275"/>
    <w:rsid w:val="008123AB"/>
    <w:rsid w:val="008123DB"/>
    <w:rsid w:val="008123F8"/>
    <w:rsid w:val="00812439"/>
    <w:rsid w:val="00812476"/>
    <w:rsid w:val="008124C5"/>
    <w:rsid w:val="00812560"/>
    <w:rsid w:val="00812589"/>
    <w:rsid w:val="0081258F"/>
    <w:rsid w:val="008125DF"/>
    <w:rsid w:val="00812624"/>
    <w:rsid w:val="00812628"/>
    <w:rsid w:val="008126E7"/>
    <w:rsid w:val="00812722"/>
    <w:rsid w:val="00812761"/>
    <w:rsid w:val="0081287C"/>
    <w:rsid w:val="00812A99"/>
    <w:rsid w:val="00812B80"/>
    <w:rsid w:val="00812BA4"/>
    <w:rsid w:val="00812C16"/>
    <w:rsid w:val="00812C1C"/>
    <w:rsid w:val="00812CA0"/>
    <w:rsid w:val="00812D9A"/>
    <w:rsid w:val="00812DB1"/>
    <w:rsid w:val="00812E35"/>
    <w:rsid w:val="00812EA2"/>
    <w:rsid w:val="00812F05"/>
    <w:rsid w:val="00812F8F"/>
    <w:rsid w:val="00812F96"/>
    <w:rsid w:val="008130A3"/>
    <w:rsid w:val="008130DE"/>
    <w:rsid w:val="00813169"/>
    <w:rsid w:val="008131D4"/>
    <w:rsid w:val="008131E4"/>
    <w:rsid w:val="00813335"/>
    <w:rsid w:val="0081333C"/>
    <w:rsid w:val="00813343"/>
    <w:rsid w:val="008133E3"/>
    <w:rsid w:val="00813424"/>
    <w:rsid w:val="00813452"/>
    <w:rsid w:val="0081354D"/>
    <w:rsid w:val="00813690"/>
    <w:rsid w:val="008136EA"/>
    <w:rsid w:val="00813727"/>
    <w:rsid w:val="0081378A"/>
    <w:rsid w:val="008137DB"/>
    <w:rsid w:val="00813837"/>
    <w:rsid w:val="00813932"/>
    <w:rsid w:val="00813954"/>
    <w:rsid w:val="008139DA"/>
    <w:rsid w:val="00813BAD"/>
    <w:rsid w:val="00813BEC"/>
    <w:rsid w:val="00813C01"/>
    <w:rsid w:val="00813C72"/>
    <w:rsid w:val="00813D1F"/>
    <w:rsid w:val="00813DD9"/>
    <w:rsid w:val="00813EB5"/>
    <w:rsid w:val="00814006"/>
    <w:rsid w:val="0081402F"/>
    <w:rsid w:val="008141EC"/>
    <w:rsid w:val="008142E1"/>
    <w:rsid w:val="00814351"/>
    <w:rsid w:val="00814362"/>
    <w:rsid w:val="00814521"/>
    <w:rsid w:val="0081456C"/>
    <w:rsid w:val="008145A8"/>
    <w:rsid w:val="0081469C"/>
    <w:rsid w:val="008146EA"/>
    <w:rsid w:val="008146F6"/>
    <w:rsid w:val="0081471D"/>
    <w:rsid w:val="00814821"/>
    <w:rsid w:val="0081497C"/>
    <w:rsid w:val="00814997"/>
    <w:rsid w:val="008149AD"/>
    <w:rsid w:val="008149E1"/>
    <w:rsid w:val="00814A19"/>
    <w:rsid w:val="00814AC6"/>
    <w:rsid w:val="00814BF1"/>
    <w:rsid w:val="00814C55"/>
    <w:rsid w:val="00814CE5"/>
    <w:rsid w:val="00814CF9"/>
    <w:rsid w:val="00814D18"/>
    <w:rsid w:val="00814EBA"/>
    <w:rsid w:val="00814F2A"/>
    <w:rsid w:val="00814F5A"/>
    <w:rsid w:val="00814FE2"/>
    <w:rsid w:val="00815034"/>
    <w:rsid w:val="00815186"/>
    <w:rsid w:val="0081527A"/>
    <w:rsid w:val="0081536B"/>
    <w:rsid w:val="008153D0"/>
    <w:rsid w:val="008155D4"/>
    <w:rsid w:val="00815637"/>
    <w:rsid w:val="0081570D"/>
    <w:rsid w:val="00815742"/>
    <w:rsid w:val="008157DD"/>
    <w:rsid w:val="0081585E"/>
    <w:rsid w:val="0081587F"/>
    <w:rsid w:val="008158D3"/>
    <w:rsid w:val="008158E8"/>
    <w:rsid w:val="00815915"/>
    <w:rsid w:val="00815A39"/>
    <w:rsid w:val="00815A59"/>
    <w:rsid w:val="00815A99"/>
    <w:rsid w:val="00815B96"/>
    <w:rsid w:val="00815BD3"/>
    <w:rsid w:val="00815BD6"/>
    <w:rsid w:val="00815CC2"/>
    <w:rsid w:val="00815D55"/>
    <w:rsid w:val="00815DA9"/>
    <w:rsid w:val="00815DB4"/>
    <w:rsid w:val="00815E13"/>
    <w:rsid w:val="00815E2F"/>
    <w:rsid w:val="00815FA0"/>
    <w:rsid w:val="00816011"/>
    <w:rsid w:val="00816038"/>
    <w:rsid w:val="008161C1"/>
    <w:rsid w:val="008161D7"/>
    <w:rsid w:val="0081620D"/>
    <w:rsid w:val="008162FF"/>
    <w:rsid w:val="008163DB"/>
    <w:rsid w:val="008163E2"/>
    <w:rsid w:val="008165DA"/>
    <w:rsid w:val="0081668C"/>
    <w:rsid w:val="008166B1"/>
    <w:rsid w:val="008166C2"/>
    <w:rsid w:val="00816848"/>
    <w:rsid w:val="008169E0"/>
    <w:rsid w:val="00816A20"/>
    <w:rsid w:val="00816AD8"/>
    <w:rsid w:val="00816B23"/>
    <w:rsid w:val="00816B63"/>
    <w:rsid w:val="00816C93"/>
    <w:rsid w:val="00816CC5"/>
    <w:rsid w:val="00816EAF"/>
    <w:rsid w:val="00816EC5"/>
    <w:rsid w:val="00816F03"/>
    <w:rsid w:val="00816FC7"/>
    <w:rsid w:val="0081703C"/>
    <w:rsid w:val="00817047"/>
    <w:rsid w:val="008173A2"/>
    <w:rsid w:val="008173BC"/>
    <w:rsid w:val="0081753F"/>
    <w:rsid w:val="00817649"/>
    <w:rsid w:val="0081764E"/>
    <w:rsid w:val="008176FD"/>
    <w:rsid w:val="008177EC"/>
    <w:rsid w:val="00817887"/>
    <w:rsid w:val="00817892"/>
    <w:rsid w:val="00817899"/>
    <w:rsid w:val="008178AA"/>
    <w:rsid w:val="008178EF"/>
    <w:rsid w:val="00817925"/>
    <w:rsid w:val="008179E0"/>
    <w:rsid w:val="00817AC9"/>
    <w:rsid w:val="00817B8A"/>
    <w:rsid w:val="00817DD3"/>
    <w:rsid w:val="00817E36"/>
    <w:rsid w:val="00817E65"/>
    <w:rsid w:val="00817F19"/>
    <w:rsid w:val="00820063"/>
    <w:rsid w:val="008200AC"/>
    <w:rsid w:val="00820104"/>
    <w:rsid w:val="00820105"/>
    <w:rsid w:val="00820188"/>
    <w:rsid w:val="008202C5"/>
    <w:rsid w:val="008203EA"/>
    <w:rsid w:val="00820423"/>
    <w:rsid w:val="0082046B"/>
    <w:rsid w:val="008204BC"/>
    <w:rsid w:val="0082054D"/>
    <w:rsid w:val="00820559"/>
    <w:rsid w:val="0082062A"/>
    <w:rsid w:val="00820660"/>
    <w:rsid w:val="00820829"/>
    <w:rsid w:val="008208D1"/>
    <w:rsid w:val="008208DD"/>
    <w:rsid w:val="00820958"/>
    <w:rsid w:val="00820A5C"/>
    <w:rsid w:val="00820ABA"/>
    <w:rsid w:val="00820C09"/>
    <w:rsid w:val="00820D0C"/>
    <w:rsid w:val="00820E3F"/>
    <w:rsid w:val="00820E47"/>
    <w:rsid w:val="00820F15"/>
    <w:rsid w:val="00820F21"/>
    <w:rsid w:val="00820FBF"/>
    <w:rsid w:val="00820FD8"/>
    <w:rsid w:val="00820FDB"/>
    <w:rsid w:val="00821040"/>
    <w:rsid w:val="00821065"/>
    <w:rsid w:val="008211DD"/>
    <w:rsid w:val="00821253"/>
    <w:rsid w:val="00821294"/>
    <w:rsid w:val="008212D6"/>
    <w:rsid w:val="0082135F"/>
    <w:rsid w:val="0082138B"/>
    <w:rsid w:val="00821580"/>
    <w:rsid w:val="008215EB"/>
    <w:rsid w:val="00821634"/>
    <w:rsid w:val="0082164E"/>
    <w:rsid w:val="0082182C"/>
    <w:rsid w:val="0082182E"/>
    <w:rsid w:val="0082184B"/>
    <w:rsid w:val="00821876"/>
    <w:rsid w:val="00821900"/>
    <w:rsid w:val="00821944"/>
    <w:rsid w:val="00821B1C"/>
    <w:rsid w:val="00821B34"/>
    <w:rsid w:val="00821B54"/>
    <w:rsid w:val="00821B80"/>
    <w:rsid w:val="00821B83"/>
    <w:rsid w:val="00821C46"/>
    <w:rsid w:val="00821C7A"/>
    <w:rsid w:val="00821D54"/>
    <w:rsid w:val="00821D68"/>
    <w:rsid w:val="00821D82"/>
    <w:rsid w:val="00821E90"/>
    <w:rsid w:val="00821FC5"/>
    <w:rsid w:val="00821FFA"/>
    <w:rsid w:val="00822030"/>
    <w:rsid w:val="0082206D"/>
    <w:rsid w:val="00822099"/>
    <w:rsid w:val="008221A9"/>
    <w:rsid w:val="00822318"/>
    <w:rsid w:val="0082243D"/>
    <w:rsid w:val="008224A6"/>
    <w:rsid w:val="00822579"/>
    <w:rsid w:val="0082258B"/>
    <w:rsid w:val="00822606"/>
    <w:rsid w:val="0082262C"/>
    <w:rsid w:val="00822665"/>
    <w:rsid w:val="0082267F"/>
    <w:rsid w:val="008226C4"/>
    <w:rsid w:val="00822776"/>
    <w:rsid w:val="008227D4"/>
    <w:rsid w:val="008228A5"/>
    <w:rsid w:val="008228F5"/>
    <w:rsid w:val="00822942"/>
    <w:rsid w:val="00822961"/>
    <w:rsid w:val="008229A4"/>
    <w:rsid w:val="008229C6"/>
    <w:rsid w:val="00822A77"/>
    <w:rsid w:val="00822B1A"/>
    <w:rsid w:val="00822B6B"/>
    <w:rsid w:val="00822B6C"/>
    <w:rsid w:val="00822C29"/>
    <w:rsid w:val="00822CCC"/>
    <w:rsid w:val="00822CF7"/>
    <w:rsid w:val="00822D5D"/>
    <w:rsid w:val="00822DA6"/>
    <w:rsid w:val="00822E8F"/>
    <w:rsid w:val="00822F5F"/>
    <w:rsid w:val="00823005"/>
    <w:rsid w:val="00823367"/>
    <w:rsid w:val="008233F8"/>
    <w:rsid w:val="0082344E"/>
    <w:rsid w:val="0082359C"/>
    <w:rsid w:val="008235AA"/>
    <w:rsid w:val="00823601"/>
    <w:rsid w:val="00823690"/>
    <w:rsid w:val="008236F7"/>
    <w:rsid w:val="00823713"/>
    <w:rsid w:val="0082386B"/>
    <w:rsid w:val="00823872"/>
    <w:rsid w:val="008238F1"/>
    <w:rsid w:val="00823A55"/>
    <w:rsid w:val="00823AB9"/>
    <w:rsid w:val="00823AF9"/>
    <w:rsid w:val="00823AFD"/>
    <w:rsid w:val="00823B9F"/>
    <w:rsid w:val="00823CB4"/>
    <w:rsid w:val="00823D6E"/>
    <w:rsid w:val="00823D94"/>
    <w:rsid w:val="00823DF8"/>
    <w:rsid w:val="00823E7D"/>
    <w:rsid w:val="00823F10"/>
    <w:rsid w:val="00824199"/>
    <w:rsid w:val="008241AC"/>
    <w:rsid w:val="008241EB"/>
    <w:rsid w:val="008242E4"/>
    <w:rsid w:val="008242FE"/>
    <w:rsid w:val="00824302"/>
    <w:rsid w:val="00824467"/>
    <w:rsid w:val="00824582"/>
    <w:rsid w:val="00824610"/>
    <w:rsid w:val="00824636"/>
    <w:rsid w:val="008246A3"/>
    <w:rsid w:val="0082470F"/>
    <w:rsid w:val="0082477E"/>
    <w:rsid w:val="00824846"/>
    <w:rsid w:val="00824958"/>
    <w:rsid w:val="008249F9"/>
    <w:rsid w:val="00824A4B"/>
    <w:rsid w:val="00824A59"/>
    <w:rsid w:val="00824A9B"/>
    <w:rsid w:val="00824AF0"/>
    <w:rsid w:val="00824B19"/>
    <w:rsid w:val="00824B22"/>
    <w:rsid w:val="00824B4E"/>
    <w:rsid w:val="00824BC3"/>
    <w:rsid w:val="00824DA5"/>
    <w:rsid w:val="00824EF7"/>
    <w:rsid w:val="00824F13"/>
    <w:rsid w:val="00824F34"/>
    <w:rsid w:val="00824F3E"/>
    <w:rsid w:val="00824FDC"/>
    <w:rsid w:val="00824FEC"/>
    <w:rsid w:val="00824FF2"/>
    <w:rsid w:val="00825390"/>
    <w:rsid w:val="0082546D"/>
    <w:rsid w:val="0082553A"/>
    <w:rsid w:val="00825582"/>
    <w:rsid w:val="00825681"/>
    <w:rsid w:val="0082572B"/>
    <w:rsid w:val="0082577B"/>
    <w:rsid w:val="008257D8"/>
    <w:rsid w:val="00825845"/>
    <w:rsid w:val="008258A2"/>
    <w:rsid w:val="008258C1"/>
    <w:rsid w:val="0082596F"/>
    <w:rsid w:val="00825A17"/>
    <w:rsid w:val="00825AF3"/>
    <w:rsid w:val="00825B1D"/>
    <w:rsid w:val="00825B65"/>
    <w:rsid w:val="00825BD2"/>
    <w:rsid w:val="00825C3C"/>
    <w:rsid w:val="00825D10"/>
    <w:rsid w:val="00825D96"/>
    <w:rsid w:val="00825E81"/>
    <w:rsid w:val="00825EA8"/>
    <w:rsid w:val="00825F3C"/>
    <w:rsid w:val="00825FE1"/>
    <w:rsid w:val="0082600A"/>
    <w:rsid w:val="0082602A"/>
    <w:rsid w:val="00826034"/>
    <w:rsid w:val="0082607C"/>
    <w:rsid w:val="008260C7"/>
    <w:rsid w:val="0082611E"/>
    <w:rsid w:val="0082628A"/>
    <w:rsid w:val="00826314"/>
    <w:rsid w:val="00826326"/>
    <w:rsid w:val="00826343"/>
    <w:rsid w:val="008263E7"/>
    <w:rsid w:val="008263F4"/>
    <w:rsid w:val="00826419"/>
    <w:rsid w:val="0082644C"/>
    <w:rsid w:val="00826576"/>
    <w:rsid w:val="00826599"/>
    <w:rsid w:val="008265CD"/>
    <w:rsid w:val="008265D0"/>
    <w:rsid w:val="0082661B"/>
    <w:rsid w:val="008266B9"/>
    <w:rsid w:val="008266F5"/>
    <w:rsid w:val="00826783"/>
    <w:rsid w:val="00826914"/>
    <w:rsid w:val="00826918"/>
    <w:rsid w:val="0082695D"/>
    <w:rsid w:val="0082699D"/>
    <w:rsid w:val="00826A22"/>
    <w:rsid w:val="00826C2B"/>
    <w:rsid w:val="00826C52"/>
    <w:rsid w:val="00826D0E"/>
    <w:rsid w:val="00826D82"/>
    <w:rsid w:val="00826E06"/>
    <w:rsid w:val="00826F28"/>
    <w:rsid w:val="00826F95"/>
    <w:rsid w:val="00826FC0"/>
    <w:rsid w:val="00827009"/>
    <w:rsid w:val="00827150"/>
    <w:rsid w:val="008271E3"/>
    <w:rsid w:val="008271EE"/>
    <w:rsid w:val="00827228"/>
    <w:rsid w:val="00827263"/>
    <w:rsid w:val="00827266"/>
    <w:rsid w:val="00827368"/>
    <w:rsid w:val="008273F0"/>
    <w:rsid w:val="00827533"/>
    <w:rsid w:val="00827727"/>
    <w:rsid w:val="008277BC"/>
    <w:rsid w:val="008279CD"/>
    <w:rsid w:val="00827B87"/>
    <w:rsid w:val="00827C31"/>
    <w:rsid w:val="00827E15"/>
    <w:rsid w:val="00827EED"/>
    <w:rsid w:val="00827F7C"/>
    <w:rsid w:val="00827FA3"/>
    <w:rsid w:val="00830054"/>
    <w:rsid w:val="00830078"/>
    <w:rsid w:val="008300FB"/>
    <w:rsid w:val="00830136"/>
    <w:rsid w:val="0083013A"/>
    <w:rsid w:val="00830160"/>
    <w:rsid w:val="00830184"/>
    <w:rsid w:val="00830264"/>
    <w:rsid w:val="0083027B"/>
    <w:rsid w:val="008302A8"/>
    <w:rsid w:val="0083033F"/>
    <w:rsid w:val="008304D1"/>
    <w:rsid w:val="0083055B"/>
    <w:rsid w:val="00830565"/>
    <w:rsid w:val="00830731"/>
    <w:rsid w:val="00830736"/>
    <w:rsid w:val="00830745"/>
    <w:rsid w:val="00830794"/>
    <w:rsid w:val="008307DA"/>
    <w:rsid w:val="008307F9"/>
    <w:rsid w:val="00830901"/>
    <w:rsid w:val="008309D4"/>
    <w:rsid w:val="008309FF"/>
    <w:rsid w:val="00830A0B"/>
    <w:rsid w:val="00830B8B"/>
    <w:rsid w:val="00830C16"/>
    <w:rsid w:val="00830C43"/>
    <w:rsid w:val="00830CBD"/>
    <w:rsid w:val="00830D5F"/>
    <w:rsid w:val="00830D77"/>
    <w:rsid w:val="00830E0F"/>
    <w:rsid w:val="00830E4D"/>
    <w:rsid w:val="00830F4F"/>
    <w:rsid w:val="00831173"/>
    <w:rsid w:val="00831182"/>
    <w:rsid w:val="00831193"/>
    <w:rsid w:val="008311F7"/>
    <w:rsid w:val="0083145D"/>
    <w:rsid w:val="00831488"/>
    <w:rsid w:val="0083150C"/>
    <w:rsid w:val="00831535"/>
    <w:rsid w:val="00831589"/>
    <w:rsid w:val="008317A1"/>
    <w:rsid w:val="008317A3"/>
    <w:rsid w:val="008318A1"/>
    <w:rsid w:val="00831913"/>
    <w:rsid w:val="0083192F"/>
    <w:rsid w:val="00831980"/>
    <w:rsid w:val="00831B5D"/>
    <w:rsid w:val="00831BA9"/>
    <w:rsid w:val="00831BAF"/>
    <w:rsid w:val="00831BCE"/>
    <w:rsid w:val="00831C0C"/>
    <w:rsid w:val="00831C23"/>
    <w:rsid w:val="00831D21"/>
    <w:rsid w:val="00831D63"/>
    <w:rsid w:val="00831D6F"/>
    <w:rsid w:val="00831E39"/>
    <w:rsid w:val="00831ECF"/>
    <w:rsid w:val="00831F48"/>
    <w:rsid w:val="00831F7E"/>
    <w:rsid w:val="00832052"/>
    <w:rsid w:val="0083214C"/>
    <w:rsid w:val="0083217D"/>
    <w:rsid w:val="00832224"/>
    <w:rsid w:val="008322CE"/>
    <w:rsid w:val="008322E1"/>
    <w:rsid w:val="008323AB"/>
    <w:rsid w:val="008323EA"/>
    <w:rsid w:val="0083244F"/>
    <w:rsid w:val="00832460"/>
    <w:rsid w:val="0083256D"/>
    <w:rsid w:val="0083256E"/>
    <w:rsid w:val="008325D2"/>
    <w:rsid w:val="00832609"/>
    <w:rsid w:val="008326FA"/>
    <w:rsid w:val="008328E6"/>
    <w:rsid w:val="00832968"/>
    <w:rsid w:val="00832970"/>
    <w:rsid w:val="00832988"/>
    <w:rsid w:val="00832A3D"/>
    <w:rsid w:val="00832AAB"/>
    <w:rsid w:val="00832AFD"/>
    <w:rsid w:val="00832B4C"/>
    <w:rsid w:val="00832C1C"/>
    <w:rsid w:val="00832C95"/>
    <w:rsid w:val="00832CA1"/>
    <w:rsid w:val="00832CAF"/>
    <w:rsid w:val="00832DED"/>
    <w:rsid w:val="00832E74"/>
    <w:rsid w:val="00832E8F"/>
    <w:rsid w:val="00832EF3"/>
    <w:rsid w:val="00833184"/>
    <w:rsid w:val="0083341F"/>
    <w:rsid w:val="0083349A"/>
    <w:rsid w:val="00833657"/>
    <w:rsid w:val="00833996"/>
    <w:rsid w:val="00833ABD"/>
    <w:rsid w:val="00833B1A"/>
    <w:rsid w:val="00833BE5"/>
    <w:rsid w:val="00833BF5"/>
    <w:rsid w:val="00833C55"/>
    <w:rsid w:val="00833F0C"/>
    <w:rsid w:val="00833F5E"/>
    <w:rsid w:val="00833F7D"/>
    <w:rsid w:val="008340F8"/>
    <w:rsid w:val="00834182"/>
    <w:rsid w:val="0083424E"/>
    <w:rsid w:val="0083426D"/>
    <w:rsid w:val="008343A4"/>
    <w:rsid w:val="008343EF"/>
    <w:rsid w:val="00834453"/>
    <w:rsid w:val="008344BD"/>
    <w:rsid w:val="008345C7"/>
    <w:rsid w:val="00834684"/>
    <w:rsid w:val="008346C3"/>
    <w:rsid w:val="00834808"/>
    <w:rsid w:val="0083488D"/>
    <w:rsid w:val="0083488F"/>
    <w:rsid w:val="008348BF"/>
    <w:rsid w:val="00834B40"/>
    <w:rsid w:val="00834B46"/>
    <w:rsid w:val="00834CE0"/>
    <w:rsid w:val="00834D70"/>
    <w:rsid w:val="00834D7B"/>
    <w:rsid w:val="00834DA7"/>
    <w:rsid w:val="00834E47"/>
    <w:rsid w:val="00834EE4"/>
    <w:rsid w:val="00834EF8"/>
    <w:rsid w:val="00834F03"/>
    <w:rsid w:val="00834F56"/>
    <w:rsid w:val="0083523B"/>
    <w:rsid w:val="00835409"/>
    <w:rsid w:val="0083541D"/>
    <w:rsid w:val="008355A5"/>
    <w:rsid w:val="008355A9"/>
    <w:rsid w:val="0083563F"/>
    <w:rsid w:val="008356C4"/>
    <w:rsid w:val="008356DB"/>
    <w:rsid w:val="0083571D"/>
    <w:rsid w:val="008358CC"/>
    <w:rsid w:val="008358ED"/>
    <w:rsid w:val="008359CB"/>
    <w:rsid w:val="00835A12"/>
    <w:rsid w:val="00835A2E"/>
    <w:rsid w:val="00835BC1"/>
    <w:rsid w:val="00835BE0"/>
    <w:rsid w:val="00835C5F"/>
    <w:rsid w:val="00835E18"/>
    <w:rsid w:val="00835E22"/>
    <w:rsid w:val="00835E59"/>
    <w:rsid w:val="00835E7E"/>
    <w:rsid w:val="00835F2C"/>
    <w:rsid w:val="00835F3D"/>
    <w:rsid w:val="00835F44"/>
    <w:rsid w:val="00835FCE"/>
    <w:rsid w:val="00836067"/>
    <w:rsid w:val="00836148"/>
    <w:rsid w:val="008361BC"/>
    <w:rsid w:val="0083622B"/>
    <w:rsid w:val="00836279"/>
    <w:rsid w:val="008364A7"/>
    <w:rsid w:val="008366C8"/>
    <w:rsid w:val="008366FC"/>
    <w:rsid w:val="008367A3"/>
    <w:rsid w:val="0083684C"/>
    <w:rsid w:val="00836888"/>
    <w:rsid w:val="00836905"/>
    <w:rsid w:val="0083695B"/>
    <w:rsid w:val="00836A68"/>
    <w:rsid w:val="00836ADB"/>
    <w:rsid w:val="00836AE5"/>
    <w:rsid w:val="00836AEE"/>
    <w:rsid w:val="00836B39"/>
    <w:rsid w:val="00836BCF"/>
    <w:rsid w:val="00836C04"/>
    <w:rsid w:val="00836D0D"/>
    <w:rsid w:val="00836DA0"/>
    <w:rsid w:val="00836DA8"/>
    <w:rsid w:val="00836DE8"/>
    <w:rsid w:val="00836E05"/>
    <w:rsid w:val="00836F4E"/>
    <w:rsid w:val="00836FAD"/>
    <w:rsid w:val="00837063"/>
    <w:rsid w:val="008370B4"/>
    <w:rsid w:val="00837159"/>
    <w:rsid w:val="0083715F"/>
    <w:rsid w:val="00837264"/>
    <w:rsid w:val="00837429"/>
    <w:rsid w:val="0083758E"/>
    <w:rsid w:val="008375B2"/>
    <w:rsid w:val="0083765E"/>
    <w:rsid w:val="00837678"/>
    <w:rsid w:val="00837684"/>
    <w:rsid w:val="00837694"/>
    <w:rsid w:val="00837710"/>
    <w:rsid w:val="0083775D"/>
    <w:rsid w:val="008377B4"/>
    <w:rsid w:val="008377C8"/>
    <w:rsid w:val="00837837"/>
    <w:rsid w:val="0083788E"/>
    <w:rsid w:val="0083789D"/>
    <w:rsid w:val="008378A4"/>
    <w:rsid w:val="00837945"/>
    <w:rsid w:val="0083798B"/>
    <w:rsid w:val="008379A4"/>
    <w:rsid w:val="008379F3"/>
    <w:rsid w:val="00837A20"/>
    <w:rsid w:val="00837A3B"/>
    <w:rsid w:val="00837A75"/>
    <w:rsid w:val="00837AAC"/>
    <w:rsid w:val="00837AFE"/>
    <w:rsid w:val="00837B6D"/>
    <w:rsid w:val="00837B9D"/>
    <w:rsid w:val="00837BF4"/>
    <w:rsid w:val="00837D12"/>
    <w:rsid w:val="00837F44"/>
    <w:rsid w:val="00837FAF"/>
    <w:rsid w:val="00840078"/>
    <w:rsid w:val="008400CD"/>
    <w:rsid w:val="0084012B"/>
    <w:rsid w:val="00840162"/>
    <w:rsid w:val="0084021E"/>
    <w:rsid w:val="00840274"/>
    <w:rsid w:val="008402A9"/>
    <w:rsid w:val="008402DC"/>
    <w:rsid w:val="008402EB"/>
    <w:rsid w:val="00840390"/>
    <w:rsid w:val="008403C9"/>
    <w:rsid w:val="008404D5"/>
    <w:rsid w:val="00840509"/>
    <w:rsid w:val="00840544"/>
    <w:rsid w:val="00840677"/>
    <w:rsid w:val="008406E7"/>
    <w:rsid w:val="00840763"/>
    <w:rsid w:val="00840812"/>
    <w:rsid w:val="00840848"/>
    <w:rsid w:val="00840857"/>
    <w:rsid w:val="008408F2"/>
    <w:rsid w:val="0084094C"/>
    <w:rsid w:val="00840A7E"/>
    <w:rsid w:val="00840AFB"/>
    <w:rsid w:val="00840B55"/>
    <w:rsid w:val="00840BED"/>
    <w:rsid w:val="00840D54"/>
    <w:rsid w:val="00840E0A"/>
    <w:rsid w:val="00840E23"/>
    <w:rsid w:val="00840E6D"/>
    <w:rsid w:val="00840E9C"/>
    <w:rsid w:val="00841209"/>
    <w:rsid w:val="008413C2"/>
    <w:rsid w:val="008413FD"/>
    <w:rsid w:val="00841434"/>
    <w:rsid w:val="00841474"/>
    <w:rsid w:val="00841507"/>
    <w:rsid w:val="0084152E"/>
    <w:rsid w:val="0084155D"/>
    <w:rsid w:val="008416DA"/>
    <w:rsid w:val="008417A9"/>
    <w:rsid w:val="008417D7"/>
    <w:rsid w:val="00841915"/>
    <w:rsid w:val="0084191F"/>
    <w:rsid w:val="00841930"/>
    <w:rsid w:val="0084194A"/>
    <w:rsid w:val="00841987"/>
    <w:rsid w:val="0084198D"/>
    <w:rsid w:val="008419A3"/>
    <w:rsid w:val="00841A02"/>
    <w:rsid w:val="00841A12"/>
    <w:rsid w:val="00841A34"/>
    <w:rsid w:val="00841AAC"/>
    <w:rsid w:val="00841BC1"/>
    <w:rsid w:val="00841CC9"/>
    <w:rsid w:val="00841D4F"/>
    <w:rsid w:val="00841D8A"/>
    <w:rsid w:val="00841D94"/>
    <w:rsid w:val="00841E84"/>
    <w:rsid w:val="00841F02"/>
    <w:rsid w:val="00841FE6"/>
    <w:rsid w:val="00841FF7"/>
    <w:rsid w:val="008420B8"/>
    <w:rsid w:val="00842107"/>
    <w:rsid w:val="008421D5"/>
    <w:rsid w:val="00842232"/>
    <w:rsid w:val="0084244C"/>
    <w:rsid w:val="008424CB"/>
    <w:rsid w:val="008425C3"/>
    <w:rsid w:val="00842644"/>
    <w:rsid w:val="0084266E"/>
    <w:rsid w:val="008426E6"/>
    <w:rsid w:val="0084271E"/>
    <w:rsid w:val="0084277F"/>
    <w:rsid w:val="008427B2"/>
    <w:rsid w:val="00842844"/>
    <w:rsid w:val="00842897"/>
    <w:rsid w:val="008428D8"/>
    <w:rsid w:val="008428DA"/>
    <w:rsid w:val="008428E4"/>
    <w:rsid w:val="00842A14"/>
    <w:rsid w:val="00842A23"/>
    <w:rsid w:val="00842A4F"/>
    <w:rsid w:val="00842B92"/>
    <w:rsid w:val="00842B98"/>
    <w:rsid w:val="00842BBE"/>
    <w:rsid w:val="00842C8D"/>
    <w:rsid w:val="00842CF0"/>
    <w:rsid w:val="00842DF5"/>
    <w:rsid w:val="00842F26"/>
    <w:rsid w:val="00842FC3"/>
    <w:rsid w:val="00842FFB"/>
    <w:rsid w:val="0084304C"/>
    <w:rsid w:val="008430CE"/>
    <w:rsid w:val="008431B9"/>
    <w:rsid w:val="0084323F"/>
    <w:rsid w:val="00843356"/>
    <w:rsid w:val="0084335C"/>
    <w:rsid w:val="0084336F"/>
    <w:rsid w:val="00843382"/>
    <w:rsid w:val="008433C5"/>
    <w:rsid w:val="00843425"/>
    <w:rsid w:val="00843446"/>
    <w:rsid w:val="00843507"/>
    <w:rsid w:val="0084350E"/>
    <w:rsid w:val="00843531"/>
    <w:rsid w:val="00843547"/>
    <w:rsid w:val="008435C6"/>
    <w:rsid w:val="008435C7"/>
    <w:rsid w:val="008435F2"/>
    <w:rsid w:val="00843629"/>
    <w:rsid w:val="008436E8"/>
    <w:rsid w:val="00843723"/>
    <w:rsid w:val="00843766"/>
    <w:rsid w:val="008437B3"/>
    <w:rsid w:val="008438DB"/>
    <w:rsid w:val="00843924"/>
    <w:rsid w:val="00843965"/>
    <w:rsid w:val="008439EC"/>
    <w:rsid w:val="00843A23"/>
    <w:rsid w:val="00843AA8"/>
    <w:rsid w:val="00843B86"/>
    <w:rsid w:val="00843BC6"/>
    <w:rsid w:val="00843C01"/>
    <w:rsid w:val="00843CCA"/>
    <w:rsid w:val="00843CDB"/>
    <w:rsid w:val="00843D1C"/>
    <w:rsid w:val="00843D6F"/>
    <w:rsid w:val="00843E2C"/>
    <w:rsid w:val="00843EF5"/>
    <w:rsid w:val="00843F8C"/>
    <w:rsid w:val="00843FF6"/>
    <w:rsid w:val="00844076"/>
    <w:rsid w:val="008440D2"/>
    <w:rsid w:val="00844135"/>
    <w:rsid w:val="008442B2"/>
    <w:rsid w:val="00844315"/>
    <w:rsid w:val="0084432D"/>
    <w:rsid w:val="0084434D"/>
    <w:rsid w:val="0084437E"/>
    <w:rsid w:val="008443A3"/>
    <w:rsid w:val="008443B6"/>
    <w:rsid w:val="00844494"/>
    <w:rsid w:val="0084449D"/>
    <w:rsid w:val="00844521"/>
    <w:rsid w:val="00844535"/>
    <w:rsid w:val="0084459A"/>
    <w:rsid w:val="008445A4"/>
    <w:rsid w:val="008445A6"/>
    <w:rsid w:val="0084463B"/>
    <w:rsid w:val="008446AB"/>
    <w:rsid w:val="00844748"/>
    <w:rsid w:val="008447E0"/>
    <w:rsid w:val="0084486A"/>
    <w:rsid w:val="0084488B"/>
    <w:rsid w:val="0084489D"/>
    <w:rsid w:val="00844A2D"/>
    <w:rsid w:val="00844AA2"/>
    <w:rsid w:val="00844B3F"/>
    <w:rsid w:val="00844B5C"/>
    <w:rsid w:val="00844B96"/>
    <w:rsid w:val="00844D0B"/>
    <w:rsid w:val="00844DC2"/>
    <w:rsid w:val="00844E3A"/>
    <w:rsid w:val="00844ED1"/>
    <w:rsid w:val="00844ED9"/>
    <w:rsid w:val="00845027"/>
    <w:rsid w:val="0084502D"/>
    <w:rsid w:val="00845045"/>
    <w:rsid w:val="00845166"/>
    <w:rsid w:val="00845258"/>
    <w:rsid w:val="0084525D"/>
    <w:rsid w:val="00845365"/>
    <w:rsid w:val="008453B6"/>
    <w:rsid w:val="008453E8"/>
    <w:rsid w:val="00845547"/>
    <w:rsid w:val="00845576"/>
    <w:rsid w:val="008455D8"/>
    <w:rsid w:val="00845762"/>
    <w:rsid w:val="008457D1"/>
    <w:rsid w:val="00845905"/>
    <w:rsid w:val="0084592C"/>
    <w:rsid w:val="0084594F"/>
    <w:rsid w:val="00845A2D"/>
    <w:rsid w:val="00845AA8"/>
    <w:rsid w:val="00845B3A"/>
    <w:rsid w:val="00845B55"/>
    <w:rsid w:val="00845C14"/>
    <w:rsid w:val="00845C1F"/>
    <w:rsid w:val="00845C70"/>
    <w:rsid w:val="00845CF9"/>
    <w:rsid w:val="00845D83"/>
    <w:rsid w:val="00845DDB"/>
    <w:rsid w:val="00845F05"/>
    <w:rsid w:val="0084604F"/>
    <w:rsid w:val="00846076"/>
    <w:rsid w:val="0084617E"/>
    <w:rsid w:val="00846209"/>
    <w:rsid w:val="008463C2"/>
    <w:rsid w:val="0084644E"/>
    <w:rsid w:val="00846470"/>
    <w:rsid w:val="008464E4"/>
    <w:rsid w:val="0084659A"/>
    <w:rsid w:val="008467B2"/>
    <w:rsid w:val="00846823"/>
    <w:rsid w:val="0084685A"/>
    <w:rsid w:val="008468DD"/>
    <w:rsid w:val="00846930"/>
    <w:rsid w:val="008469CB"/>
    <w:rsid w:val="00846A3D"/>
    <w:rsid w:val="00846AEC"/>
    <w:rsid w:val="00846B0C"/>
    <w:rsid w:val="00846B28"/>
    <w:rsid w:val="00846BC3"/>
    <w:rsid w:val="00846BFC"/>
    <w:rsid w:val="00846DF9"/>
    <w:rsid w:val="00846E06"/>
    <w:rsid w:val="00846E3B"/>
    <w:rsid w:val="00846F2B"/>
    <w:rsid w:val="00846F63"/>
    <w:rsid w:val="00846FB1"/>
    <w:rsid w:val="00847099"/>
    <w:rsid w:val="0084709C"/>
    <w:rsid w:val="0084716E"/>
    <w:rsid w:val="008471CD"/>
    <w:rsid w:val="00847208"/>
    <w:rsid w:val="0084722B"/>
    <w:rsid w:val="0084732E"/>
    <w:rsid w:val="008473ED"/>
    <w:rsid w:val="0084746F"/>
    <w:rsid w:val="00847511"/>
    <w:rsid w:val="00847516"/>
    <w:rsid w:val="00847521"/>
    <w:rsid w:val="00847587"/>
    <w:rsid w:val="00847604"/>
    <w:rsid w:val="00847615"/>
    <w:rsid w:val="00847691"/>
    <w:rsid w:val="00847707"/>
    <w:rsid w:val="0084781D"/>
    <w:rsid w:val="00847859"/>
    <w:rsid w:val="00847862"/>
    <w:rsid w:val="0084790C"/>
    <w:rsid w:val="008479B6"/>
    <w:rsid w:val="008479C0"/>
    <w:rsid w:val="008479E0"/>
    <w:rsid w:val="00847A1B"/>
    <w:rsid w:val="00847AB9"/>
    <w:rsid w:val="00847B13"/>
    <w:rsid w:val="00847B5E"/>
    <w:rsid w:val="00847BE0"/>
    <w:rsid w:val="00847C83"/>
    <w:rsid w:val="00847D31"/>
    <w:rsid w:val="00847D35"/>
    <w:rsid w:val="00847D55"/>
    <w:rsid w:val="00847D62"/>
    <w:rsid w:val="00847DAD"/>
    <w:rsid w:val="00847E1B"/>
    <w:rsid w:val="00850075"/>
    <w:rsid w:val="00850080"/>
    <w:rsid w:val="00850083"/>
    <w:rsid w:val="008501C8"/>
    <w:rsid w:val="008501DF"/>
    <w:rsid w:val="0085021F"/>
    <w:rsid w:val="008502FC"/>
    <w:rsid w:val="00850318"/>
    <w:rsid w:val="00850329"/>
    <w:rsid w:val="00850401"/>
    <w:rsid w:val="00850442"/>
    <w:rsid w:val="008504D7"/>
    <w:rsid w:val="00850543"/>
    <w:rsid w:val="0085056A"/>
    <w:rsid w:val="00850608"/>
    <w:rsid w:val="00850676"/>
    <w:rsid w:val="00850730"/>
    <w:rsid w:val="00850731"/>
    <w:rsid w:val="008507BE"/>
    <w:rsid w:val="0085080B"/>
    <w:rsid w:val="00850864"/>
    <w:rsid w:val="008508EB"/>
    <w:rsid w:val="0085093A"/>
    <w:rsid w:val="00850977"/>
    <w:rsid w:val="008509A5"/>
    <w:rsid w:val="00850A5B"/>
    <w:rsid w:val="00850B04"/>
    <w:rsid w:val="00850D62"/>
    <w:rsid w:val="00850E3E"/>
    <w:rsid w:val="00850FDC"/>
    <w:rsid w:val="00850FFC"/>
    <w:rsid w:val="0085104F"/>
    <w:rsid w:val="00851105"/>
    <w:rsid w:val="0085123E"/>
    <w:rsid w:val="00851346"/>
    <w:rsid w:val="00851429"/>
    <w:rsid w:val="00851453"/>
    <w:rsid w:val="00851459"/>
    <w:rsid w:val="008514FE"/>
    <w:rsid w:val="008515A9"/>
    <w:rsid w:val="008516F1"/>
    <w:rsid w:val="00851793"/>
    <w:rsid w:val="008517B8"/>
    <w:rsid w:val="008517BD"/>
    <w:rsid w:val="008517C6"/>
    <w:rsid w:val="008518E8"/>
    <w:rsid w:val="00851952"/>
    <w:rsid w:val="00851988"/>
    <w:rsid w:val="00851A17"/>
    <w:rsid w:val="00851A1E"/>
    <w:rsid w:val="00851A24"/>
    <w:rsid w:val="00851A28"/>
    <w:rsid w:val="00851A6B"/>
    <w:rsid w:val="00851ABD"/>
    <w:rsid w:val="00851B52"/>
    <w:rsid w:val="00851BFD"/>
    <w:rsid w:val="00851C9B"/>
    <w:rsid w:val="00851F2D"/>
    <w:rsid w:val="00851F71"/>
    <w:rsid w:val="00851F78"/>
    <w:rsid w:val="00851FE8"/>
    <w:rsid w:val="00852031"/>
    <w:rsid w:val="00852087"/>
    <w:rsid w:val="0085217C"/>
    <w:rsid w:val="008521E3"/>
    <w:rsid w:val="00852208"/>
    <w:rsid w:val="008522F0"/>
    <w:rsid w:val="008523C4"/>
    <w:rsid w:val="00852466"/>
    <w:rsid w:val="00852488"/>
    <w:rsid w:val="0085248B"/>
    <w:rsid w:val="008524E5"/>
    <w:rsid w:val="0085252A"/>
    <w:rsid w:val="00852542"/>
    <w:rsid w:val="00852647"/>
    <w:rsid w:val="0085272E"/>
    <w:rsid w:val="00852891"/>
    <w:rsid w:val="0085292F"/>
    <w:rsid w:val="00852933"/>
    <w:rsid w:val="00852958"/>
    <w:rsid w:val="00852969"/>
    <w:rsid w:val="0085298A"/>
    <w:rsid w:val="008529D0"/>
    <w:rsid w:val="00852A7C"/>
    <w:rsid w:val="00852AC7"/>
    <w:rsid w:val="00852AE2"/>
    <w:rsid w:val="00852B19"/>
    <w:rsid w:val="00852B56"/>
    <w:rsid w:val="00852BBA"/>
    <w:rsid w:val="00852CC6"/>
    <w:rsid w:val="00852DC0"/>
    <w:rsid w:val="00852DE9"/>
    <w:rsid w:val="00852DF7"/>
    <w:rsid w:val="00852E41"/>
    <w:rsid w:val="00852EE2"/>
    <w:rsid w:val="00852F87"/>
    <w:rsid w:val="00853082"/>
    <w:rsid w:val="00853242"/>
    <w:rsid w:val="00853306"/>
    <w:rsid w:val="00853307"/>
    <w:rsid w:val="00853327"/>
    <w:rsid w:val="00853328"/>
    <w:rsid w:val="00853335"/>
    <w:rsid w:val="008534DA"/>
    <w:rsid w:val="008534E3"/>
    <w:rsid w:val="008536B2"/>
    <w:rsid w:val="008536D5"/>
    <w:rsid w:val="00853729"/>
    <w:rsid w:val="008537B5"/>
    <w:rsid w:val="00853814"/>
    <w:rsid w:val="00853864"/>
    <w:rsid w:val="0085388A"/>
    <w:rsid w:val="008538A6"/>
    <w:rsid w:val="00853906"/>
    <w:rsid w:val="00853956"/>
    <w:rsid w:val="00853961"/>
    <w:rsid w:val="0085399C"/>
    <w:rsid w:val="008539A6"/>
    <w:rsid w:val="00853C17"/>
    <w:rsid w:val="00853C82"/>
    <w:rsid w:val="00853CFE"/>
    <w:rsid w:val="00853DB9"/>
    <w:rsid w:val="00853E80"/>
    <w:rsid w:val="00853EA0"/>
    <w:rsid w:val="00853FFE"/>
    <w:rsid w:val="008540EA"/>
    <w:rsid w:val="0085413E"/>
    <w:rsid w:val="00854185"/>
    <w:rsid w:val="008541A9"/>
    <w:rsid w:val="00854200"/>
    <w:rsid w:val="00854288"/>
    <w:rsid w:val="0085439F"/>
    <w:rsid w:val="0085448C"/>
    <w:rsid w:val="008544D1"/>
    <w:rsid w:val="008544F4"/>
    <w:rsid w:val="00854543"/>
    <w:rsid w:val="00854607"/>
    <w:rsid w:val="00854645"/>
    <w:rsid w:val="008546F0"/>
    <w:rsid w:val="00854880"/>
    <w:rsid w:val="00854B2D"/>
    <w:rsid w:val="00854BAE"/>
    <w:rsid w:val="00854C78"/>
    <w:rsid w:val="00854CD7"/>
    <w:rsid w:val="00854D82"/>
    <w:rsid w:val="00854D88"/>
    <w:rsid w:val="00854D97"/>
    <w:rsid w:val="00854DA7"/>
    <w:rsid w:val="00854DEB"/>
    <w:rsid w:val="00854F30"/>
    <w:rsid w:val="00854F77"/>
    <w:rsid w:val="0085505C"/>
    <w:rsid w:val="0085509C"/>
    <w:rsid w:val="008553BA"/>
    <w:rsid w:val="008553E8"/>
    <w:rsid w:val="008554CD"/>
    <w:rsid w:val="008556D6"/>
    <w:rsid w:val="00855721"/>
    <w:rsid w:val="00855774"/>
    <w:rsid w:val="00855869"/>
    <w:rsid w:val="008558F5"/>
    <w:rsid w:val="00855949"/>
    <w:rsid w:val="008559DE"/>
    <w:rsid w:val="00855A3D"/>
    <w:rsid w:val="00855A91"/>
    <w:rsid w:val="00855AA4"/>
    <w:rsid w:val="00855AAD"/>
    <w:rsid w:val="00855B6F"/>
    <w:rsid w:val="00855BFA"/>
    <w:rsid w:val="00855CA8"/>
    <w:rsid w:val="00855DF0"/>
    <w:rsid w:val="00855E56"/>
    <w:rsid w:val="00855F4A"/>
    <w:rsid w:val="00855FC7"/>
    <w:rsid w:val="00856000"/>
    <w:rsid w:val="00856108"/>
    <w:rsid w:val="00856127"/>
    <w:rsid w:val="008562B9"/>
    <w:rsid w:val="00856319"/>
    <w:rsid w:val="008563B1"/>
    <w:rsid w:val="00856413"/>
    <w:rsid w:val="0085641C"/>
    <w:rsid w:val="00856514"/>
    <w:rsid w:val="00856528"/>
    <w:rsid w:val="00856543"/>
    <w:rsid w:val="00856627"/>
    <w:rsid w:val="00856660"/>
    <w:rsid w:val="008566C3"/>
    <w:rsid w:val="008566EF"/>
    <w:rsid w:val="008566FF"/>
    <w:rsid w:val="00856717"/>
    <w:rsid w:val="008567AC"/>
    <w:rsid w:val="00856824"/>
    <w:rsid w:val="00856972"/>
    <w:rsid w:val="00856973"/>
    <w:rsid w:val="0085697A"/>
    <w:rsid w:val="008569DA"/>
    <w:rsid w:val="00856A84"/>
    <w:rsid w:val="00856B02"/>
    <w:rsid w:val="00856B37"/>
    <w:rsid w:val="00856BCA"/>
    <w:rsid w:val="00856BF4"/>
    <w:rsid w:val="00856C3A"/>
    <w:rsid w:val="00856C62"/>
    <w:rsid w:val="00856D00"/>
    <w:rsid w:val="00856E7A"/>
    <w:rsid w:val="00856EC4"/>
    <w:rsid w:val="00856ED5"/>
    <w:rsid w:val="00856EDA"/>
    <w:rsid w:val="00856F71"/>
    <w:rsid w:val="00856F86"/>
    <w:rsid w:val="00856FB3"/>
    <w:rsid w:val="00857053"/>
    <w:rsid w:val="008570E3"/>
    <w:rsid w:val="00857148"/>
    <w:rsid w:val="00857178"/>
    <w:rsid w:val="0085718D"/>
    <w:rsid w:val="00857207"/>
    <w:rsid w:val="00857277"/>
    <w:rsid w:val="0085730C"/>
    <w:rsid w:val="00857366"/>
    <w:rsid w:val="00857440"/>
    <w:rsid w:val="0085744F"/>
    <w:rsid w:val="008574FE"/>
    <w:rsid w:val="00857522"/>
    <w:rsid w:val="0085762D"/>
    <w:rsid w:val="00857746"/>
    <w:rsid w:val="00857817"/>
    <w:rsid w:val="0085781A"/>
    <w:rsid w:val="00857838"/>
    <w:rsid w:val="008578DD"/>
    <w:rsid w:val="00857901"/>
    <w:rsid w:val="0085791D"/>
    <w:rsid w:val="008579C4"/>
    <w:rsid w:val="00857A57"/>
    <w:rsid w:val="00857A8E"/>
    <w:rsid w:val="00857AAE"/>
    <w:rsid w:val="00857ADD"/>
    <w:rsid w:val="00857C13"/>
    <w:rsid w:val="00857D1B"/>
    <w:rsid w:val="00857E13"/>
    <w:rsid w:val="00857E89"/>
    <w:rsid w:val="00857F2D"/>
    <w:rsid w:val="008600D2"/>
    <w:rsid w:val="0086014B"/>
    <w:rsid w:val="008601BE"/>
    <w:rsid w:val="00860204"/>
    <w:rsid w:val="008602D4"/>
    <w:rsid w:val="008602E7"/>
    <w:rsid w:val="00860447"/>
    <w:rsid w:val="00860480"/>
    <w:rsid w:val="008604AB"/>
    <w:rsid w:val="008604C8"/>
    <w:rsid w:val="00860513"/>
    <w:rsid w:val="00860538"/>
    <w:rsid w:val="00860568"/>
    <w:rsid w:val="0086059B"/>
    <w:rsid w:val="00860697"/>
    <w:rsid w:val="008607B2"/>
    <w:rsid w:val="00860880"/>
    <w:rsid w:val="00860A3E"/>
    <w:rsid w:val="00860BF7"/>
    <w:rsid w:val="00860C70"/>
    <w:rsid w:val="00860CA0"/>
    <w:rsid w:val="00860CD3"/>
    <w:rsid w:val="00860CF8"/>
    <w:rsid w:val="00860E33"/>
    <w:rsid w:val="00860EE3"/>
    <w:rsid w:val="00860EFF"/>
    <w:rsid w:val="00860F21"/>
    <w:rsid w:val="0086105D"/>
    <w:rsid w:val="0086106B"/>
    <w:rsid w:val="0086128D"/>
    <w:rsid w:val="00861327"/>
    <w:rsid w:val="008613A0"/>
    <w:rsid w:val="008613DD"/>
    <w:rsid w:val="00861472"/>
    <w:rsid w:val="00861494"/>
    <w:rsid w:val="008614D4"/>
    <w:rsid w:val="00861797"/>
    <w:rsid w:val="0086184D"/>
    <w:rsid w:val="0086185B"/>
    <w:rsid w:val="0086187B"/>
    <w:rsid w:val="008618E6"/>
    <w:rsid w:val="00861952"/>
    <w:rsid w:val="00861A23"/>
    <w:rsid w:val="00861A30"/>
    <w:rsid w:val="00861AFB"/>
    <w:rsid w:val="00861C48"/>
    <w:rsid w:val="00861C6E"/>
    <w:rsid w:val="00861C91"/>
    <w:rsid w:val="00861CE4"/>
    <w:rsid w:val="00861DA7"/>
    <w:rsid w:val="00861F04"/>
    <w:rsid w:val="00861F15"/>
    <w:rsid w:val="00861FB1"/>
    <w:rsid w:val="00861FEA"/>
    <w:rsid w:val="00862006"/>
    <w:rsid w:val="0086216B"/>
    <w:rsid w:val="0086225D"/>
    <w:rsid w:val="00862362"/>
    <w:rsid w:val="00862400"/>
    <w:rsid w:val="00862510"/>
    <w:rsid w:val="008625C1"/>
    <w:rsid w:val="008626DC"/>
    <w:rsid w:val="00862806"/>
    <w:rsid w:val="00862845"/>
    <w:rsid w:val="008628C0"/>
    <w:rsid w:val="008628FF"/>
    <w:rsid w:val="00862A53"/>
    <w:rsid w:val="00862C1A"/>
    <w:rsid w:val="00862D86"/>
    <w:rsid w:val="00862E85"/>
    <w:rsid w:val="00862F10"/>
    <w:rsid w:val="00862F1A"/>
    <w:rsid w:val="00862F2D"/>
    <w:rsid w:val="00862F66"/>
    <w:rsid w:val="00862F6F"/>
    <w:rsid w:val="0086300C"/>
    <w:rsid w:val="0086302A"/>
    <w:rsid w:val="0086302C"/>
    <w:rsid w:val="00863091"/>
    <w:rsid w:val="00863097"/>
    <w:rsid w:val="008630F7"/>
    <w:rsid w:val="00863181"/>
    <w:rsid w:val="00863215"/>
    <w:rsid w:val="0086324F"/>
    <w:rsid w:val="00863269"/>
    <w:rsid w:val="008632D1"/>
    <w:rsid w:val="008633D1"/>
    <w:rsid w:val="008633FA"/>
    <w:rsid w:val="00863471"/>
    <w:rsid w:val="00863498"/>
    <w:rsid w:val="00863546"/>
    <w:rsid w:val="00863655"/>
    <w:rsid w:val="00863673"/>
    <w:rsid w:val="008636D7"/>
    <w:rsid w:val="0086384C"/>
    <w:rsid w:val="0086396F"/>
    <w:rsid w:val="008639A8"/>
    <w:rsid w:val="00863A50"/>
    <w:rsid w:val="00863AA5"/>
    <w:rsid w:val="00863B32"/>
    <w:rsid w:val="00863BF8"/>
    <w:rsid w:val="00863CE9"/>
    <w:rsid w:val="00863DE0"/>
    <w:rsid w:val="00863E77"/>
    <w:rsid w:val="00863E90"/>
    <w:rsid w:val="00863F40"/>
    <w:rsid w:val="00863F66"/>
    <w:rsid w:val="00863FB0"/>
    <w:rsid w:val="00863FDC"/>
    <w:rsid w:val="0086404A"/>
    <w:rsid w:val="00864056"/>
    <w:rsid w:val="0086408C"/>
    <w:rsid w:val="008640A5"/>
    <w:rsid w:val="008641DB"/>
    <w:rsid w:val="00864208"/>
    <w:rsid w:val="0086440F"/>
    <w:rsid w:val="0086474A"/>
    <w:rsid w:val="00864773"/>
    <w:rsid w:val="008647A8"/>
    <w:rsid w:val="008647C9"/>
    <w:rsid w:val="008647F2"/>
    <w:rsid w:val="00864907"/>
    <w:rsid w:val="00864A23"/>
    <w:rsid w:val="00864A43"/>
    <w:rsid w:val="00864A5A"/>
    <w:rsid w:val="00864AC5"/>
    <w:rsid w:val="00864AFE"/>
    <w:rsid w:val="00864B82"/>
    <w:rsid w:val="00864B8A"/>
    <w:rsid w:val="00864C11"/>
    <w:rsid w:val="00864CC6"/>
    <w:rsid w:val="00864CF8"/>
    <w:rsid w:val="00864DBF"/>
    <w:rsid w:val="00864E84"/>
    <w:rsid w:val="00864F20"/>
    <w:rsid w:val="0086502F"/>
    <w:rsid w:val="00865080"/>
    <w:rsid w:val="008650E4"/>
    <w:rsid w:val="00865161"/>
    <w:rsid w:val="008652EF"/>
    <w:rsid w:val="00865339"/>
    <w:rsid w:val="00865358"/>
    <w:rsid w:val="00865396"/>
    <w:rsid w:val="008653C1"/>
    <w:rsid w:val="0086544E"/>
    <w:rsid w:val="0086549D"/>
    <w:rsid w:val="008655DF"/>
    <w:rsid w:val="00865713"/>
    <w:rsid w:val="00865748"/>
    <w:rsid w:val="0086577E"/>
    <w:rsid w:val="0086582C"/>
    <w:rsid w:val="00865832"/>
    <w:rsid w:val="00865873"/>
    <w:rsid w:val="008658A3"/>
    <w:rsid w:val="00865995"/>
    <w:rsid w:val="00865A36"/>
    <w:rsid w:val="00865A81"/>
    <w:rsid w:val="00865A84"/>
    <w:rsid w:val="00865AA8"/>
    <w:rsid w:val="00865AB0"/>
    <w:rsid w:val="00865AE7"/>
    <w:rsid w:val="00865B2B"/>
    <w:rsid w:val="00865B4B"/>
    <w:rsid w:val="00865B7E"/>
    <w:rsid w:val="00865C3B"/>
    <w:rsid w:val="00865D5D"/>
    <w:rsid w:val="00865DA6"/>
    <w:rsid w:val="00865DCE"/>
    <w:rsid w:val="00865F59"/>
    <w:rsid w:val="00865F75"/>
    <w:rsid w:val="00865F86"/>
    <w:rsid w:val="00866102"/>
    <w:rsid w:val="0086614A"/>
    <w:rsid w:val="00866177"/>
    <w:rsid w:val="008661EB"/>
    <w:rsid w:val="0086622F"/>
    <w:rsid w:val="008663C1"/>
    <w:rsid w:val="008663FC"/>
    <w:rsid w:val="00866475"/>
    <w:rsid w:val="00866542"/>
    <w:rsid w:val="008665CD"/>
    <w:rsid w:val="008666BB"/>
    <w:rsid w:val="008666E0"/>
    <w:rsid w:val="0086680C"/>
    <w:rsid w:val="008668CC"/>
    <w:rsid w:val="00866905"/>
    <w:rsid w:val="0086696B"/>
    <w:rsid w:val="008669CB"/>
    <w:rsid w:val="00866B0C"/>
    <w:rsid w:val="00866BA0"/>
    <w:rsid w:val="00866BC2"/>
    <w:rsid w:val="00866BD4"/>
    <w:rsid w:val="00866C1B"/>
    <w:rsid w:val="00866CCC"/>
    <w:rsid w:val="00866D82"/>
    <w:rsid w:val="00866DA9"/>
    <w:rsid w:val="00866DDD"/>
    <w:rsid w:val="00866E40"/>
    <w:rsid w:val="00866EF7"/>
    <w:rsid w:val="00867089"/>
    <w:rsid w:val="00867140"/>
    <w:rsid w:val="00867268"/>
    <w:rsid w:val="008672A8"/>
    <w:rsid w:val="008673D9"/>
    <w:rsid w:val="008673DF"/>
    <w:rsid w:val="0086745F"/>
    <w:rsid w:val="008674A5"/>
    <w:rsid w:val="00867506"/>
    <w:rsid w:val="0086760F"/>
    <w:rsid w:val="0086782D"/>
    <w:rsid w:val="00867893"/>
    <w:rsid w:val="00867950"/>
    <w:rsid w:val="008679C2"/>
    <w:rsid w:val="008679E9"/>
    <w:rsid w:val="00867A53"/>
    <w:rsid w:val="00867AFE"/>
    <w:rsid w:val="00867B01"/>
    <w:rsid w:val="00867BBD"/>
    <w:rsid w:val="00867C5B"/>
    <w:rsid w:val="00867C8F"/>
    <w:rsid w:val="00867D11"/>
    <w:rsid w:val="00867DD0"/>
    <w:rsid w:val="00867E42"/>
    <w:rsid w:val="00867E53"/>
    <w:rsid w:val="00867F16"/>
    <w:rsid w:val="00867F5F"/>
    <w:rsid w:val="0087001F"/>
    <w:rsid w:val="0087004F"/>
    <w:rsid w:val="00870115"/>
    <w:rsid w:val="00870155"/>
    <w:rsid w:val="00870163"/>
    <w:rsid w:val="00870277"/>
    <w:rsid w:val="008702C2"/>
    <w:rsid w:val="00870302"/>
    <w:rsid w:val="00870345"/>
    <w:rsid w:val="00870496"/>
    <w:rsid w:val="0087049C"/>
    <w:rsid w:val="008704C5"/>
    <w:rsid w:val="008704CA"/>
    <w:rsid w:val="00870531"/>
    <w:rsid w:val="00870560"/>
    <w:rsid w:val="00870590"/>
    <w:rsid w:val="008706ED"/>
    <w:rsid w:val="008707CF"/>
    <w:rsid w:val="008708CA"/>
    <w:rsid w:val="00870947"/>
    <w:rsid w:val="0087097A"/>
    <w:rsid w:val="0087097B"/>
    <w:rsid w:val="008709ED"/>
    <w:rsid w:val="00870A21"/>
    <w:rsid w:val="00870B1A"/>
    <w:rsid w:val="00870B5F"/>
    <w:rsid w:val="00870B6F"/>
    <w:rsid w:val="00870BBB"/>
    <w:rsid w:val="00870BCE"/>
    <w:rsid w:val="00870C8C"/>
    <w:rsid w:val="00870CA4"/>
    <w:rsid w:val="00870D2E"/>
    <w:rsid w:val="00870E84"/>
    <w:rsid w:val="00870F14"/>
    <w:rsid w:val="00870F74"/>
    <w:rsid w:val="00870FFB"/>
    <w:rsid w:val="008710DC"/>
    <w:rsid w:val="008710F0"/>
    <w:rsid w:val="0087115D"/>
    <w:rsid w:val="008711E2"/>
    <w:rsid w:val="008711F1"/>
    <w:rsid w:val="00871200"/>
    <w:rsid w:val="00871293"/>
    <w:rsid w:val="008713BE"/>
    <w:rsid w:val="008713DC"/>
    <w:rsid w:val="00871419"/>
    <w:rsid w:val="00871471"/>
    <w:rsid w:val="0087148C"/>
    <w:rsid w:val="0087156F"/>
    <w:rsid w:val="008715B5"/>
    <w:rsid w:val="00871614"/>
    <w:rsid w:val="008716A2"/>
    <w:rsid w:val="008716DF"/>
    <w:rsid w:val="00871751"/>
    <w:rsid w:val="00871796"/>
    <w:rsid w:val="00871978"/>
    <w:rsid w:val="00871A40"/>
    <w:rsid w:val="00871A7C"/>
    <w:rsid w:val="00871A99"/>
    <w:rsid w:val="00871B04"/>
    <w:rsid w:val="00871B74"/>
    <w:rsid w:val="00871B7F"/>
    <w:rsid w:val="00871B9B"/>
    <w:rsid w:val="00871BE0"/>
    <w:rsid w:val="00871C58"/>
    <w:rsid w:val="00871D2B"/>
    <w:rsid w:val="00871D30"/>
    <w:rsid w:val="00871DBD"/>
    <w:rsid w:val="00871DE4"/>
    <w:rsid w:val="00871E4D"/>
    <w:rsid w:val="00871FC4"/>
    <w:rsid w:val="008720C0"/>
    <w:rsid w:val="00872116"/>
    <w:rsid w:val="00872192"/>
    <w:rsid w:val="008721FD"/>
    <w:rsid w:val="008722D4"/>
    <w:rsid w:val="008722E8"/>
    <w:rsid w:val="008722EE"/>
    <w:rsid w:val="008722F4"/>
    <w:rsid w:val="00872401"/>
    <w:rsid w:val="00872560"/>
    <w:rsid w:val="008725C2"/>
    <w:rsid w:val="008725E4"/>
    <w:rsid w:val="008725FE"/>
    <w:rsid w:val="00872668"/>
    <w:rsid w:val="008727EA"/>
    <w:rsid w:val="00872948"/>
    <w:rsid w:val="00872CE6"/>
    <w:rsid w:val="00872D08"/>
    <w:rsid w:val="00872DB8"/>
    <w:rsid w:val="00872DDD"/>
    <w:rsid w:val="00872DEE"/>
    <w:rsid w:val="00872E3C"/>
    <w:rsid w:val="00873059"/>
    <w:rsid w:val="0087307D"/>
    <w:rsid w:val="00873098"/>
    <w:rsid w:val="0087313E"/>
    <w:rsid w:val="00873185"/>
    <w:rsid w:val="00873202"/>
    <w:rsid w:val="0087322C"/>
    <w:rsid w:val="00873286"/>
    <w:rsid w:val="00873319"/>
    <w:rsid w:val="00873383"/>
    <w:rsid w:val="0087339D"/>
    <w:rsid w:val="0087355E"/>
    <w:rsid w:val="0087359D"/>
    <w:rsid w:val="0087366F"/>
    <w:rsid w:val="00873691"/>
    <w:rsid w:val="008736BF"/>
    <w:rsid w:val="008737C2"/>
    <w:rsid w:val="0087381D"/>
    <w:rsid w:val="00873826"/>
    <w:rsid w:val="0087382C"/>
    <w:rsid w:val="00873934"/>
    <w:rsid w:val="00873AAF"/>
    <w:rsid w:val="00873B07"/>
    <w:rsid w:val="00873B30"/>
    <w:rsid w:val="00873B99"/>
    <w:rsid w:val="00873BB8"/>
    <w:rsid w:val="00873D50"/>
    <w:rsid w:val="00873E01"/>
    <w:rsid w:val="00873E32"/>
    <w:rsid w:val="00873E6B"/>
    <w:rsid w:val="00873F4D"/>
    <w:rsid w:val="00873F53"/>
    <w:rsid w:val="00874021"/>
    <w:rsid w:val="008740C8"/>
    <w:rsid w:val="00874109"/>
    <w:rsid w:val="00874133"/>
    <w:rsid w:val="00874150"/>
    <w:rsid w:val="00874152"/>
    <w:rsid w:val="00874224"/>
    <w:rsid w:val="008742D1"/>
    <w:rsid w:val="008742F8"/>
    <w:rsid w:val="00874369"/>
    <w:rsid w:val="0087438E"/>
    <w:rsid w:val="00874443"/>
    <w:rsid w:val="0087446F"/>
    <w:rsid w:val="00874478"/>
    <w:rsid w:val="00874487"/>
    <w:rsid w:val="0087464D"/>
    <w:rsid w:val="00874678"/>
    <w:rsid w:val="0087472D"/>
    <w:rsid w:val="00874792"/>
    <w:rsid w:val="0087479C"/>
    <w:rsid w:val="008748DB"/>
    <w:rsid w:val="00874956"/>
    <w:rsid w:val="00874A75"/>
    <w:rsid w:val="00874ADB"/>
    <w:rsid w:val="00874ADE"/>
    <w:rsid w:val="00874AEE"/>
    <w:rsid w:val="00874C0C"/>
    <w:rsid w:val="00874CC4"/>
    <w:rsid w:val="00874D3C"/>
    <w:rsid w:val="00874D43"/>
    <w:rsid w:val="00874DFE"/>
    <w:rsid w:val="00874F4D"/>
    <w:rsid w:val="00874F50"/>
    <w:rsid w:val="00875062"/>
    <w:rsid w:val="008750A1"/>
    <w:rsid w:val="00875243"/>
    <w:rsid w:val="00875344"/>
    <w:rsid w:val="00875348"/>
    <w:rsid w:val="00875390"/>
    <w:rsid w:val="008753FB"/>
    <w:rsid w:val="008754D8"/>
    <w:rsid w:val="00875504"/>
    <w:rsid w:val="0087553E"/>
    <w:rsid w:val="00875549"/>
    <w:rsid w:val="008755E1"/>
    <w:rsid w:val="00875633"/>
    <w:rsid w:val="0087563D"/>
    <w:rsid w:val="00875705"/>
    <w:rsid w:val="00875736"/>
    <w:rsid w:val="00875792"/>
    <w:rsid w:val="00875814"/>
    <w:rsid w:val="008758E0"/>
    <w:rsid w:val="00875905"/>
    <w:rsid w:val="008759B2"/>
    <w:rsid w:val="00875A8D"/>
    <w:rsid w:val="00875BA0"/>
    <w:rsid w:val="00875BA4"/>
    <w:rsid w:val="00875BE9"/>
    <w:rsid w:val="00875C95"/>
    <w:rsid w:val="00875D0C"/>
    <w:rsid w:val="00875D48"/>
    <w:rsid w:val="00875DA9"/>
    <w:rsid w:val="00875F4E"/>
    <w:rsid w:val="00875FA4"/>
    <w:rsid w:val="00876016"/>
    <w:rsid w:val="00876069"/>
    <w:rsid w:val="008760EE"/>
    <w:rsid w:val="00876185"/>
    <w:rsid w:val="00876405"/>
    <w:rsid w:val="0087648E"/>
    <w:rsid w:val="008764B2"/>
    <w:rsid w:val="00876512"/>
    <w:rsid w:val="00876627"/>
    <w:rsid w:val="008766F8"/>
    <w:rsid w:val="0087674B"/>
    <w:rsid w:val="0087692A"/>
    <w:rsid w:val="00876A43"/>
    <w:rsid w:val="00876A4F"/>
    <w:rsid w:val="00876AED"/>
    <w:rsid w:val="00876AF0"/>
    <w:rsid w:val="00876B3D"/>
    <w:rsid w:val="00876B6E"/>
    <w:rsid w:val="00876BBF"/>
    <w:rsid w:val="00876D06"/>
    <w:rsid w:val="00877050"/>
    <w:rsid w:val="008770B3"/>
    <w:rsid w:val="0087720A"/>
    <w:rsid w:val="0087723F"/>
    <w:rsid w:val="008775E0"/>
    <w:rsid w:val="008776BF"/>
    <w:rsid w:val="00877775"/>
    <w:rsid w:val="008777A5"/>
    <w:rsid w:val="008777DB"/>
    <w:rsid w:val="00877863"/>
    <w:rsid w:val="00877892"/>
    <w:rsid w:val="008778A6"/>
    <w:rsid w:val="008779BD"/>
    <w:rsid w:val="00877A5C"/>
    <w:rsid w:val="00877AE8"/>
    <w:rsid w:val="00877B0C"/>
    <w:rsid w:val="00877B1E"/>
    <w:rsid w:val="00877BBA"/>
    <w:rsid w:val="00877C52"/>
    <w:rsid w:val="00877C98"/>
    <w:rsid w:val="00877D66"/>
    <w:rsid w:val="00877DDC"/>
    <w:rsid w:val="00877DF2"/>
    <w:rsid w:val="00877E03"/>
    <w:rsid w:val="00877E87"/>
    <w:rsid w:val="00877EAA"/>
    <w:rsid w:val="00877FE8"/>
    <w:rsid w:val="0088010B"/>
    <w:rsid w:val="00880225"/>
    <w:rsid w:val="0088027E"/>
    <w:rsid w:val="00880280"/>
    <w:rsid w:val="0088029E"/>
    <w:rsid w:val="008802E0"/>
    <w:rsid w:val="00880321"/>
    <w:rsid w:val="0088039B"/>
    <w:rsid w:val="0088043C"/>
    <w:rsid w:val="0088043E"/>
    <w:rsid w:val="008804A8"/>
    <w:rsid w:val="008804D4"/>
    <w:rsid w:val="008805D8"/>
    <w:rsid w:val="00880653"/>
    <w:rsid w:val="008806AA"/>
    <w:rsid w:val="008806EB"/>
    <w:rsid w:val="008807C9"/>
    <w:rsid w:val="008807F0"/>
    <w:rsid w:val="00880845"/>
    <w:rsid w:val="00880921"/>
    <w:rsid w:val="00880975"/>
    <w:rsid w:val="0088099A"/>
    <w:rsid w:val="00880A5B"/>
    <w:rsid w:val="00880B36"/>
    <w:rsid w:val="00880B4F"/>
    <w:rsid w:val="00880CBD"/>
    <w:rsid w:val="00880D00"/>
    <w:rsid w:val="00880D79"/>
    <w:rsid w:val="00880F67"/>
    <w:rsid w:val="00880F77"/>
    <w:rsid w:val="00880F8A"/>
    <w:rsid w:val="00881040"/>
    <w:rsid w:val="008811CD"/>
    <w:rsid w:val="00881236"/>
    <w:rsid w:val="0088123D"/>
    <w:rsid w:val="0088123F"/>
    <w:rsid w:val="008813DD"/>
    <w:rsid w:val="00881492"/>
    <w:rsid w:val="008814B9"/>
    <w:rsid w:val="008814ED"/>
    <w:rsid w:val="00881596"/>
    <w:rsid w:val="0088162B"/>
    <w:rsid w:val="00881677"/>
    <w:rsid w:val="008816B5"/>
    <w:rsid w:val="00881732"/>
    <w:rsid w:val="00881795"/>
    <w:rsid w:val="0088190B"/>
    <w:rsid w:val="00881971"/>
    <w:rsid w:val="00881A6C"/>
    <w:rsid w:val="00881BEB"/>
    <w:rsid w:val="00881C41"/>
    <w:rsid w:val="00881C8C"/>
    <w:rsid w:val="00881D23"/>
    <w:rsid w:val="00881DE6"/>
    <w:rsid w:val="00881E97"/>
    <w:rsid w:val="00881F11"/>
    <w:rsid w:val="00881F40"/>
    <w:rsid w:val="00881FCF"/>
    <w:rsid w:val="00881FE0"/>
    <w:rsid w:val="008821D1"/>
    <w:rsid w:val="0088227E"/>
    <w:rsid w:val="008822E6"/>
    <w:rsid w:val="00882401"/>
    <w:rsid w:val="008824BB"/>
    <w:rsid w:val="0088264C"/>
    <w:rsid w:val="0088265E"/>
    <w:rsid w:val="00882666"/>
    <w:rsid w:val="008826A7"/>
    <w:rsid w:val="00882920"/>
    <w:rsid w:val="00882978"/>
    <w:rsid w:val="008829BC"/>
    <w:rsid w:val="008829DC"/>
    <w:rsid w:val="00882A9B"/>
    <w:rsid w:val="00882AB8"/>
    <w:rsid w:val="00882B10"/>
    <w:rsid w:val="00882B13"/>
    <w:rsid w:val="00882B16"/>
    <w:rsid w:val="00882B7A"/>
    <w:rsid w:val="00882C1F"/>
    <w:rsid w:val="00882CDF"/>
    <w:rsid w:val="00882D22"/>
    <w:rsid w:val="00882D37"/>
    <w:rsid w:val="00882DEA"/>
    <w:rsid w:val="00882E8B"/>
    <w:rsid w:val="00882FD8"/>
    <w:rsid w:val="00883130"/>
    <w:rsid w:val="00883167"/>
    <w:rsid w:val="00883292"/>
    <w:rsid w:val="008832C2"/>
    <w:rsid w:val="008832EA"/>
    <w:rsid w:val="008834E1"/>
    <w:rsid w:val="0088362A"/>
    <w:rsid w:val="008837E7"/>
    <w:rsid w:val="0088384D"/>
    <w:rsid w:val="008838EE"/>
    <w:rsid w:val="00883962"/>
    <w:rsid w:val="00883A81"/>
    <w:rsid w:val="00883B25"/>
    <w:rsid w:val="00883B3F"/>
    <w:rsid w:val="00883B47"/>
    <w:rsid w:val="00883B4F"/>
    <w:rsid w:val="00883C8E"/>
    <w:rsid w:val="00883C9B"/>
    <w:rsid w:val="00883CF4"/>
    <w:rsid w:val="00883D13"/>
    <w:rsid w:val="00883D24"/>
    <w:rsid w:val="00883D33"/>
    <w:rsid w:val="00883E58"/>
    <w:rsid w:val="00883E63"/>
    <w:rsid w:val="00883E8B"/>
    <w:rsid w:val="00884060"/>
    <w:rsid w:val="008840CC"/>
    <w:rsid w:val="008840FD"/>
    <w:rsid w:val="00884137"/>
    <w:rsid w:val="00884163"/>
    <w:rsid w:val="0088418B"/>
    <w:rsid w:val="0088418C"/>
    <w:rsid w:val="00884221"/>
    <w:rsid w:val="00884252"/>
    <w:rsid w:val="0088428E"/>
    <w:rsid w:val="008843F3"/>
    <w:rsid w:val="0088460C"/>
    <w:rsid w:val="00884648"/>
    <w:rsid w:val="008846A8"/>
    <w:rsid w:val="00884764"/>
    <w:rsid w:val="008847CC"/>
    <w:rsid w:val="008847E6"/>
    <w:rsid w:val="00884806"/>
    <w:rsid w:val="00884895"/>
    <w:rsid w:val="00884B22"/>
    <w:rsid w:val="00884B65"/>
    <w:rsid w:val="00884C0B"/>
    <w:rsid w:val="00884C16"/>
    <w:rsid w:val="00884C2F"/>
    <w:rsid w:val="00884CBF"/>
    <w:rsid w:val="00884CED"/>
    <w:rsid w:val="00884D4B"/>
    <w:rsid w:val="00884DB8"/>
    <w:rsid w:val="00884E4F"/>
    <w:rsid w:val="00884F58"/>
    <w:rsid w:val="00884FD8"/>
    <w:rsid w:val="00885043"/>
    <w:rsid w:val="00885050"/>
    <w:rsid w:val="00885148"/>
    <w:rsid w:val="00885195"/>
    <w:rsid w:val="00885389"/>
    <w:rsid w:val="008853F0"/>
    <w:rsid w:val="00885549"/>
    <w:rsid w:val="00885566"/>
    <w:rsid w:val="0088563F"/>
    <w:rsid w:val="0088575C"/>
    <w:rsid w:val="008857A3"/>
    <w:rsid w:val="008857E0"/>
    <w:rsid w:val="00885826"/>
    <w:rsid w:val="00885850"/>
    <w:rsid w:val="008858DB"/>
    <w:rsid w:val="00885956"/>
    <w:rsid w:val="008859FF"/>
    <w:rsid w:val="00885ACE"/>
    <w:rsid w:val="00885B4E"/>
    <w:rsid w:val="00885C31"/>
    <w:rsid w:val="00885E17"/>
    <w:rsid w:val="00885EA5"/>
    <w:rsid w:val="00885F02"/>
    <w:rsid w:val="00885F7D"/>
    <w:rsid w:val="00885FD0"/>
    <w:rsid w:val="008860A5"/>
    <w:rsid w:val="00886102"/>
    <w:rsid w:val="008861C8"/>
    <w:rsid w:val="008861F2"/>
    <w:rsid w:val="0088621B"/>
    <w:rsid w:val="00886220"/>
    <w:rsid w:val="00886221"/>
    <w:rsid w:val="008862AA"/>
    <w:rsid w:val="008862D5"/>
    <w:rsid w:val="0088630E"/>
    <w:rsid w:val="00886324"/>
    <w:rsid w:val="0088634B"/>
    <w:rsid w:val="008863BE"/>
    <w:rsid w:val="008863D7"/>
    <w:rsid w:val="008865DE"/>
    <w:rsid w:val="00886636"/>
    <w:rsid w:val="00886651"/>
    <w:rsid w:val="008867EC"/>
    <w:rsid w:val="0088687A"/>
    <w:rsid w:val="00886917"/>
    <w:rsid w:val="00886930"/>
    <w:rsid w:val="00886949"/>
    <w:rsid w:val="00886A27"/>
    <w:rsid w:val="00886A7A"/>
    <w:rsid w:val="00886A84"/>
    <w:rsid w:val="00886CE1"/>
    <w:rsid w:val="00886CFB"/>
    <w:rsid w:val="00886D0E"/>
    <w:rsid w:val="00886DA3"/>
    <w:rsid w:val="00886E06"/>
    <w:rsid w:val="00886F1A"/>
    <w:rsid w:val="00886F92"/>
    <w:rsid w:val="00887051"/>
    <w:rsid w:val="00887093"/>
    <w:rsid w:val="008870A9"/>
    <w:rsid w:val="008871ED"/>
    <w:rsid w:val="00887255"/>
    <w:rsid w:val="0088735D"/>
    <w:rsid w:val="008874B0"/>
    <w:rsid w:val="0088750B"/>
    <w:rsid w:val="0088779E"/>
    <w:rsid w:val="008879AC"/>
    <w:rsid w:val="00887A64"/>
    <w:rsid w:val="00887A67"/>
    <w:rsid w:val="00887ABE"/>
    <w:rsid w:val="00887B8E"/>
    <w:rsid w:val="00887C12"/>
    <w:rsid w:val="00887C2D"/>
    <w:rsid w:val="00887D2B"/>
    <w:rsid w:val="00887D79"/>
    <w:rsid w:val="00887FF6"/>
    <w:rsid w:val="0089013C"/>
    <w:rsid w:val="008901A0"/>
    <w:rsid w:val="008901A8"/>
    <w:rsid w:val="008902BD"/>
    <w:rsid w:val="008902DF"/>
    <w:rsid w:val="00890432"/>
    <w:rsid w:val="008905F1"/>
    <w:rsid w:val="00890625"/>
    <w:rsid w:val="0089062A"/>
    <w:rsid w:val="0089063C"/>
    <w:rsid w:val="00890664"/>
    <w:rsid w:val="0089066C"/>
    <w:rsid w:val="008906E1"/>
    <w:rsid w:val="0089078D"/>
    <w:rsid w:val="008907A2"/>
    <w:rsid w:val="008908EC"/>
    <w:rsid w:val="0089093F"/>
    <w:rsid w:val="00890A56"/>
    <w:rsid w:val="00890CBD"/>
    <w:rsid w:val="00890DB9"/>
    <w:rsid w:val="00890DFB"/>
    <w:rsid w:val="00890EEB"/>
    <w:rsid w:val="00890F06"/>
    <w:rsid w:val="00890F16"/>
    <w:rsid w:val="00891013"/>
    <w:rsid w:val="00891036"/>
    <w:rsid w:val="008910FA"/>
    <w:rsid w:val="0089129B"/>
    <w:rsid w:val="008912B2"/>
    <w:rsid w:val="008912D9"/>
    <w:rsid w:val="0089131D"/>
    <w:rsid w:val="00891347"/>
    <w:rsid w:val="00891482"/>
    <w:rsid w:val="008914BB"/>
    <w:rsid w:val="008914E8"/>
    <w:rsid w:val="008915C3"/>
    <w:rsid w:val="00891610"/>
    <w:rsid w:val="00891645"/>
    <w:rsid w:val="00891871"/>
    <w:rsid w:val="00891928"/>
    <w:rsid w:val="00891A1A"/>
    <w:rsid w:val="00891A78"/>
    <w:rsid w:val="00891AEC"/>
    <w:rsid w:val="00891B3F"/>
    <w:rsid w:val="00891B82"/>
    <w:rsid w:val="00891BC6"/>
    <w:rsid w:val="00891C4E"/>
    <w:rsid w:val="00891C5E"/>
    <w:rsid w:val="00891CBC"/>
    <w:rsid w:val="00891CFF"/>
    <w:rsid w:val="00891DAF"/>
    <w:rsid w:val="00891E17"/>
    <w:rsid w:val="00891E1B"/>
    <w:rsid w:val="00891E28"/>
    <w:rsid w:val="00891E32"/>
    <w:rsid w:val="00891E83"/>
    <w:rsid w:val="00891ED3"/>
    <w:rsid w:val="00892024"/>
    <w:rsid w:val="0089207F"/>
    <w:rsid w:val="0089208E"/>
    <w:rsid w:val="008920D1"/>
    <w:rsid w:val="008920E8"/>
    <w:rsid w:val="00892191"/>
    <w:rsid w:val="00892221"/>
    <w:rsid w:val="00892237"/>
    <w:rsid w:val="00892438"/>
    <w:rsid w:val="008924EA"/>
    <w:rsid w:val="00892589"/>
    <w:rsid w:val="00892597"/>
    <w:rsid w:val="008926D3"/>
    <w:rsid w:val="00892746"/>
    <w:rsid w:val="008927A8"/>
    <w:rsid w:val="0089283A"/>
    <w:rsid w:val="008928AE"/>
    <w:rsid w:val="00892910"/>
    <w:rsid w:val="0089292D"/>
    <w:rsid w:val="00892934"/>
    <w:rsid w:val="0089294D"/>
    <w:rsid w:val="0089298D"/>
    <w:rsid w:val="008929E9"/>
    <w:rsid w:val="00892A6B"/>
    <w:rsid w:val="00892B23"/>
    <w:rsid w:val="00892BAE"/>
    <w:rsid w:val="00892BEE"/>
    <w:rsid w:val="00892C29"/>
    <w:rsid w:val="00892C7D"/>
    <w:rsid w:val="00892C98"/>
    <w:rsid w:val="00892CB3"/>
    <w:rsid w:val="00892D12"/>
    <w:rsid w:val="00892DFE"/>
    <w:rsid w:val="00892E21"/>
    <w:rsid w:val="00892EB8"/>
    <w:rsid w:val="00892FAC"/>
    <w:rsid w:val="00893101"/>
    <w:rsid w:val="00893239"/>
    <w:rsid w:val="008932D2"/>
    <w:rsid w:val="00893315"/>
    <w:rsid w:val="00893325"/>
    <w:rsid w:val="008934B8"/>
    <w:rsid w:val="008934E4"/>
    <w:rsid w:val="0089358D"/>
    <w:rsid w:val="0089366F"/>
    <w:rsid w:val="008937BB"/>
    <w:rsid w:val="008937F1"/>
    <w:rsid w:val="008938F6"/>
    <w:rsid w:val="00893955"/>
    <w:rsid w:val="00893985"/>
    <w:rsid w:val="00893A76"/>
    <w:rsid w:val="00893BE0"/>
    <w:rsid w:val="00893C72"/>
    <w:rsid w:val="00893D65"/>
    <w:rsid w:val="00893DDD"/>
    <w:rsid w:val="00893E3E"/>
    <w:rsid w:val="00893F06"/>
    <w:rsid w:val="00893F0E"/>
    <w:rsid w:val="00893F38"/>
    <w:rsid w:val="00894011"/>
    <w:rsid w:val="00894043"/>
    <w:rsid w:val="008940F5"/>
    <w:rsid w:val="00894110"/>
    <w:rsid w:val="0089412F"/>
    <w:rsid w:val="0089419B"/>
    <w:rsid w:val="008941E2"/>
    <w:rsid w:val="008942C0"/>
    <w:rsid w:val="008942D7"/>
    <w:rsid w:val="00894364"/>
    <w:rsid w:val="00894398"/>
    <w:rsid w:val="008943BD"/>
    <w:rsid w:val="008944B6"/>
    <w:rsid w:val="008944F0"/>
    <w:rsid w:val="00894514"/>
    <w:rsid w:val="0089451F"/>
    <w:rsid w:val="0089452D"/>
    <w:rsid w:val="0089454A"/>
    <w:rsid w:val="00894554"/>
    <w:rsid w:val="0089461F"/>
    <w:rsid w:val="008946C0"/>
    <w:rsid w:val="0089472D"/>
    <w:rsid w:val="008947A8"/>
    <w:rsid w:val="008947B8"/>
    <w:rsid w:val="00894865"/>
    <w:rsid w:val="008948F1"/>
    <w:rsid w:val="00894964"/>
    <w:rsid w:val="008949DA"/>
    <w:rsid w:val="00894A17"/>
    <w:rsid w:val="00894A24"/>
    <w:rsid w:val="00894A39"/>
    <w:rsid w:val="00894AB2"/>
    <w:rsid w:val="00894AE8"/>
    <w:rsid w:val="00894C8E"/>
    <w:rsid w:val="00894D0C"/>
    <w:rsid w:val="00894D41"/>
    <w:rsid w:val="00894E31"/>
    <w:rsid w:val="00894E6F"/>
    <w:rsid w:val="00894E82"/>
    <w:rsid w:val="00894F2A"/>
    <w:rsid w:val="00895246"/>
    <w:rsid w:val="00895287"/>
    <w:rsid w:val="008953DA"/>
    <w:rsid w:val="0089552D"/>
    <w:rsid w:val="00895540"/>
    <w:rsid w:val="008955DD"/>
    <w:rsid w:val="0089564F"/>
    <w:rsid w:val="0089571B"/>
    <w:rsid w:val="008957BF"/>
    <w:rsid w:val="008957CB"/>
    <w:rsid w:val="008957FA"/>
    <w:rsid w:val="00895863"/>
    <w:rsid w:val="008958D8"/>
    <w:rsid w:val="008959EB"/>
    <w:rsid w:val="00895A3B"/>
    <w:rsid w:val="00895A55"/>
    <w:rsid w:val="00895A66"/>
    <w:rsid w:val="00895AA3"/>
    <w:rsid w:val="00895B1F"/>
    <w:rsid w:val="00895B2E"/>
    <w:rsid w:val="00895BE5"/>
    <w:rsid w:val="00895CE2"/>
    <w:rsid w:val="00895D75"/>
    <w:rsid w:val="00895E05"/>
    <w:rsid w:val="00895E60"/>
    <w:rsid w:val="00895EDE"/>
    <w:rsid w:val="00895EE9"/>
    <w:rsid w:val="00895F65"/>
    <w:rsid w:val="00895F74"/>
    <w:rsid w:val="00895FAD"/>
    <w:rsid w:val="00896137"/>
    <w:rsid w:val="00896162"/>
    <w:rsid w:val="00896357"/>
    <w:rsid w:val="0089639B"/>
    <w:rsid w:val="008964C8"/>
    <w:rsid w:val="008964D8"/>
    <w:rsid w:val="008965DF"/>
    <w:rsid w:val="008965F0"/>
    <w:rsid w:val="008965FA"/>
    <w:rsid w:val="00896690"/>
    <w:rsid w:val="008966D4"/>
    <w:rsid w:val="00896740"/>
    <w:rsid w:val="0089685F"/>
    <w:rsid w:val="0089688E"/>
    <w:rsid w:val="008968CA"/>
    <w:rsid w:val="0089698C"/>
    <w:rsid w:val="00896A59"/>
    <w:rsid w:val="00896A6E"/>
    <w:rsid w:val="00896AD5"/>
    <w:rsid w:val="00896B40"/>
    <w:rsid w:val="00896B87"/>
    <w:rsid w:val="00896C11"/>
    <w:rsid w:val="00896C25"/>
    <w:rsid w:val="00896C42"/>
    <w:rsid w:val="00896C9F"/>
    <w:rsid w:val="00896CC9"/>
    <w:rsid w:val="00896CF5"/>
    <w:rsid w:val="00896D03"/>
    <w:rsid w:val="00896D29"/>
    <w:rsid w:val="00896F89"/>
    <w:rsid w:val="00897038"/>
    <w:rsid w:val="00897041"/>
    <w:rsid w:val="008970F4"/>
    <w:rsid w:val="00897135"/>
    <w:rsid w:val="00897170"/>
    <w:rsid w:val="00897180"/>
    <w:rsid w:val="0089718A"/>
    <w:rsid w:val="008972E9"/>
    <w:rsid w:val="00897337"/>
    <w:rsid w:val="00897354"/>
    <w:rsid w:val="008974E5"/>
    <w:rsid w:val="0089750A"/>
    <w:rsid w:val="00897527"/>
    <w:rsid w:val="0089760C"/>
    <w:rsid w:val="008976D3"/>
    <w:rsid w:val="00897788"/>
    <w:rsid w:val="0089789E"/>
    <w:rsid w:val="008978D4"/>
    <w:rsid w:val="0089796F"/>
    <w:rsid w:val="0089798B"/>
    <w:rsid w:val="008979EA"/>
    <w:rsid w:val="00897A7A"/>
    <w:rsid w:val="00897ACD"/>
    <w:rsid w:val="00897AF8"/>
    <w:rsid w:val="00897B69"/>
    <w:rsid w:val="00897BDB"/>
    <w:rsid w:val="00897CB0"/>
    <w:rsid w:val="00897CF6"/>
    <w:rsid w:val="00897D6F"/>
    <w:rsid w:val="00897E10"/>
    <w:rsid w:val="00897E6E"/>
    <w:rsid w:val="00897E92"/>
    <w:rsid w:val="008A0085"/>
    <w:rsid w:val="008A009D"/>
    <w:rsid w:val="008A00D6"/>
    <w:rsid w:val="008A0101"/>
    <w:rsid w:val="008A0166"/>
    <w:rsid w:val="008A01DE"/>
    <w:rsid w:val="008A01FD"/>
    <w:rsid w:val="008A0261"/>
    <w:rsid w:val="008A02AE"/>
    <w:rsid w:val="008A02B7"/>
    <w:rsid w:val="008A0329"/>
    <w:rsid w:val="008A0404"/>
    <w:rsid w:val="008A041D"/>
    <w:rsid w:val="008A0488"/>
    <w:rsid w:val="008A0512"/>
    <w:rsid w:val="008A0533"/>
    <w:rsid w:val="008A05B6"/>
    <w:rsid w:val="008A06A7"/>
    <w:rsid w:val="008A070F"/>
    <w:rsid w:val="008A075F"/>
    <w:rsid w:val="008A0782"/>
    <w:rsid w:val="008A07F5"/>
    <w:rsid w:val="008A07F7"/>
    <w:rsid w:val="008A081A"/>
    <w:rsid w:val="008A08E0"/>
    <w:rsid w:val="008A09E0"/>
    <w:rsid w:val="008A0A4D"/>
    <w:rsid w:val="008A0ADC"/>
    <w:rsid w:val="008A0B68"/>
    <w:rsid w:val="008A0D4E"/>
    <w:rsid w:val="008A0D5F"/>
    <w:rsid w:val="008A0D61"/>
    <w:rsid w:val="008A0E51"/>
    <w:rsid w:val="008A0E79"/>
    <w:rsid w:val="008A10AF"/>
    <w:rsid w:val="008A10DA"/>
    <w:rsid w:val="008A11E6"/>
    <w:rsid w:val="008A120E"/>
    <w:rsid w:val="008A12DC"/>
    <w:rsid w:val="008A1300"/>
    <w:rsid w:val="008A1375"/>
    <w:rsid w:val="008A1382"/>
    <w:rsid w:val="008A13FD"/>
    <w:rsid w:val="008A169F"/>
    <w:rsid w:val="008A183D"/>
    <w:rsid w:val="008A1896"/>
    <w:rsid w:val="008A193A"/>
    <w:rsid w:val="008A1974"/>
    <w:rsid w:val="008A1A15"/>
    <w:rsid w:val="008A1B07"/>
    <w:rsid w:val="008A1B62"/>
    <w:rsid w:val="008A1C21"/>
    <w:rsid w:val="008A1D45"/>
    <w:rsid w:val="008A1D80"/>
    <w:rsid w:val="008A1E1E"/>
    <w:rsid w:val="008A1F31"/>
    <w:rsid w:val="008A1F5A"/>
    <w:rsid w:val="008A1F80"/>
    <w:rsid w:val="008A1FE1"/>
    <w:rsid w:val="008A2198"/>
    <w:rsid w:val="008A219D"/>
    <w:rsid w:val="008A227C"/>
    <w:rsid w:val="008A2393"/>
    <w:rsid w:val="008A23DB"/>
    <w:rsid w:val="008A24E9"/>
    <w:rsid w:val="008A250C"/>
    <w:rsid w:val="008A2546"/>
    <w:rsid w:val="008A255D"/>
    <w:rsid w:val="008A2673"/>
    <w:rsid w:val="008A2700"/>
    <w:rsid w:val="008A276C"/>
    <w:rsid w:val="008A2867"/>
    <w:rsid w:val="008A2946"/>
    <w:rsid w:val="008A2A10"/>
    <w:rsid w:val="008A2BF9"/>
    <w:rsid w:val="008A2C5B"/>
    <w:rsid w:val="008A2C6A"/>
    <w:rsid w:val="008A2D3C"/>
    <w:rsid w:val="008A2D6B"/>
    <w:rsid w:val="008A2E61"/>
    <w:rsid w:val="008A2F9E"/>
    <w:rsid w:val="008A306B"/>
    <w:rsid w:val="008A30A6"/>
    <w:rsid w:val="008A30E0"/>
    <w:rsid w:val="008A312E"/>
    <w:rsid w:val="008A31C8"/>
    <w:rsid w:val="008A31D9"/>
    <w:rsid w:val="008A31E0"/>
    <w:rsid w:val="008A3297"/>
    <w:rsid w:val="008A32D2"/>
    <w:rsid w:val="008A3307"/>
    <w:rsid w:val="008A330E"/>
    <w:rsid w:val="008A3354"/>
    <w:rsid w:val="008A3424"/>
    <w:rsid w:val="008A34A2"/>
    <w:rsid w:val="008A3575"/>
    <w:rsid w:val="008A3922"/>
    <w:rsid w:val="008A3A03"/>
    <w:rsid w:val="008A3A7B"/>
    <w:rsid w:val="008A3A86"/>
    <w:rsid w:val="008A3B0B"/>
    <w:rsid w:val="008A3B48"/>
    <w:rsid w:val="008A3B88"/>
    <w:rsid w:val="008A3B94"/>
    <w:rsid w:val="008A3B9D"/>
    <w:rsid w:val="008A3BD5"/>
    <w:rsid w:val="008A3C14"/>
    <w:rsid w:val="008A3C37"/>
    <w:rsid w:val="008A3D4C"/>
    <w:rsid w:val="008A3D6E"/>
    <w:rsid w:val="008A3D90"/>
    <w:rsid w:val="008A3F35"/>
    <w:rsid w:val="008A408E"/>
    <w:rsid w:val="008A4114"/>
    <w:rsid w:val="008A4182"/>
    <w:rsid w:val="008A41C0"/>
    <w:rsid w:val="008A427B"/>
    <w:rsid w:val="008A42A4"/>
    <w:rsid w:val="008A4412"/>
    <w:rsid w:val="008A443C"/>
    <w:rsid w:val="008A45D6"/>
    <w:rsid w:val="008A45F7"/>
    <w:rsid w:val="008A4624"/>
    <w:rsid w:val="008A46A8"/>
    <w:rsid w:val="008A46D0"/>
    <w:rsid w:val="008A4711"/>
    <w:rsid w:val="008A4848"/>
    <w:rsid w:val="008A48B8"/>
    <w:rsid w:val="008A4962"/>
    <w:rsid w:val="008A4A3B"/>
    <w:rsid w:val="008A4AB1"/>
    <w:rsid w:val="008A4AD0"/>
    <w:rsid w:val="008A4BDE"/>
    <w:rsid w:val="008A4CF3"/>
    <w:rsid w:val="008A4D13"/>
    <w:rsid w:val="008A4DC7"/>
    <w:rsid w:val="008A4DF4"/>
    <w:rsid w:val="008A4E68"/>
    <w:rsid w:val="008A4EB4"/>
    <w:rsid w:val="008A4F9F"/>
    <w:rsid w:val="008A4FDC"/>
    <w:rsid w:val="008A5073"/>
    <w:rsid w:val="008A50B9"/>
    <w:rsid w:val="008A5166"/>
    <w:rsid w:val="008A51B4"/>
    <w:rsid w:val="008A51DF"/>
    <w:rsid w:val="008A5260"/>
    <w:rsid w:val="008A5266"/>
    <w:rsid w:val="008A5293"/>
    <w:rsid w:val="008A5346"/>
    <w:rsid w:val="008A53A0"/>
    <w:rsid w:val="008A53D9"/>
    <w:rsid w:val="008A5488"/>
    <w:rsid w:val="008A54BD"/>
    <w:rsid w:val="008A5567"/>
    <w:rsid w:val="008A55DC"/>
    <w:rsid w:val="008A55E4"/>
    <w:rsid w:val="008A5682"/>
    <w:rsid w:val="008A5772"/>
    <w:rsid w:val="008A59FC"/>
    <w:rsid w:val="008A5A91"/>
    <w:rsid w:val="008A5C55"/>
    <w:rsid w:val="008A5D20"/>
    <w:rsid w:val="008A5EAD"/>
    <w:rsid w:val="008A5FB3"/>
    <w:rsid w:val="008A6097"/>
    <w:rsid w:val="008A609F"/>
    <w:rsid w:val="008A624D"/>
    <w:rsid w:val="008A634C"/>
    <w:rsid w:val="008A63A9"/>
    <w:rsid w:val="008A6428"/>
    <w:rsid w:val="008A6546"/>
    <w:rsid w:val="008A65A1"/>
    <w:rsid w:val="008A65B6"/>
    <w:rsid w:val="008A6635"/>
    <w:rsid w:val="008A676A"/>
    <w:rsid w:val="008A6789"/>
    <w:rsid w:val="008A681A"/>
    <w:rsid w:val="008A683E"/>
    <w:rsid w:val="008A6851"/>
    <w:rsid w:val="008A68E4"/>
    <w:rsid w:val="008A690E"/>
    <w:rsid w:val="008A6920"/>
    <w:rsid w:val="008A6954"/>
    <w:rsid w:val="008A69C2"/>
    <w:rsid w:val="008A6B32"/>
    <w:rsid w:val="008A6C46"/>
    <w:rsid w:val="008A6D4D"/>
    <w:rsid w:val="008A6D6B"/>
    <w:rsid w:val="008A6DAD"/>
    <w:rsid w:val="008A6DE3"/>
    <w:rsid w:val="008A6EB8"/>
    <w:rsid w:val="008A6EE9"/>
    <w:rsid w:val="008A6EFB"/>
    <w:rsid w:val="008A6F9C"/>
    <w:rsid w:val="008A6FC6"/>
    <w:rsid w:val="008A6FCF"/>
    <w:rsid w:val="008A7011"/>
    <w:rsid w:val="008A70AA"/>
    <w:rsid w:val="008A70F8"/>
    <w:rsid w:val="008A7242"/>
    <w:rsid w:val="008A7346"/>
    <w:rsid w:val="008A73B6"/>
    <w:rsid w:val="008A7584"/>
    <w:rsid w:val="008A75DF"/>
    <w:rsid w:val="008A7609"/>
    <w:rsid w:val="008A7695"/>
    <w:rsid w:val="008A76B2"/>
    <w:rsid w:val="008A76D6"/>
    <w:rsid w:val="008A782E"/>
    <w:rsid w:val="008A7874"/>
    <w:rsid w:val="008A788E"/>
    <w:rsid w:val="008A78CD"/>
    <w:rsid w:val="008A78DA"/>
    <w:rsid w:val="008A7950"/>
    <w:rsid w:val="008A79E2"/>
    <w:rsid w:val="008A7ADE"/>
    <w:rsid w:val="008A7BF6"/>
    <w:rsid w:val="008A7BFE"/>
    <w:rsid w:val="008A7C37"/>
    <w:rsid w:val="008A7C47"/>
    <w:rsid w:val="008A7C49"/>
    <w:rsid w:val="008A7C81"/>
    <w:rsid w:val="008A7CB4"/>
    <w:rsid w:val="008A7E6E"/>
    <w:rsid w:val="008A7F78"/>
    <w:rsid w:val="008A7F9C"/>
    <w:rsid w:val="008B005A"/>
    <w:rsid w:val="008B00C8"/>
    <w:rsid w:val="008B0234"/>
    <w:rsid w:val="008B027B"/>
    <w:rsid w:val="008B038F"/>
    <w:rsid w:val="008B0475"/>
    <w:rsid w:val="008B0580"/>
    <w:rsid w:val="008B0598"/>
    <w:rsid w:val="008B0601"/>
    <w:rsid w:val="008B06CA"/>
    <w:rsid w:val="008B06FB"/>
    <w:rsid w:val="008B0791"/>
    <w:rsid w:val="008B095F"/>
    <w:rsid w:val="008B099B"/>
    <w:rsid w:val="008B099E"/>
    <w:rsid w:val="008B0AF0"/>
    <w:rsid w:val="008B0C33"/>
    <w:rsid w:val="008B0C72"/>
    <w:rsid w:val="008B0E99"/>
    <w:rsid w:val="008B1234"/>
    <w:rsid w:val="008B134C"/>
    <w:rsid w:val="008B1393"/>
    <w:rsid w:val="008B154A"/>
    <w:rsid w:val="008B166D"/>
    <w:rsid w:val="008B167A"/>
    <w:rsid w:val="008B16D4"/>
    <w:rsid w:val="008B1703"/>
    <w:rsid w:val="008B18D7"/>
    <w:rsid w:val="008B196C"/>
    <w:rsid w:val="008B1984"/>
    <w:rsid w:val="008B1A14"/>
    <w:rsid w:val="008B1A84"/>
    <w:rsid w:val="008B1A85"/>
    <w:rsid w:val="008B1ACF"/>
    <w:rsid w:val="008B1B72"/>
    <w:rsid w:val="008B1C1C"/>
    <w:rsid w:val="008B1C25"/>
    <w:rsid w:val="008B1C33"/>
    <w:rsid w:val="008B1D5E"/>
    <w:rsid w:val="008B1DC8"/>
    <w:rsid w:val="008B1DE2"/>
    <w:rsid w:val="008B1E92"/>
    <w:rsid w:val="008B1F86"/>
    <w:rsid w:val="008B2005"/>
    <w:rsid w:val="008B200D"/>
    <w:rsid w:val="008B2116"/>
    <w:rsid w:val="008B2148"/>
    <w:rsid w:val="008B2210"/>
    <w:rsid w:val="008B229F"/>
    <w:rsid w:val="008B234E"/>
    <w:rsid w:val="008B2432"/>
    <w:rsid w:val="008B2441"/>
    <w:rsid w:val="008B244A"/>
    <w:rsid w:val="008B2473"/>
    <w:rsid w:val="008B24CF"/>
    <w:rsid w:val="008B252F"/>
    <w:rsid w:val="008B25B6"/>
    <w:rsid w:val="008B25F0"/>
    <w:rsid w:val="008B260F"/>
    <w:rsid w:val="008B2694"/>
    <w:rsid w:val="008B2914"/>
    <w:rsid w:val="008B2A84"/>
    <w:rsid w:val="008B2B11"/>
    <w:rsid w:val="008B2C01"/>
    <w:rsid w:val="008B2CAC"/>
    <w:rsid w:val="008B2CC4"/>
    <w:rsid w:val="008B2CEE"/>
    <w:rsid w:val="008B2CFD"/>
    <w:rsid w:val="008B2E1C"/>
    <w:rsid w:val="008B3159"/>
    <w:rsid w:val="008B316A"/>
    <w:rsid w:val="008B3290"/>
    <w:rsid w:val="008B330A"/>
    <w:rsid w:val="008B336D"/>
    <w:rsid w:val="008B33F2"/>
    <w:rsid w:val="008B346D"/>
    <w:rsid w:val="008B3570"/>
    <w:rsid w:val="008B3577"/>
    <w:rsid w:val="008B36C3"/>
    <w:rsid w:val="008B36C9"/>
    <w:rsid w:val="008B37FC"/>
    <w:rsid w:val="008B3847"/>
    <w:rsid w:val="008B38C5"/>
    <w:rsid w:val="008B3AEB"/>
    <w:rsid w:val="008B3BEC"/>
    <w:rsid w:val="008B3BF8"/>
    <w:rsid w:val="008B3C2F"/>
    <w:rsid w:val="008B3CFF"/>
    <w:rsid w:val="008B3D4E"/>
    <w:rsid w:val="008B3D98"/>
    <w:rsid w:val="008B3E16"/>
    <w:rsid w:val="008B3E83"/>
    <w:rsid w:val="008B3F28"/>
    <w:rsid w:val="008B3F2C"/>
    <w:rsid w:val="008B4014"/>
    <w:rsid w:val="008B4058"/>
    <w:rsid w:val="008B4121"/>
    <w:rsid w:val="008B4135"/>
    <w:rsid w:val="008B4198"/>
    <w:rsid w:val="008B438E"/>
    <w:rsid w:val="008B4517"/>
    <w:rsid w:val="008B451C"/>
    <w:rsid w:val="008B45EA"/>
    <w:rsid w:val="008B464A"/>
    <w:rsid w:val="008B465D"/>
    <w:rsid w:val="008B475A"/>
    <w:rsid w:val="008B4782"/>
    <w:rsid w:val="008B47A3"/>
    <w:rsid w:val="008B47B7"/>
    <w:rsid w:val="008B481B"/>
    <w:rsid w:val="008B484F"/>
    <w:rsid w:val="008B48E2"/>
    <w:rsid w:val="008B490D"/>
    <w:rsid w:val="008B491B"/>
    <w:rsid w:val="008B491E"/>
    <w:rsid w:val="008B499B"/>
    <w:rsid w:val="008B49EE"/>
    <w:rsid w:val="008B4A0A"/>
    <w:rsid w:val="008B4B6B"/>
    <w:rsid w:val="008B4BD5"/>
    <w:rsid w:val="008B4CB6"/>
    <w:rsid w:val="008B4D85"/>
    <w:rsid w:val="008B4D92"/>
    <w:rsid w:val="008B4E27"/>
    <w:rsid w:val="008B4E32"/>
    <w:rsid w:val="008B4F4D"/>
    <w:rsid w:val="008B4F63"/>
    <w:rsid w:val="008B4F94"/>
    <w:rsid w:val="008B4F9F"/>
    <w:rsid w:val="008B507B"/>
    <w:rsid w:val="008B50C9"/>
    <w:rsid w:val="008B50E2"/>
    <w:rsid w:val="008B52B8"/>
    <w:rsid w:val="008B5338"/>
    <w:rsid w:val="008B53A7"/>
    <w:rsid w:val="008B53D0"/>
    <w:rsid w:val="008B53DF"/>
    <w:rsid w:val="008B53F0"/>
    <w:rsid w:val="008B54B7"/>
    <w:rsid w:val="008B550F"/>
    <w:rsid w:val="008B552B"/>
    <w:rsid w:val="008B552F"/>
    <w:rsid w:val="008B553A"/>
    <w:rsid w:val="008B5554"/>
    <w:rsid w:val="008B5564"/>
    <w:rsid w:val="008B55ED"/>
    <w:rsid w:val="008B5639"/>
    <w:rsid w:val="008B56D3"/>
    <w:rsid w:val="008B586C"/>
    <w:rsid w:val="008B5BC9"/>
    <w:rsid w:val="008B5C39"/>
    <w:rsid w:val="008B5C9F"/>
    <w:rsid w:val="008B5CB3"/>
    <w:rsid w:val="008B5CE8"/>
    <w:rsid w:val="008B5D81"/>
    <w:rsid w:val="008B5E09"/>
    <w:rsid w:val="008B5E45"/>
    <w:rsid w:val="008B5F04"/>
    <w:rsid w:val="008B5F1C"/>
    <w:rsid w:val="008B5F88"/>
    <w:rsid w:val="008B5F8A"/>
    <w:rsid w:val="008B6072"/>
    <w:rsid w:val="008B61A8"/>
    <w:rsid w:val="008B6206"/>
    <w:rsid w:val="008B6273"/>
    <w:rsid w:val="008B62CA"/>
    <w:rsid w:val="008B62CB"/>
    <w:rsid w:val="008B63D3"/>
    <w:rsid w:val="008B63DC"/>
    <w:rsid w:val="008B63E3"/>
    <w:rsid w:val="008B63E9"/>
    <w:rsid w:val="008B648A"/>
    <w:rsid w:val="008B649B"/>
    <w:rsid w:val="008B65BF"/>
    <w:rsid w:val="008B664B"/>
    <w:rsid w:val="008B6821"/>
    <w:rsid w:val="008B687F"/>
    <w:rsid w:val="008B68AB"/>
    <w:rsid w:val="008B68D4"/>
    <w:rsid w:val="008B691E"/>
    <w:rsid w:val="008B69DE"/>
    <w:rsid w:val="008B6B3E"/>
    <w:rsid w:val="008B6D4C"/>
    <w:rsid w:val="008B6E07"/>
    <w:rsid w:val="008B6EAE"/>
    <w:rsid w:val="008B6F76"/>
    <w:rsid w:val="008B6FE1"/>
    <w:rsid w:val="008B707C"/>
    <w:rsid w:val="008B70CA"/>
    <w:rsid w:val="008B70E5"/>
    <w:rsid w:val="008B7189"/>
    <w:rsid w:val="008B72C7"/>
    <w:rsid w:val="008B7327"/>
    <w:rsid w:val="008B736C"/>
    <w:rsid w:val="008B7424"/>
    <w:rsid w:val="008B74B7"/>
    <w:rsid w:val="008B74CC"/>
    <w:rsid w:val="008B7555"/>
    <w:rsid w:val="008B756B"/>
    <w:rsid w:val="008B7584"/>
    <w:rsid w:val="008B7680"/>
    <w:rsid w:val="008B76CC"/>
    <w:rsid w:val="008B775C"/>
    <w:rsid w:val="008B782B"/>
    <w:rsid w:val="008B7965"/>
    <w:rsid w:val="008B79FE"/>
    <w:rsid w:val="008B7A90"/>
    <w:rsid w:val="008B7B8F"/>
    <w:rsid w:val="008B7C41"/>
    <w:rsid w:val="008B7CCC"/>
    <w:rsid w:val="008B7CCF"/>
    <w:rsid w:val="008B7DA3"/>
    <w:rsid w:val="008B7DBF"/>
    <w:rsid w:val="008B7DDB"/>
    <w:rsid w:val="008B7E01"/>
    <w:rsid w:val="008B7E55"/>
    <w:rsid w:val="008B7ED9"/>
    <w:rsid w:val="008B7EF6"/>
    <w:rsid w:val="008B7FE0"/>
    <w:rsid w:val="008B7FF4"/>
    <w:rsid w:val="008C003A"/>
    <w:rsid w:val="008C00FC"/>
    <w:rsid w:val="008C0180"/>
    <w:rsid w:val="008C01D2"/>
    <w:rsid w:val="008C0275"/>
    <w:rsid w:val="008C033C"/>
    <w:rsid w:val="008C03CD"/>
    <w:rsid w:val="008C03F9"/>
    <w:rsid w:val="008C053C"/>
    <w:rsid w:val="008C0597"/>
    <w:rsid w:val="008C06B9"/>
    <w:rsid w:val="008C0777"/>
    <w:rsid w:val="008C07BA"/>
    <w:rsid w:val="008C07DA"/>
    <w:rsid w:val="008C0958"/>
    <w:rsid w:val="008C0997"/>
    <w:rsid w:val="008C09AF"/>
    <w:rsid w:val="008C09B1"/>
    <w:rsid w:val="008C09E4"/>
    <w:rsid w:val="008C0A38"/>
    <w:rsid w:val="008C0B4A"/>
    <w:rsid w:val="008C0C57"/>
    <w:rsid w:val="008C0C66"/>
    <w:rsid w:val="008C0CC8"/>
    <w:rsid w:val="008C0D07"/>
    <w:rsid w:val="008C0E08"/>
    <w:rsid w:val="008C0E21"/>
    <w:rsid w:val="008C0EB0"/>
    <w:rsid w:val="008C0F39"/>
    <w:rsid w:val="008C1082"/>
    <w:rsid w:val="008C1085"/>
    <w:rsid w:val="008C1106"/>
    <w:rsid w:val="008C1159"/>
    <w:rsid w:val="008C11D5"/>
    <w:rsid w:val="008C1229"/>
    <w:rsid w:val="008C127B"/>
    <w:rsid w:val="008C12CE"/>
    <w:rsid w:val="008C12EF"/>
    <w:rsid w:val="008C13F4"/>
    <w:rsid w:val="008C1464"/>
    <w:rsid w:val="008C1488"/>
    <w:rsid w:val="008C1531"/>
    <w:rsid w:val="008C15DE"/>
    <w:rsid w:val="008C1645"/>
    <w:rsid w:val="008C16AB"/>
    <w:rsid w:val="008C182E"/>
    <w:rsid w:val="008C1946"/>
    <w:rsid w:val="008C197B"/>
    <w:rsid w:val="008C1A84"/>
    <w:rsid w:val="008C1A98"/>
    <w:rsid w:val="008C1B3C"/>
    <w:rsid w:val="008C1B67"/>
    <w:rsid w:val="008C1B77"/>
    <w:rsid w:val="008C1E71"/>
    <w:rsid w:val="008C1F1D"/>
    <w:rsid w:val="008C203D"/>
    <w:rsid w:val="008C20A5"/>
    <w:rsid w:val="008C20D1"/>
    <w:rsid w:val="008C20DC"/>
    <w:rsid w:val="008C2128"/>
    <w:rsid w:val="008C213F"/>
    <w:rsid w:val="008C2174"/>
    <w:rsid w:val="008C2282"/>
    <w:rsid w:val="008C22AA"/>
    <w:rsid w:val="008C22FD"/>
    <w:rsid w:val="008C23A4"/>
    <w:rsid w:val="008C23A6"/>
    <w:rsid w:val="008C23E5"/>
    <w:rsid w:val="008C242A"/>
    <w:rsid w:val="008C24DF"/>
    <w:rsid w:val="008C25B3"/>
    <w:rsid w:val="008C25E3"/>
    <w:rsid w:val="008C2637"/>
    <w:rsid w:val="008C269A"/>
    <w:rsid w:val="008C26AC"/>
    <w:rsid w:val="008C26B5"/>
    <w:rsid w:val="008C27CF"/>
    <w:rsid w:val="008C27E6"/>
    <w:rsid w:val="008C27F1"/>
    <w:rsid w:val="008C29C9"/>
    <w:rsid w:val="008C29F6"/>
    <w:rsid w:val="008C2A4D"/>
    <w:rsid w:val="008C2A6F"/>
    <w:rsid w:val="008C2A89"/>
    <w:rsid w:val="008C2D1F"/>
    <w:rsid w:val="008C2D33"/>
    <w:rsid w:val="008C2D85"/>
    <w:rsid w:val="008C2DAC"/>
    <w:rsid w:val="008C2E3C"/>
    <w:rsid w:val="008C2ECF"/>
    <w:rsid w:val="008C3047"/>
    <w:rsid w:val="008C3050"/>
    <w:rsid w:val="008C30AF"/>
    <w:rsid w:val="008C30DA"/>
    <w:rsid w:val="008C31B7"/>
    <w:rsid w:val="008C31D9"/>
    <w:rsid w:val="008C3321"/>
    <w:rsid w:val="008C36A2"/>
    <w:rsid w:val="008C3873"/>
    <w:rsid w:val="008C3AFC"/>
    <w:rsid w:val="008C3BFE"/>
    <w:rsid w:val="008C3C5C"/>
    <w:rsid w:val="008C3CFC"/>
    <w:rsid w:val="008C3D3A"/>
    <w:rsid w:val="008C3D54"/>
    <w:rsid w:val="008C3D57"/>
    <w:rsid w:val="008C3D89"/>
    <w:rsid w:val="008C3DE8"/>
    <w:rsid w:val="008C3E3F"/>
    <w:rsid w:val="008C3E50"/>
    <w:rsid w:val="008C3E8D"/>
    <w:rsid w:val="008C3E9F"/>
    <w:rsid w:val="008C3EB7"/>
    <w:rsid w:val="008C3EBD"/>
    <w:rsid w:val="008C3F3C"/>
    <w:rsid w:val="008C3F76"/>
    <w:rsid w:val="008C3F7E"/>
    <w:rsid w:val="008C4149"/>
    <w:rsid w:val="008C415C"/>
    <w:rsid w:val="008C4203"/>
    <w:rsid w:val="008C4383"/>
    <w:rsid w:val="008C4407"/>
    <w:rsid w:val="008C449A"/>
    <w:rsid w:val="008C44C3"/>
    <w:rsid w:val="008C44C7"/>
    <w:rsid w:val="008C4531"/>
    <w:rsid w:val="008C4619"/>
    <w:rsid w:val="008C4636"/>
    <w:rsid w:val="008C46A3"/>
    <w:rsid w:val="008C47D2"/>
    <w:rsid w:val="008C481B"/>
    <w:rsid w:val="008C489B"/>
    <w:rsid w:val="008C493B"/>
    <w:rsid w:val="008C4AA1"/>
    <w:rsid w:val="008C4AA5"/>
    <w:rsid w:val="008C4AAC"/>
    <w:rsid w:val="008C4BE7"/>
    <w:rsid w:val="008C4C75"/>
    <w:rsid w:val="008C4CBA"/>
    <w:rsid w:val="008C4D23"/>
    <w:rsid w:val="008C4D42"/>
    <w:rsid w:val="008C4E33"/>
    <w:rsid w:val="008C4E6E"/>
    <w:rsid w:val="008C505C"/>
    <w:rsid w:val="008C516D"/>
    <w:rsid w:val="008C5233"/>
    <w:rsid w:val="008C526A"/>
    <w:rsid w:val="008C5278"/>
    <w:rsid w:val="008C52EF"/>
    <w:rsid w:val="008C53B8"/>
    <w:rsid w:val="008C53CF"/>
    <w:rsid w:val="008C53F5"/>
    <w:rsid w:val="008C548C"/>
    <w:rsid w:val="008C54C2"/>
    <w:rsid w:val="008C54E5"/>
    <w:rsid w:val="008C54FD"/>
    <w:rsid w:val="008C5503"/>
    <w:rsid w:val="008C559A"/>
    <w:rsid w:val="008C5634"/>
    <w:rsid w:val="008C567E"/>
    <w:rsid w:val="008C572F"/>
    <w:rsid w:val="008C573B"/>
    <w:rsid w:val="008C57F7"/>
    <w:rsid w:val="008C59BE"/>
    <w:rsid w:val="008C59D9"/>
    <w:rsid w:val="008C5A48"/>
    <w:rsid w:val="008C5AD6"/>
    <w:rsid w:val="008C5B6C"/>
    <w:rsid w:val="008C5C63"/>
    <w:rsid w:val="008C5CFB"/>
    <w:rsid w:val="008C5D8E"/>
    <w:rsid w:val="008C5D93"/>
    <w:rsid w:val="008C5DE5"/>
    <w:rsid w:val="008C5DEA"/>
    <w:rsid w:val="008C5E42"/>
    <w:rsid w:val="008C5F8E"/>
    <w:rsid w:val="008C6015"/>
    <w:rsid w:val="008C6035"/>
    <w:rsid w:val="008C60AA"/>
    <w:rsid w:val="008C6133"/>
    <w:rsid w:val="008C61C2"/>
    <w:rsid w:val="008C627D"/>
    <w:rsid w:val="008C62D9"/>
    <w:rsid w:val="008C63BC"/>
    <w:rsid w:val="008C65AC"/>
    <w:rsid w:val="008C65E9"/>
    <w:rsid w:val="008C6774"/>
    <w:rsid w:val="008C6790"/>
    <w:rsid w:val="008C68C4"/>
    <w:rsid w:val="008C68FC"/>
    <w:rsid w:val="008C6913"/>
    <w:rsid w:val="008C6952"/>
    <w:rsid w:val="008C69FF"/>
    <w:rsid w:val="008C6A20"/>
    <w:rsid w:val="008C6ABD"/>
    <w:rsid w:val="008C6C57"/>
    <w:rsid w:val="008C6C71"/>
    <w:rsid w:val="008C6CB1"/>
    <w:rsid w:val="008C6D18"/>
    <w:rsid w:val="008C6D7A"/>
    <w:rsid w:val="008C6DE3"/>
    <w:rsid w:val="008C6E12"/>
    <w:rsid w:val="008C6E97"/>
    <w:rsid w:val="008C7039"/>
    <w:rsid w:val="008C70BC"/>
    <w:rsid w:val="008C70F7"/>
    <w:rsid w:val="008C7205"/>
    <w:rsid w:val="008C72CA"/>
    <w:rsid w:val="008C7397"/>
    <w:rsid w:val="008C73AE"/>
    <w:rsid w:val="008C75BD"/>
    <w:rsid w:val="008C75CF"/>
    <w:rsid w:val="008C7799"/>
    <w:rsid w:val="008C77A1"/>
    <w:rsid w:val="008C7803"/>
    <w:rsid w:val="008C78B1"/>
    <w:rsid w:val="008C78E8"/>
    <w:rsid w:val="008C79F3"/>
    <w:rsid w:val="008C7B57"/>
    <w:rsid w:val="008C7B5D"/>
    <w:rsid w:val="008C7BC3"/>
    <w:rsid w:val="008C7C97"/>
    <w:rsid w:val="008C7CB1"/>
    <w:rsid w:val="008C7CCC"/>
    <w:rsid w:val="008C7D0C"/>
    <w:rsid w:val="008C7D0F"/>
    <w:rsid w:val="008C7E84"/>
    <w:rsid w:val="008D0030"/>
    <w:rsid w:val="008D0056"/>
    <w:rsid w:val="008D0078"/>
    <w:rsid w:val="008D0134"/>
    <w:rsid w:val="008D034B"/>
    <w:rsid w:val="008D0361"/>
    <w:rsid w:val="008D03AE"/>
    <w:rsid w:val="008D041C"/>
    <w:rsid w:val="008D0430"/>
    <w:rsid w:val="008D050A"/>
    <w:rsid w:val="008D068A"/>
    <w:rsid w:val="008D06CC"/>
    <w:rsid w:val="008D074B"/>
    <w:rsid w:val="008D0797"/>
    <w:rsid w:val="008D079E"/>
    <w:rsid w:val="008D07A8"/>
    <w:rsid w:val="008D07B2"/>
    <w:rsid w:val="008D0825"/>
    <w:rsid w:val="008D08C3"/>
    <w:rsid w:val="008D0AA7"/>
    <w:rsid w:val="008D0AD4"/>
    <w:rsid w:val="008D0BF2"/>
    <w:rsid w:val="008D0C1C"/>
    <w:rsid w:val="008D0D0C"/>
    <w:rsid w:val="008D0DBB"/>
    <w:rsid w:val="008D0DCC"/>
    <w:rsid w:val="008D0DD0"/>
    <w:rsid w:val="008D0E45"/>
    <w:rsid w:val="008D0EB8"/>
    <w:rsid w:val="008D0F27"/>
    <w:rsid w:val="008D0F29"/>
    <w:rsid w:val="008D0F50"/>
    <w:rsid w:val="008D101C"/>
    <w:rsid w:val="008D10C1"/>
    <w:rsid w:val="008D1184"/>
    <w:rsid w:val="008D1229"/>
    <w:rsid w:val="008D12CA"/>
    <w:rsid w:val="008D133E"/>
    <w:rsid w:val="008D1452"/>
    <w:rsid w:val="008D14E7"/>
    <w:rsid w:val="008D15C6"/>
    <w:rsid w:val="008D168E"/>
    <w:rsid w:val="008D176C"/>
    <w:rsid w:val="008D1774"/>
    <w:rsid w:val="008D179E"/>
    <w:rsid w:val="008D17E8"/>
    <w:rsid w:val="008D17F5"/>
    <w:rsid w:val="008D1911"/>
    <w:rsid w:val="008D1C3E"/>
    <w:rsid w:val="008D1CEE"/>
    <w:rsid w:val="008D1E08"/>
    <w:rsid w:val="008D1EA2"/>
    <w:rsid w:val="008D1EB8"/>
    <w:rsid w:val="008D1EC5"/>
    <w:rsid w:val="008D1F4D"/>
    <w:rsid w:val="008D1F5F"/>
    <w:rsid w:val="008D20FA"/>
    <w:rsid w:val="008D2105"/>
    <w:rsid w:val="008D2144"/>
    <w:rsid w:val="008D2190"/>
    <w:rsid w:val="008D219C"/>
    <w:rsid w:val="008D21D1"/>
    <w:rsid w:val="008D2253"/>
    <w:rsid w:val="008D2356"/>
    <w:rsid w:val="008D2380"/>
    <w:rsid w:val="008D23B1"/>
    <w:rsid w:val="008D23C9"/>
    <w:rsid w:val="008D242B"/>
    <w:rsid w:val="008D257A"/>
    <w:rsid w:val="008D25F1"/>
    <w:rsid w:val="008D2666"/>
    <w:rsid w:val="008D266E"/>
    <w:rsid w:val="008D2739"/>
    <w:rsid w:val="008D28C8"/>
    <w:rsid w:val="008D2920"/>
    <w:rsid w:val="008D2924"/>
    <w:rsid w:val="008D2A22"/>
    <w:rsid w:val="008D2A24"/>
    <w:rsid w:val="008D2A53"/>
    <w:rsid w:val="008D2B27"/>
    <w:rsid w:val="008D2BF4"/>
    <w:rsid w:val="008D2CFE"/>
    <w:rsid w:val="008D2D06"/>
    <w:rsid w:val="008D2D74"/>
    <w:rsid w:val="008D2EE6"/>
    <w:rsid w:val="008D2F96"/>
    <w:rsid w:val="008D2F9C"/>
    <w:rsid w:val="008D2FD1"/>
    <w:rsid w:val="008D301B"/>
    <w:rsid w:val="008D304E"/>
    <w:rsid w:val="008D30FF"/>
    <w:rsid w:val="008D3142"/>
    <w:rsid w:val="008D327D"/>
    <w:rsid w:val="008D334C"/>
    <w:rsid w:val="008D3357"/>
    <w:rsid w:val="008D3388"/>
    <w:rsid w:val="008D35C7"/>
    <w:rsid w:val="008D3606"/>
    <w:rsid w:val="008D3614"/>
    <w:rsid w:val="008D3616"/>
    <w:rsid w:val="008D36C8"/>
    <w:rsid w:val="008D36E8"/>
    <w:rsid w:val="008D3794"/>
    <w:rsid w:val="008D37C8"/>
    <w:rsid w:val="008D38FE"/>
    <w:rsid w:val="008D39A7"/>
    <w:rsid w:val="008D3A74"/>
    <w:rsid w:val="008D3B2A"/>
    <w:rsid w:val="008D3B32"/>
    <w:rsid w:val="008D3B8D"/>
    <w:rsid w:val="008D3C08"/>
    <w:rsid w:val="008D3C58"/>
    <w:rsid w:val="008D3E13"/>
    <w:rsid w:val="008D3E64"/>
    <w:rsid w:val="008D3EC8"/>
    <w:rsid w:val="008D3F66"/>
    <w:rsid w:val="008D407E"/>
    <w:rsid w:val="008D424C"/>
    <w:rsid w:val="008D4414"/>
    <w:rsid w:val="008D4455"/>
    <w:rsid w:val="008D4498"/>
    <w:rsid w:val="008D44C9"/>
    <w:rsid w:val="008D4524"/>
    <w:rsid w:val="008D4774"/>
    <w:rsid w:val="008D477A"/>
    <w:rsid w:val="008D482B"/>
    <w:rsid w:val="008D490D"/>
    <w:rsid w:val="008D497D"/>
    <w:rsid w:val="008D49B0"/>
    <w:rsid w:val="008D4AAE"/>
    <w:rsid w:val="008D4B40"/>
    <w:rsid w:val="008D4C1E"/>
    <w:rsid w:val="008D4CAE"/>
    <w:rsid w:val="008D4D17"/>
    <w:rsid w:val="008D4D21"/>
    <w:rsid w:val="008D4D87"/>
    <w:rsid w:val="008D4DB9"/>
    <w:rsid w:val="008D4DDA"/>
    <w:rsid w:val="008D4E11"/>
    <w:rsid w:val="008D4E5E"/>
    <w:rsid w:val="008D4EE3"/>
    <w:rsid w:val="008D4F7E"/>
    <w:rsid w:val="008D4FA5"/>
    <w:rsid w:val="008D500F"/>
    <w:rsid w:val="008D51D2"/>
    <w:rsid w:val="008D5229"/>
    <w:rsid w:val="008D5379"/>
    <w:rsid w:val="008D539C"/>
    <w:rsid w:val="008D54CC"/>
    <w:rsid w:val="008D559A"/>
    <w:rsid w:val="008D55B7"/>
    <w:rsid w:val="008D568B"/>
    <w:rsid w:val="008D56C5"/>
    <w:rsid w:val="008D576F"/>
    <w:rsid w:val="008D57EF"/>
    <w:rsid w:val="008D57FB"/>
    <w:rsid w:val="008D5815"/>
    <w:rsid w:val="008D58AB"/>
    <w:rsid w:val="008D58C3"/>
    <w:rsid w:val="008D5929"/>
    <w:rsid w:val="008D59AC"/>
    <w:rsid w:val="008D59D0"/>
    <w:rsid w:val="008D5A1F"/>
    <w:rsid w:val="008D5A3E"/>
    <w:rsid w:val="008D5AA5"/>
    <w:rsid w:val="008D5AE3"/>
    <w:rsid w:val="008D5B06"/>
    <w:rsid w:val="008D5B6D"/>
    <w:rsid w:val="008D5BD1"/>
    <w:rsid w:val="008D5D25"/>
    <w:rsid w:val="008D5DAC"/>
    <w:rsid w:val="008D5DCF"/>
    <w:rsid w:val="008D5DDA"/>
    <w:rsid w:val="008D5ECE"/>
    <w:rsid w:val="008D5EF6"/>
    <w:rsid w:val="008D5FAC"/>
    <w:rsid w:val="008D602A"/>
    <w:rsid w:val="008D60DD"/>
    <w:rsid w:val="008D611B"/>
    <w:rsid w:val="008D6142"/>
    <w:rsid w:val="008D6175"/>
    <w:rsid w:val="008D61FC"/>
    <w:rsid w:val="008D6229"/>
    <w:rsid w:val="008D6274"/>
    <w:rsid w:val="008D6290"/>
    <w:rsid w:val="008D6404"/>
    <w:rsid w:val="008D6424"/>
    <w:rsid w:val="008D64DD"/>
    <w:rsid w:val="008D6505"/>
    <w:rsid w:val="008D6521"/>
    <w:rsid w:val="008D654F"/>
    <w:rsid w:val="008D6637"/>
    <w:rsid w:val="008D6650"/>
    <w:rsid w:val="008D669D"/>
    <w:rsid w:val="008D674B"/>
    <w:rsid w:val="008D6760"/>
    <w:rsid w:val="008D67A7"/>
    <w:rsid w:val="008D67C3"/>
    <w:rsid w:val="008D67FB"/>
    <w:rsid w:val="008D6891"/>
    <w:rsid w:val="008D6ADA"/>
    <w:rsid w:val="008D6B00"/>
    <w:rsid w:val="008D6B07"/>
    <w:rsid w:val="008D6B55"/>
    <w:rsid w:val="008D6BAA"/>
    <w:rsid w:val="008D6BFA"/>
    <w:rsid w:val="008D6C0F"/>
    <w:rsid w:val="008D6C26"/>
    <w:rsid w:val="008D6CD7"/>
    <w:rsid w:val="008D6CDE"/>
    <w:rsid w:val="008D6D20"/>
    <w:rsid w:val="008D6D76"/>
    <w:rsid w:val="008D6D95"/>
    <w:rsid w:val="008D6E5E"/>
    <w:rsid w:val="008D7093"/>
    <w:rsid w:val="008D70AF"/>
    <w:rsid w:val="008D710A"/>
    <w:rsid w:val="008D713E"/>
    <w:rsid w:val="008D715A"/>
    <w:rsid w:val="008D724D"/>
    <w:rsid w:val="008D725E"/>
    <w:rsid w:val="008D747E"/>
    <w:rsid w:val="008D74BC"/>
    <w:rsid w:val="008D74E2"/>
    <w:rsid w:val="008D7588"/>
    <w:rsid w:val="008D75A0"/>
    <w:rsid w:val="008D75BC"/>
    <w:rsid w:val="008D766A"/>
    <w:rsid w:val="008D7689"/>
    <w:rsid w:val="008D76A5"/>
    <w:rsid w:val="008D7701"/>
    <w:rsid w:val="008D77AA"/>
    <w:rsid w:val="008D789C"/>
    <w:rsid w:val="008D78AA"/>
    <w:rsid w:val="008D78B8"/>
    <w:rsid w:val="008D798C"/>
    <w:rsid w:val="008D7A1C"/>
    <w:rsid w:val="008D7A2E"/>
    <w:rsid w:val="008D7A72"/>
    <w:rsid w:val="008D7AC4"/>
    <w:rsid w:val="008D7ADB"/>
    <w:rsid w:val="008D7B57"/>
    <w:rsid w:val="008D7C7C"/>
    <w:rsid w:val="008D7C9A"/>
    <w:rsid w:val="008D7D18"/>
    <w:rsid w:val="008D7D73"/>
    <w:rsid w:val="008D7E97"/>
    <w:rsid w:val="008D7E9C"/>
    <w:rsid w:val="008D7F87"/>
    <w:rsid w:val="008E00DF"/>
    <w:rsid w:val="008E0154"/>
    <w:rsid w:val="008E017D"/>
    <w:rsid w:val="008E0253"/>
    <w:rsid w:val="008E0271"/>
    <w:rsid w:val="008E0347"/>
    <w:rsid w:val="008E0405"/>
    <w:rsid w:val="008E0443"/>
    <w:rsid w:val="008E0487"/>
    <w:rsid w:val="008E0600"/>
    <w:rsid w:val="008E0677"/>
    <w:rsid w:val="008E06B9"/>
    <w:rsid w:val="008E092B"/>
    <w:rsid w:val="008E0963"/>
    <w:rsid w:val="008E096F"/>
    <w:rsid w:val="008E0B2D"/>
    <w:rsid w:val="008E0B64"/>
    <w:rsid w:val="008E0B92"/>
    <w:rsid w:val="008E0C26"/>
    <w:rsid w:val="008E0C48"/>
    <w:rsid w:val="008E0C98"/>
    <w:rsid w:val="008E0CC6"/>
    <w:rsid w:val="008E0CD4"/>
    <w:rsid w:val="008E0D44"/>
    <w:rsid w:val="008E0D95"/>
    <w:rsid w:val="008E0DDB"/>
    <w:rsid w:val="008E0E83"/>
    <w:rsid w:val="008E0FE3"/>
    <w:rsid w:val="008E1045"/>
    <w:rsid w:val="008E109A"/>
    <w:rsid w:val="008E10C1"/>
    <w:rsid w:val="008E11E4"/>
    <w:rsid w:val="008E1225"/>
    <w:rsid w:val="008E128E"/>
    <w:rsid w:val="008E1346"/>
    <w:rsid w:val="008E1431"/>
    <w:rsid w:val="008E1503"/>
    <w:rsid w:val="008E1597"/>
    <w:rsid w:val="008E1672"/>
    <w:rsid w:val="008E16E2"/>
    <w:rsid w:val="008E1775"/>
    <w:rsid w:val="008E1806"/>
    <w:rsid w:val="008E19B6"/>
    <w:rsid w:val="008E1AB6"/>
    <w:rsid w:val="008E1C00"/>
    <w:rsid w:val="008E1C6C"/>
    <w:rsid w:val="008E1D2C"/>
    <w:rsid w:val="008E1E1C"/>
    <w:rsid w:val="008E1E52"/>
    <w:rsid w:val="008E1E7C"/>
    <w:rsid w:val="008E1FA1"/>
    <w:rsid w:val="008E1FD6"/>
    <w:rsid w:val="008E1FF4"/>
    <w:rsid w:val="008E20AE"/>
    <w:rsid w:val="008E215C"/>
    <w:rsid w:val="008E2196"/>
    <w:rsid w:val="008E21D5"/>
    <w:rsid w:val="008E21E5"/>
    <w:rsid w:val="008E233E"/>
    <w:rsid w:val="008E2450"/>
    <w:rsid w:val="008E249E"/>
    <w:rsid w:val="008E2547"/>
    <w:rsid w:val="008E2585"/>
    <w:rsid w:val="008E25D5"/>
    <w:rsid w:val="008E279A"/>
    <w:rsid w:val="008E28B8"/>
    <w:rsid w:val="008E296C"/>
    <w:rsid w:val="008E2970"/>
    <w:rsid w:val="008E2993"/>
    <w:rsid w:val="008E2D1F"/>
    <w:rsid w:val="008E2D6A"/>
    <w:rsid w:val="008E2DA4"/>
    <w:rsid w:val="008E2DB0"/>
    <w:rsid w:val="008E2F45"/>
    <w:rsid w:val="008E2F48"/>
    <w:rsid w:val="008E2FC2"/>
    <w:rsid w:val="008E30D5"/>
    <w:rsid w:val="008E312F"/>
    <w:rsid w:val="008E315C"/>
    <w:rsid w:val="008E31D7"/>
    <w:rsid w:val="008E328E"/>
    <w:rsid w:val="008E33D3"/>
    <w:rsid w:val="008E349F"/>
    <w:rsid w:val="008E34FD"/>
    <w:rsid w:val="008E3522"/>
    <w:rsid w:val="008E358A"/>
    <w:rsid w:val="008E358E"/>
    <w:rsid w:val="008E3606"/>
    <w:rsid w:val="008E3658"/>
    <w:rsid w:val="008E378A"/>
    <w:rsid w:val="008E37BE"/>
    <w:rsid w:val="008E3821"/>
    <w:rsid w:val="008E3823"/>
    <w:rsid w:val="008E389B"/>
    <w:rsid w:val="008E390F"/>
    <w:rsid w:val="008E392B"/>
    <w:rsid w:val="008E394E"/>
    <w:rsid w:val="008E3992"/>
    <w:rsid w:val="008E3A70"/>
    <w:rsid w:val="008E3A99"/>
    <w:rsid w:val="008E3F03"/>
    <w:rsid w:val="008E3F4C"/>
    <w:rsid w:val="008E3F8E"/>
    <w:rsid w:val="008E4027"/>
    <w:rsid w:val="008E404B"/>
    <w:rsid w:val="008E40E9"/>
    <w:rsid w:val="008E4182"/>
    <w:rsid w:val="008E41A2"/>
    <w:rsid w:val="008E41C4"/>
    <w:rsid w:val="008E41EC"/>
    <w:rsid w:val="008E41F8"/>
    <w:rsid w:val="008E4201"/>
    <w:rsid w:val="008E4419"/>
    <w:rsid w:val="008E442B"/>
    <w:rsid w:val="008E44F9"/>
    <w:rsid w:val="008E4584"/>
    <w:rsid w:val="008E4586"/>
    <w:rsid w:val="008E4624"/>
    <w:rsid w:val="008E4667"/>
    <w:rsid w:val="008E467D"/>
    <w:rsid w:val="008E46DC"/>
    <w:rsid w:val="008E4829"/>
    <w:rsid w:val="008E48E7"/>
    <w:rsid w:val="008E4969"/>
    <w:rsid w:val="008E4988"/>
    <w:rsid w:val="008E4A02"/>
    <w:rsid w:val="008E4A2D"/>
    <w:rsid w:val="008E4B7C"/>
    <w:rsid w:val="008E4E54"/>
    <w:rsid w:val="008E4EF5"/>
    <w:rsid w:val="008E4FA6"/>
    <w:rsid w:val="008E4FF3"/>
    <w:rsid w:val="008E5192"/>
    <w:rsid w:val="008E51F8"/>
    <w:rsid w:val="008E5238"/>
    <w:rsid w:val="008E52A5"/>
    <w:rsid w:val="008E52FE"/>
    <w:rsid w:val="008E53CD"/>
    <w:rsid w:val="008E54A7"/>
    <w:rsid w:val="008E54F5"/>
    <w:rsid w:val="008E55E6"/>
    <w:rsid w:val="008E567F"/>
    <w:rsid w:val="008E569F"/>
    <w:rsid w:val="008E56D5"/>
    <w:rsid w:val="008E5771"/>
    <w:rsid w:val="008E57C5"/>
    <w:rsid w:val="008E587F"/>
    <w:rsid w:val="008E58D4"/>
    <w:rsid w:val="008E5939"/>
    <w:rsid w:val="008E5952"/>
    <w:rsid w:val="008E5AB8"/>
    <w:rsid w:val="008E5B0D"/>
    <w:rsid w:val="008E5B43"/>
    <w:rsid w:val="008E5BE8"/>
    <w:rsid w:val="008E5C5D"/>
    <w:rsid w:val="008E5D18"/>
    <w:rsid w:val="008E5E51"/>
    <w:rsid w:val="008E5E7F"/>
    <w:rsid w:val="008E5E96"/>
    <w:rsid w:val="008E5ED9"/>
    <w:rsid w:val="008E5F18"/>
    <w:rsid w:val="008E5F34"/>
    <w:rsid w:val="008E5F92"/>
    <w:rsid w:val="008E5FBE"/>
    <w:rsid w:val="008E60C3"/>
    <w:rsid w:val="008E62C7"/>
    <w:rsid w:val="008E62EC"/>
    <w:rsid w:val="008E6350"/>
    <w:rsid w:val="008E6362"/>
    <w:rsid w:val="008E6387"/>
    <w:rsid w:val="008E6469"/>
    <w:rsid w:val="008E677E"/>
    <w:rsid w:val="008E67A5"/>
    <w:rsid w:val="008E67C8"/>
    <w:rsid w:val="008E69DB"/>
    <w:rsid w:val="008E6A58"/>
    <w:rsid w:val="008E6AAC"/>
    <w:rsid w:val="008E6BCC"/>
    <w:rsid w:val="008E6C83"/>
    <w:rsid w:val="008E6CA6"/>
    <w:rsid w:val="008E6CCC"/>
    <w:rsid w:val="008E6E09"/>
    <w:rsid w:val="008E6E44"/>
    <w:rsid w:val="008E6E95"/>
    <w:rsid w:val="008E6FB8"/>
    <w:rsid w:val="008E70E4"/>
    <w:rsid w:val="008E7149"/>
    <w:rsid w:val="008E7151"/>
    <w:rsid w:val="008E715E"/>
    <w:rsid w:val="008E71F0"/>
    <w:rsid w:val="008E720A"/>
    <w:rsid w:val="008E7233"/>
    <w:rsid w:val="008E72A4"/>
    <w:rsid w:val="008E72CE"/>
    <w:rsid w:val="008E731E"/>
    <w:rsid w:val="008E7342"/>
    <w:rsid w:val="008E7355"/>
    <w:rsid w:val="008E73AA"/>
    <w:rsid w:val="008E749C"/>
    <w:rsid w:val="008E74E8"/>
    <w:rsid w:val="008E757F"/>
    <w:rsid w:val="008E7625"/>
    <w:rsid w:val="008E7665"/>
    <w:rsid w:val="008E7669"/>
    <w:rsid w:val="008E77BB"/>
    <w:rsid w:val="008E7941"/>
    <w:rsid w:val="008E79D4"/>
    <w:rsid w:val="008E7AEC"/>
    <w:rsid w:val="008E7B74"/>
    <w:rsid w:val="008E7BC0"/>
    <w:rsid w:val="008E7BF9"/>
    <w:rsid w:val="008E7C4F"/>
    <w:rsid w:val="008E7CBB"/>
    <w:rsid w:val="008E7CC7"/>
    <w:rsid w:val="008E7D01"/>
    <w:rsid w:val="008E7D11"/>
    <w:rsid w:val="008E7D6A"/>
    <w:rsid w:val="008E7DBE"/>
    <w:rsid w:val="008E7DCA"/>
    <w:rsid w:val="008E7DCE"/>
    <w:rsid w:val="008E7E28"/>
    <w:rsid w:val="008E7E4E"/>
    <w:rsid w:val="008E7ED3"/>
    <w:rsid w:val="008E7F55"/>
    <w:rsid w:val="008E7FEA"/>
    <w:rsid w:val="008F0012"/>
    <w:rsid w:val="008F003F"/>
    <w:rsid w:val="008F0041"/>
    <w:rsid w:val="008F014D"/>
    <w:rsid w:val="008F04D6"/>
    <w:rsid w:val="008F054A"/>
    <w:rsid w:val="008F0550"/>
    <w:rsid w:val="008F06D6"/>
    <w:rsid w:val="008F097B"/>
    <w:rsid w:val="008F09AA"/>
    <w:rsid w:val="008F09AD"/>
    <w:rsid w:val="008F09AE"/>
    <w:rsid w:val="008F09DC"/>
    <w:rsid w:val="008F0A05"/>
    <w:rsid w:val="008F0A16"/>
    <w:rsid w:val="008F0A41"/>
    <w:rsid w:val="008F0B80"/>
    <w:rsid w:val="008F0DC2"/>
    <w:rsid w:val="008F0E16"/>
    <w:rsid w:val="008F0E98"/>
    <w:rsid w:val="008F0F40"/>
    <w:rsid w:val="008F0F4C"/>
    <w:rsid w:val="008F0FDC"/>
    <w:rsid w:val="008F1023"/>
    <w:rsid w:val="008F1078"/>
    <w:rsid w:val="008F10BB"/>
    <w:rsid w:val="008F10BD"/>
    <w:rsid w:val="008F1222"/>
    <w:rsid w:val="008F1236"/>
    <w:rsid w:val="008F12F6"/>
    <w:rsid w:val="008F1305"/>
    <w:rsid w:val="008F13A4"/>
    <w:rsid w:val="008F1403"/>
    <w:rsid w:val="008F141A"/>
    <w:rsid w:val="008F14F4"/>
    <w:rsid w:val="008F14FD"/>
    <w:rsid w:val="008F14FF"/>
    <w:rsid w:val="008F1545"/>
    <w:rsid w:val="008F159F"/>
    <w:rsid w:val="008F1671"/>
    <w:rsid w:val="008F170B"/>
    <w:rsid w:val="008F17D9"/>
    <w:rsid w:val="008F191A"/>
    <w:rsid w:val="008F1983"/>
    <w:rsid w:val="008F19DD"/>
    <w:rsid w:val="008F19FB"/>
    <w:rsid w:val="008F1A64"/>
    <w:rsid w:val="008F1AB4"/>
    <w:rsid w:val="008F1B6C"/>
    <w:rsid w:val="008F1BA3"/>
    <w:rsid w:val="008F1BA8"/>
    <w:rsid w:val="008F1C4C"/>
    <w:rsid w:val="008F1C97"/>
    <w:rsid w:val="008F1D2B"/>
    <w:rsid w:val="008F1D74"/>
    <w:rsid w:val="008F1DFD"/>
    <w:rsid w:val="008F1E68"/>
    <w:rsid w:val="008F1E6E"/>
    <w:rsid w:val="008F1F43"/>
    <w:rsid w:val="008F1F75"/>
    <w:rsid w:val="008F1FA8"/>
    <w:rsid w:val="008F2039"/>
    <w:rsid w:val="008F205D"/>
    <w:rsid w:val="008F206F"/>
    <w:rsid w:val="008F2086"/>
    <w:rsid w:val="008F226D"/>
    <w:rsid w:val="008F2270"/>
    <w:rsid w:val="008F22F8"/>
    <w:rsid w:val="008F230D"/>
    <w:rsid w:val="008F2494"/>
    <w:rsid w:val="008F24B5"/>
    <w:rsid w:val="008F251C"/>
    <w:rsid w:val="008F2544"/>
    <w:rsid w:val="008F25F4"/>
    <w:rsid w:val="008F268F"/>
    <w:rsid w:val="008F26E3"/>
    <w:rsid w:val="008F26FE"/>
    <w:rsid w:val="008F276A"/>
    <w:rsid w:val="008F2794"/>
    <w:rsid w:val="008F27B4"/>
    <w:rsid w:val="008F28D5"/>
    <w:rsid w:val="008F29C7"/>
    <w:rsid w:val="008F29E3"/>
    <w:rsid w:val="008F2A18"/>
    <w:rsid w:val="008F2AFB"/>
    <w:rsid w:val="008F2B5B"/>
    <w:rsid w:val="008F2BE8"/>
    <w:rsid w:val="008F2C2D"/>
    <w:rsid w:val="008F2C5F"/>
    <w:rsid w:val="008F2D08"/>
    <w:rsid w:val="008F2DF2"/>
    <w:rsid w:val="008F2E03"/>
    <w:rsid w:val="008F2E05"/>
    <w:rsid w:val="008F2FA1"/>
    <w:rsid w:val="008F3052"/>
    <w:rsid w:val="008F31FE"/>
    <w:rsid w:val="008F322F"/>
    <w:rsid w:val="008F3261"/>
    <w:rsid w:val="008F32BA"/>
    <w:rsid w:val="008F3307"/>
    <w:rsid w:val="008F3348"/>
    <w:rsid w:val="008F34C0"/>
    <w:rsid w:val="008F356D"/>
    <w:rsid w:val="008F3627"/>
    <w:rsid w:val="008F3645"/>
    <w:rsid w:val="008F364D"/>
    <w:rsid w:val="008F387A"/>
    <w:rsid w:val="008F388A"/>
    <w:rsid w:val="008F3905"/>
    <w:rsid w:val="008F3964"/>
    <w:rsid w:val="008F3996"/>
    <w:rsid w:val="008F39EA"/>
    <w:rsid w:val="008F3BB1"/>
    <w:rsid w:val="008F3C57"/>
    <w:rsid w:val="008F3DC8"/>
    <w:rsid w:val="008F3E07"/>
    <w:rsid w:val="008F3FAD"/>
    <w:rsid w:val="008F40FE"/>
    <w:rsid w:val="008F410D"/>
    <w:rsid w:val="008F4116"/>
    <w:rsid w:val="008F4235"/>
    <w:rsid w:val="008F42C5"/>
    <w:rsid w:val="008F432B"/>
    <w:rsid w:val="008F4449"/>
    <w:rsid w:val="008F45AB"/>
    <w:rsid w:val="008F4602"/>
    <w:rsid w:val="008F466B"/>
    <w:rsid w:val="008F4677"/>
    <w:rsid w:val="008F4682"/>
    <w:rsid w:val="008F491B"/>
    <w:rsid w:val="008F492C"/>
    <w:rsid w:val="008F4AAE"/>
    <w:rsid w:val="008F4C1F"/>
    <w:rsid w:val="008F4DB9"/>
    <w:rsid w:val="008F4DC6"/>
    <w:rsid w:val="008F4E78"/>
    <w:rsid w:val="008F5008"/>
    <w:rsid w:val="008F5049"/>
    <w:rsid w:val="008F50FF"/>
    <w:rsid w:val="008F526D"/>
    <w:rsid w:val="008F529D"/>
    <w:rsid w:val="008F5372"/>
    <w:rsid w:val="008F53E6"/>
    <w:rsid w:val="008F548C"/>
    <w:rsid w:val="008F549C"/>
    <w:rsid w:val="008F557E"/>
    <w:rsid w:val="008F55E2"/>
    <w:rsid w:val="008F562B"/>
    <w:rsid w:val="008F576D"/>
    <w:rsid w:val="008F57AC"/>
    <w:rsid w:val="008F57AE"/>
    <w:rsid w:val="008F57FC"/>
    <w:rsid w:val="008F58F4"/>
    <w:rsid w:val="008F597B"/>
    <w:rsid w:val="008F5981"/>
    <w:rsid w:val="008F5AA2"/>
    <w:rsid w:val="008F5BE0"/>
    <w:rsid w:val="008F5C37"/>
    <w:rsid w:val="008F5CBC"/>
    <w:rsid w:val="008F5D2C"/>
    <w:rsid w:val="008F5D55"/>
    <w:rsid w:val="008F5D76"/>
    <w:rsid w:val="008F5D7B"/>
    <w:rsid w:val="008F5E5C"/>
    <w:rsid w:val="008F5EE4"/>
    <w:rsid w:val="008F5F50"/>
    <w:rsid w:val="008F5F7A"/>
    <w:rsid w:val="008F5FEA"/>
    <w:rsid w:val="008F6038"/>
    <w:rsid w:val="008F603D"/>
    <w:rsid w:val="008F6297"/>
    <w:rsid w:val="008F6313"/>
    <w:rsid w:val="008F63C2"/>
    <w:rsid w:val="008F63CC"/>
    <w:rsid w:val="008F640B"/>
    <w:rsid w:val="008F6418"/>
    <w:rsid w:val="008F645A"/>
    <w:rsid w:val="008F6473"/>
    <w:rsid w:val="008F6557"/>
    <w:rsid w:val="008F663A"/>
    <w:rsid w:val="008F66CE"/>
    <w:rsid w:val="008F670F"/>
    <w:rsid w:val="008F6727"/>
    <w:rsid w:val="008F6734"/>
    <w:rsid w:val="008F674A"/>
    <w:rsid w:val="008F6750"/>
    <w:rsid w:val="008F6794"/>
    <w:rsid w:val="008F6807"/>
    <w:rsid w:val="008F68DA"/>
    <w:rsid w:val="008F68E1"/>
    <w:rsid w:val="008F6A6D"/>
    <w:rsid w:val="008F6AAF"/>
    <w:rsid w:val="008F6ABF"/>
    <w:rsid w:val="008F6AEF"/>
    <w:rsid w:val="008F6AFB"/>
    <w:rsid w:val="008F6B01"/>
    <w:rsid w:val="008F6B11"/>
    <w:rsid w:val="008F6C43"/>
    <w:rsid w:val="008F6C61"/>
    <w:rsid w:val="008F6D68"/>
    <w:rsid w:val="008F6FAC"/>
    <w:rsid w:val="008F7028"/>
    <w:rsid w:val="008F7069"/>
    <w:rsid w:val="008F710E"/>
    <w:rsid w:val="008F71E6"/>
    <w:rsid w:val="008F7210"/>
    <w:rsid w:val="008F72A2"/>
    <w:rsid w:val="008F732D"/>
    <w:rsid w:val="008F73DE"/>
    <w:rsid w:val="008F7404"/>
    <w:rsid w:val="008F7472"/>
    <w:rsid w:val="008F74B4"/>
    <w:rsid w:val="008F74F3"/>
    <w:rsid w:val="008F7548"/>
    <w:rsid w:val="008F7566"/>
    <w:rsid w:val="008F75AA"/>
    <w:rsid w:val="008F769A"/>
    <w:rsid w:val="008F76AE"/>
    <w:rsid w:val="008F76B5"/>
    <w:rsid w:val="008F76F5"/>
    <w:rsid w:val="008F776A"/>
    <w:rsid w:val="008F781A"/>
    <w:rsid w:val="008F788A"/>
    <w:rsid w:val="008F7929"/>
    <w:rsid w:val="008F792F"/>
    <w:rsid w:val="008F7A24"/>
    <w:rsid w:val="008F7AFD"/>
    <w:rsid w:val="008F7B6B"/>
    <w:rsid w:val="008F7BA9"/>
    <w:rsid w:val="008F7BFC"/>
    <w:rsid w:val="008F7CAE"/>
    <w:rsid w:val="008F7CF9"/>
    <w:rsid w:val="008F7D0A"/>
    <w:rsid w:val="008F7E46"/>
    <w:rsid w:val="008F7F40"/>
    <w:rsid w:val="009000A7"/>
    <w:rsid w:val="009002BF"/>
    <w:rsid w:val="009003E6"/>
    <w:rsid w:val="00900415"/>
    <w:rsid w:val="0090042A"/>
    <w:rsid w:val="00900477"/>
    <w:rsid w:val="009004E9"/>
    <w:rsid w:val="00900533"/>
    <w:rsid w:val="00900558"/>
    <w:rsid w:val="0090066E"/>
    <w:rsid w:val="009006AA"/>
    <w:rsid w:val="009006F9"/>
    <w:rsid w:val="0090072F"/>
    <w:rsid w:val="00900795"/>
    <w:rsid w:val="009007AD"/>
    <w:rsid w:val="00900834"/>
    <w:rsid w:val="0090084A"/>
    <w:rsid w:val="009009FF"/>
    <w:rsid w:val="00900B7A"/>
    <w:rsid w:val="00900BA5"/>
    <w:rsid w:val="00900C80"/>
    <w:rsid w:val="00900CB1"/>
    <w:rsid w:val="00900D10"/>
    <w:rsid w:val="00900D38"/>
    <w:rsid w:val="00900E64"/>
    <w:rsid w:val="00900EC2"/>
    <w:rsid w:val="00900EDA"/>
    <w:rsid w:val="00900FE1"/>
    <w:rsid w:val="00901022"/>
    <w:rsid w:val="00901083"/>
    <w:rsid w:val="00901218"/>
    <w:rsid w:val="0090122D"/>
    <w:rsid w:val="009012B9"/>
    <w:rsid w:val="009012D1"/>
    <w:rsid w:val="00901333"/>
    <w:rsid w:val="00901365"/>
    <w:rsid w:val="009013B3"/>
    <w:rsid w:val="00901420"/>
    <w:rsid w:val="00901439"/>
    <w:rsid w:val="00901471"/>
    <w:rsid w:val="009014B6"/>
    <w:rsid w:val="00901590"/>
    <w:rsid w:val="00901596"/>
    <w:rsid w:val="00901643"/>
    <w:rsid w:val="0090165B"/>
    <w:rsid w:val="009016A5"/>
    <w:rsid w:val="009016AA"/>
    <w:rsid w:val="00901714"/>
    <w:rsid w:val="00901744"/>
    <w:rsid w:val="00901906"/>
    <w:rsid w:val="00901A45"/>
    <w:rsid w:val="00901AD0"/>
    <w:rsid w:val="00901AFD"/>
    <w:rsid w:val="00901B07"/>
    <w:rsid w:val="00901B11"/>
    <w:rsid w:val="00901B86"/>
    <w:rsid w:val="00901D1A"/>
    <w:rsid w:val="00901D97"/>
    <w:rsid w:val="00901DC6"/>
    <w:rsid w:val="00901DF2"/>
    <w:rsid w:val="00901E55"/>
    <w:rsid w:val="00901E91"/>
    <w:rsid w:val="00901E97"/>
    <w:rsid w:val="00901EC7"/>
    <w:rsid w:val="00901FAD"/>
    <w:rsid w:val="00901FEE"/>
    <w:rsid w:val="009020A4"/>
    <w:rsid w:val="0090211E"/>
    <w:rsid w:val="0090228F"/>
    <w:rsid w:val="0090231B"/>
    <w:rsid w:val="009023E2"/>
    <w:rsid w:val="00902432"/>
    <w:rsid w:val="009024C6"/>
    <w:rsid w:val="0090251B"/>
    <w:rsid w:val="00902526"/>
    <w:rsid w:val="009025C8"/>
    <w:rsid w:val="00902657"/>
    <w:rsid w:val="009026DA"/>
    <w:rsid w:val="009026F9"/>
    <w:rsid w:val="00902891"/>
    <w:rsid w:val="00902939"/>
    <w:rsid w:val="0090297B"/>
    <w:rsid w:val="00902A03"/>
    <w:rsid w:val="00902AF7"/>
    <w:rsid w:val="00902C23"/>
    <w:rsid w:val="00902CAD"/>
    <w:rsid w:val="00902CB7"/>
    <w:rsid w:val="00902D3F"/>
    <w:rsid w:val="00902D86"/>
    <w:rsid w:val="00902DD6"/>
    <w:rsid w:val="00902DD7"/>
    <w:rsid w:val="00902DF7"/>
    <w:rsid w:val="00902E17"/>
    <w:rsid w:val="00902E6E"/>
    <w:rsid w:val="00902E70"/>
    <w:rsid w:val="00902E80"/>
    <w:rsid w:val="00902EA6"/>
    <w:rsid w:val="00902F2B"/>
    <w:rsid w:val="00902F5E"/>
    <w:rsid w:val="00902FF4"/>
    <w:rsid w:val="0090300F"/>
    <w:rsid w:val="0090302E"/>
    <w:rsid w:val="00903104"/>
    <w:rsid w:val="009031B7"/>
    <w:rsid w:val="009031C5"/>
    <w:rsid w:val="009031F3"/>
    <w:rsid w:val="009031F5"/>
    <w:rsid w:val="0090361A"/>
    <w:rsid w:val="0090373F"/>
    <w:rsid w:val="00903743"/>
    <w:rsid w:val="009038AB"/>
    <w:rsid w:val="009038C4"/>
    <w:rsid w:val="009038EC"/>
    <w:rsid w:val="00903959"/>
    <w:rsid w:val="00903995"/>
    <w:rsid w:val="00903A2C"/>
    <w:rsid w:val="00903AA0"/>
    <w:rsid w:val="00903ABD"/>
    <w:rsid w:val="00903AD8"/>
    <w:rsid w:val="00903B03"/>
    <w:rsid w:val="00903B77"/>
    <w:rsid w:val="00903BB5"/>
    <w:rsid w:val="00903BE3"/>
    <w:rsid w:val="00903C63"/>
    <w:rsid w:val="00903C75"/>
    <w:rsid w:val="00903E19"/>
    <w:rsid w:val="00903EA8"/>
    <w:rsid w:val="00903ED4"/>
    <w:rsid w:val="00903F74"/>
    <w:rsid w:val="0090401C"/>
    <w:rsid w:val="00904110"/>
    <w:rsid w:val="00904141"/>
    <w:rsid w:val="0090416D"/>
    <w:rsid w:val="00904186"/>
    <w:rsid w:val="00904208"/>
    <w:rsid w:val="00904219"/>
    <w:rsid w:val="009043F5"/>
    <w:rsid w:val="00904407"/>
    <w:rsid w:val="00904450"/>
    <w:rsid w:val="009044A5"/>
    <w:rsid w:val="009044ED"/>
    <w:rsid w:val="00904516"/>
    <w:rsid w:val="00904529"/>
    <w:rsid w:val="0090458F"/>
    <w:rsid w:val="00904598"/>
    <w:rsid w:val="009045F9"/>
    <w:rsid w:val="00904615"/>
    <w:rsid w:val="009046FB"/>
    <w:rsid w:val="009047A7"/>
    <w:rsid w:val="00904946"/>
    <w:rsid w:val="009049DE"/>
    <w:rsid w:val="00904B2C"/>
    <w:rsid w:val="00904B46"/>
    <w:rsid w:val="00904CCF"/>
    <w:rsid w:val="00904CD6"/>
    <w:rsid w:val="00904D22"/>
    <w:rsid w:val="00904D46"/>
    <w:rsid w:val="00904DE4"/>
    <w:rsid w:val="00904FDA"/>
    <w:rsid w:val="009050BD"/>
    <w:rsid w:val="009050EC"/>
    <w:rsid w:val="00905151"/>
    <w:rsid w:val="0090530D"/>
    <w:rsid w:val="00905361"/>
    <w:rsid w:val="009053FB"/>
    <w:rsid w:val="009055D3"/>
    <w:rsid w:val="00905636"/>
    <w:rsid w:val="0090570C"/>
    <w:rsid w:val="0090572E"/>
    <w:rsid w:val="0090575B"/>
    <w:rsid w:val="00905892"/>
    <w:rsid w:val="00905931"/>
    <w:rsid w:val="00905AE1"/>
    <w:rsid w:val="00905B12"/>
    <w:rsid w:val="00905B39"/>
    <w:rsid w:val="00905B90"/>
    <w:rsid w:val="00905BB1"/>
    <w:rsid w:val="00905BF0"/>
    <w:rsid w:val="00905CE9"/>
    <w:rsid w:val="00905DA9"/>
    <w:rsid w:val="00905DCA"/>
    <w:rsid w:val="00905DE3"/>
    <w:rsid w:val="00905EC1"/>
    <w:rsid w:val="00905ECF"/>
    <w:rsid w:val="00905F10"/>
    <w:rsid w:val="00905FE2"/>
    <w:rsid w:val="0090601B"/>
    <w:rsid w:val="0090603D"/>
    <w:rsid w:val="00906060"/>
    <w:rsid w:val="009060F3"/>
    <w:rsid w:val="009061FC"/>
    <w:rsid w:val="0090625F"/>
    <w:rsid w:val="0090629C"/>
    <w:rsid w:val="009062AA"/>
    <w:rsid w:val="0090644C"/>
    <w:rsid w:val="0090646C"/>
    <w:rsid w:val="0090647C"/>
    <w:rsid w:val="009065D1"/>
    <w:rsid w:val="0090660A"/>
    <w:rsid w:val="00906640"/>
    <w:rsid w:val="009066B6"/>
    <w:rsid w:val="00906702"/>
    <w:rsid w:val="00906739"/>
    <w:rsid w:val="00906860"/>
    <w:rsid w:val="009068AD"/>
    <w:rsid w:val="009068C6"/>
    <w:rsid w:val="0090693D"/>
    <w:rsid w:val="00906985"/>
    <w:rsid w:val="009069CF"/>
    <w:rsid w:val="00906A21"/>
    <w:rsid w:val="00906A22"/>
    <w:rsid w:val="00906A6D"/>
    <w:rsid w:val="00906A76"/>
    <w:rsid w:val="00906B60"/>
    <w:rsid w:val="00906BAB"/>
    <w:rsid w:val="00906BC9"/>
    <w:rsid w:val="00906BF7"/>
    <w:rsid w:val="00906CBC"/>
    <w:rsid w:val="00906DF4"/>
    <w:rsid w:val="00906E84"/>
    <w:rsid w:val="00906EC7"/>
    <w:rsid w:val="00906FB0"/>
    <w:rsid w:val="0090703F"/>
    <w:rsid w:val="00907055"/>
    <w:rsid w:val="00907068"/>
    <w:rsid w:val="00907341"/>
    <w:rsid w:val="0090747A"/>
    <w:rsid w:val="009074B1"/>
    <w:rsid w:val="0090750A"/>
    <w:rsid w:val="00907542"/>
    <w:rsid w:val="00907586"/>
    <w:rsid w:val="00907600"/>
    <w:rsid w:val="0090762E"/>
    <w:rsid w:val="009077FF"/>
    <w:rsid w:val="00907808"/>
    <w:rsid w:val="009078B9"/>
    <w:rsid w:val="009078EB"/>
    <w:rsid w:val="00907909"/>
    <w:rsid w:val="009079AC"/>
    <w:rsid w:val="009079BD"/>
    <w:rsid w:val="00907A31"/>
    <w:rsid w:val="00907B76"/>
    <w:rsid w:val="00907C3C"/>
    <w:rsid w:val="00907C75"/>
    <w:rsid w:val="00907CA2"/>
    <w:rsid w:val="00907CB7"/>
    <w:rsid w:val="00907E2B"/>
    <w:rsid w:val="00907E74"/>
    <w:rsid w:val="00910049"/>
    <w:rsid w:val="00910212"/>
    <w:rsid w:val="009102C9"/>
    <w:rsid w:val="00910349"/>
    <w:rsid w:val="009103A7"/>
    <w:rsid w:val="009103C9"/>
    <w:rsid w:val="00910417"/>
    <w:rsid w:val="00910431"/>
    <w:rsid w:val="009104AE"/>
    <w:rsid w:val="00910544"/>
    <w:rsid w:val="0091060E"/>
    <w:rsid w:val="00910641"/>
    <w:rsid w:val="00910782"/>
    <w:rsid w:val="00910887"/>
    <w:rsid w:val="00910997"/>
    <w:rsid w:val="009109F0"/>
    <w:rsid w:val="00910A47"/>
    <w:rsid w:val="00910A59"/>
    <w:rsid w:val="00910AE4"/>
    <w:rsid w:val="00910B2C"/>
    <w:rsid w:val="00910BF9"/>
    <w:rsid w:val="00910C0D"/>
    <w:rsid w:val="00910C21"/>
    <w:rsid w:val="00910C35"/>
    <w:rsid w:val="00910C74"/>
    <w:rsid w:val="00910D34"/>
    <w:rsid w:val="00910DAC"/>
    <w:rsid w:val="00910E02"/>
    <w:rsid w:val="00910E71"/>
    <w:rsid w:val="00911006"/>
    <w:rsid w:val="00911007"/>
    <w:rsid w:val="00911044"/>
    <w:rsid w:val="0091104F"/>
    <w:rsid w:val="0091113D"/>
    <w:rsid w:val="009111CF"/>
    <w:rsid w:val="00911223"/>
    <w:rsid w:val="0091132D"/>
    <w:rsid w:val="009113B8"/>
    <w:rsid w:val="00911453"/>
    <w:rsid w:val="0091157C"/>
    <w:rsid w:val="0091159D"/>
    <w:rsid w:val="00911660"/>
    <w:rsid w:val="009116DA"/>
    <w:rsid w:val="00911761"/>
    <w:rsid w:val="009117DD"/>
    <w:rsid w:val="0091185C"/>
    <w:rsid w:val="0091196B"/>
    <w:rsid w:val="00911CCC"/>
    <w:rsid w:val="00911D9F"/>
    <w:rsid w:val="00911EC6"/>
    <w:rsid w:val="00911F12"/>
    <w:rsid w:val="00911F42"/>
    <w:rsid w:val="00911F4C"/>
    <w:rsid w:val="00911FF8"/>
    <w:rsid w:val="009120BE"/>
    <w:rsid w:val="00912107"/>
    <w:rsid w:val="009121A6"/>
    <w:rsid w:val="0091223A"/>
    <w:rsid w:val="00912247"/>
    <w:rsid w:val="00912295"/>
    <w:rsid w:val="009122C8"/>
    <w:rsid w:val="00912337"/>
    <w:rsid w:val="0091236F"/>
    <w:rsid w:val="009123D5"/>
    <w:rsid w:val="009124D1"/>
    <w:rsid w:val="009125A3"/>
    <w:rsid w:val="00912745"/>
    <w:rsid w:val="0091276E"/>
    <w:rsid w:val="0091279B"/>
    <w:rsid w:val="009127E3"/>
    <w:rsid w:val="00912868"/>
    <w:rsid w:val="0091289C"/>
    <w:rsid w:val="009128A9"/>
    <w:rsid w:val="0091291E"/>
    <w:rsid w:val="0091292B"/>
    <w:rsid w:val="00912A86"/>
    <w:rsid w:val="00912AFB"/>
    <w:rsid w:val="00912B52"/>
    <w:rsid w:val="00912B74"/>
    <w:rsid w:val="00912C22"/>
    <w:rsid w:val="00912C47"/>
    <w:rsid w:val="00912C92"/>
    <w:rsid w:val="00912CA6"/>
    <w:rsid w:val="00912D2E"/>
    <w:rsid w:val="00912D35"/>
    <w:rsid w:val="00912DAF"/>
    <w:rsid w:val="00912E63"/>
    <w:rsid w:val="00912E8E"/>
    <w:rsid w:val="00912FEE"/>
    <w:rsid w:val="00912FF3"/>
    <w:rsid w:val="009130E2"/>
    <w:rsid w:val="0091310B"/>
    <w:rsid w:val="00913272"/>
    <w:rsid w:val="009132D8"/>
    <w:rsid w:val="00913377"/>
    <w:rsid w:val="009134C0"/>
    <w:rsid w:val="00913500"/>
    <w:rsid w:val="00913538"/>
    <w:rsid w:val="009135AF"/>
    <w:rsid w:val="009136CA"/>
    <w:rsid w:val="009137B7"/>
    <w:rsid w:val="0091382B"/>
    <w:rsid w:val="00913958"/>
    <w:rsid w:val="00913AA0"/>
    <w:rsid w:val="00913AC6"/>
    <w:rsid w:val="00913B08"/>
    <w:rsid w:val="00913B52"/>
    <w:rsid w:val="00913C29"/>
    <w:rsid w:val="00913C5A"/>
    <w:rsid w:val="00913DC4"/>
    <w:rsid w:val="00913E26"/>
    <w:rsid w:val="00913F91"/>
    <w:rsid w:val="00913FE5"/>
    <w:rsid w:val="009140B9"/>
    <w:rsid w:val="009140C2"/>
    <w:rsid w:val="00914174"/>
    <w:rsid w:val="00914187"/>
    <w:rsid w:val="009142D0"/>
    <w:rsid w:val="00914392"/>
    <w:rsid w:val="00914488"/>
    <w:rsid w:val="009144FF"/>
    <w:rsid w:val="0091457E"/>
    <w:rsid w:val="00914776"/>
    <w:rsid w:val="0091485D"/>
    <w:rsid w:val="009148ED"/>
    <w:rsid w:val="0091490E"/>
    <w:rsid w:val="0091491F"/>
    <w:rsid w:val="0091492B"/>
    <w:rsid w:val="0091498F"/>
    <w:rsid w:val="009149A3"/>
    <w:rsid w:val="009149D0"/>
    <w:rsid w:val="00914A04"/>
    <w:rsid w:val="00914A2D"/>
    <w:rsid w:val="00914AE6"/>
    <w:rsid w:val="00914BF1"/>
    <w:rsid w:val="00914C0D"/>
    <w:rsid w:val="00914C4D"/>
    <w:rsid w:val="00914CBF"/>
    <w:rsid w:val="00914DB4"/>
    <w:rsid w:val="00914FA1"/>
    <w:rsid w:val="00914FF1"/>
    <w:rsid w:val="009150C9"/>
    <w:rsid w:val="009150D2"/>
    <w:rsid w:val="009151E1"/>
    <w:rsid w:val="0091522F"/>
    <w:rsid w:val="0091523D"/>
    <w:rsid w:val="00915246"/>
    <w:rsid w:val="009152D4"/>
    <w:rsid w:val="00915320"/>
    <w:rsid w:val="00915348"/>
    <w:rsid w:val="0091548E"/>
    <w:rsid w:val="00915501"/>
    <w:rsid w:val="00915640"/>
    <w:rsid w:val="009156BC"/>
    <w:rsid w:val="009157EA"/>
    <w:rsid w:val="00915835"/>
    <w:rsid w:val="00915916"/>
    <w:rsid w:val="00915968"/>
    <w:rsid w:val="00915A7D"/>
    <w:rsid w:val="00915AEC"/>
    <w:rsid w:val="00915B3C"/>
    <w:rsid w:val="00915C02"/>
    <w:rsid w:val="00915C45"/>
    <w:rsid w:val="00915D3D"/>
    <w:rsid w:val="00915E73"/>
    <w:rsid w:val="00915EA9"/>
    <w:rsid w:val="00915EC6"/>
    <w:rsid w:val="00915EDA"/>
    <w:rsid w:val="00915F1A"/>
    <w:rsid w:val="00915F48"/>
    <w:rsid w:val="00915FF7"/>
    <w:rsid w:val="00916095"/>
    <w:rsid w:val="0091609A"/>
    <w:rsid w:val="00916143"/>
    <w:rsid w:val="00916233"/>
    <w:rsid w:val="009162B5"/>
    <w:rsid w:val="009162E3"/>
    <w:rsid w:val="009163CE"/>
    <w:rsid w:val="0091642E"/>
    <w:rsid w:val="0091650A"/>
    <w:rsid w:val="0091652F"/>
    <w:rsid w:val="00916548"/>
    <w:rsid w:val="00916619"/>
    <w:rsid w:val="00916757"/>
    <w:rsid w:val="009167DC"/>
    <w:rsid w:val="009168D0"/>
    <w:rsid w:val="00916918"/>
    <w:rsid w:val="00916929"/>
    <w:rsid w:val="00916998"/>
    <w:rsid w:val="00916AF9"/>
    <w:rsid w:val="00916BF2"/>
    <w:rsid w:val="00916C27"/>
    <w:rsid w:val="00916D62"/>
    <w:rsid w:val="00916D9B"/>
    <w:rsid w:val="00916DC2"/>
    <w:rsid w:val="00916EA0"/>
    <w:rsid w:val="00916F18"/>
    <w:rsid w:val="00917155"/>
    <w:rsid w:val="00917168"/>
    <w:rsid w:val="00917270"/>
    <w:rsid w:val="009172C5"/>
    <w:rsid w:val="00917319"/>
    <w:rsid w:val="00917324"/>
    <w:rsid w:val="009173CE"/>
    <w:rsid w:val="0091749F"/>
    <w:rsid w:val="0091751C"/>
    <w:rsid w:val="009175FD"/>
    <w:rsid w:val="00917676"/>
    <w:rsid w:val="00917681"/>
    <w:rsid w:val="00917710"/>
    <w:rsid w:val="0091771C"/>
    <w:rsid w:val="0091795E"/>
    <w:rsid w:val="00917A38"/>
    <w:rsid w:val="00917A55"/>
    <w:rsid w:val="00917B87"/>
    <w:rsid w:val="00917C06"/>
    <w:rsid w:val="00917C2A"/>
    <w:rsid w:val="00917CD8"/>
    <w:rsid w:val="00917E43"/>
    <w:rsid w:val="00917E6F"/>
    <w:rsid w:val="00917F14"/>
    <w:rsid w:val="00917F94"/>
    <w:rsid w:val="0092001C"/>
    <w:rsid w:val="009200AE"/>
    <w:rsid w:val="009200F6"/>
    <w:rsid w:val="00920173"/>
    <w:rsid w:val="0092021A"/>
    <w:rsid w:val="009202B3"/>
    <w:rsid w:val="00920328"/>
    <w:rsid w:val="00920370"/>
    <w:rsid w:val="009203DF"/>
    <w:rsid w:val="0092044C"/>
    <w:rsid w:val="00920485"/>
    <w:rsid w:val="009205E5"/>
    <w:rsid w:val="009205F5"/>
    <w:rsid w:val="00920654"/>
    <w:rsid w:val="00920722"/>
    <w:rsid w:val="00920747"/>
    <w:rsid w:val="0092074F"/>
    <w:rsid w:val="00920879"/>
    <w:rsid w:val="0092091E"/>
    <w:rsid w:val="00920B82"/>
    <w:rsid w:val="00920C3A"/>
    <w:rsid w:val="00920CC5"/>
    <w:rsid w:val="00920CCB"/>
    <w:rsid w:val="00920D69"/>
    <w:rsid w:val="00920E8B"/>
    <w:rsid w:val="00920ECB"/>
    <w:rsid w:val="00920F34"/>
    <w:rsid w:val="00920FBA"/>
    <w:rsid w:val="00921093"/>
    <w:rsid w:val="009210B5"/>
    <w:rsid w:val="009212F8"/>
    <w:rsid w:val="00921325"/>
    <w:rsid w:val="0092137A"/>
    <w:rsid w:val="0092138F"/>
    <w:rsid w:val="009213AD"/>
    <w:rsid w:val="00921411"/>
    <w:rsid w:val="009215B1"/>
    <w:rsid w:val="0092170B"/>
    <w:rsid w:val="0092173B"/>
    <w:rsid w:val="00921765"/>
    <w:rsid w:val="00921873"/>
    <w:rsid w:val="00921923"/>
    <w:rsid w:val="00921972"/>
    <w:rsid w:val="009219DA"/>
    <w:rsid w:val="00921AF4"/>
    <w:rsid w:val="00921B32"/>
    <w:rsid w:val="00921C04"/>
    <w:rsid w:val="00921DCE"/>
    <w:rsid w:val="00921E41"/>
    <w:rsid w:val="00921E6F"/>
    <w:rsid w:val="00921FD5"/>
    <w:rsid w:val="009220E6"/>
    <w:rsid w:val="00922202"/>
    <w:rsid w:val="00922224"/>
    <w:rsid w:val="0092236B"/>
    <w:rsid w:val="0092237C"/>
    <w:rsid w:val="00922494"/>
    <w:rsid w:val="0092255F"/>
    <w:rsid w:val="009225BF"/>
    <w:rsid w:val="009225EF"/>
    <w:rsid w:val="0092261B"/>
    <w:rsid w:val="009226C7"/>
    <w:rsid w:val="009226F4"/>
    <w:rsid w:val="00922717"/>
    <w:rsid w:val="00922736"/>
    <w:rsid w:val="0092276A"/>
    <w:rsid w:val="009227C9"/>
    <w:rsid w:val="009227CC"/>
    <w:rsid w:val="00922850"/>
    <w:rsid w:val="00922858"/>
    <w:rsid w:val="0092287C"/>
    <w:rsid w:val="009228DE"/>
    <w:rsid w:val="00922997"/>
    <w:rsid w:val="00922A01"/>
    <w:rsid w:val="00922A5A"/>
    <w:rsid w:val="00922A85"/>
    <w:rsid w:val="00922A91"/>
    <w:rsid w:val="00922AA2"/>
    <w:rsid w:val="00922AFF"/>
    <w:rsid w:val="00922C9B"/>
    <w:rsid w:val="00922CB7"/>
    <w:rsid w:val="00922CC2"/>
    <w:rsid w:val="00922D48"/>
    <w:rsid w:val="00922DA1"/>
    <w:rsid w:val="00922EA4"/>
    <w:rsid w:val="00922F75"/>
    <w:rsid w:val="00922FA1"/>
    <w:rsid w:val="00922FA9"/>
    <w:rsid w:val="00922FD3"/>
    <w:rsid w:val="0092300E"/>
    <w:rsid w:val="00923056"/>
    <w:rsid w:val="0092306C"/>
    <w:rsid w:val="00923196"/>
    <w:rsid w:val="009231E4"/>
    <w:rsid w:val="00923279"/>
    <w:rsid w:val="009232F8"/>
    <w:rsid w:val="0092343A"/>
    <w:rsid w:val="0092346A"/>
    <w:rsid w:val="00923556"/>
    <w:rsid w:val="00923651"/>
    <w:rsid w:val="00923668"/>
    <w:rsid w:val="009237FF"/>
    <w:rsid w:val="00923802"/>
    <w:rsid w:val="00923988"/>
    <w:rsid w:val="009239A6"/>
    <w:rsid w:val="00923A01"/>
    <w:rsid w:val="00923A72"/>
    <w:rsid w:val="00923B21"/>
    <w:rsid w:val="00923B42"/>
    <w:rsid w:val="00923BAC"/>
    <w:rsid w:val="00923C08"/>
    <w:rsid w:val="00923C7B"/>
    <w:rsid w:val="00923C84"/>
    <w:rsid w:val="00923D1E"/>
    <w:rsid w:val="00923DE7"/>
    <w:rsid w:val="00923E4B"/>
    <w:rsid w:val="00923F0F"/>
    <w:rsid w:val="00923F69"/>
    <w:rsid w:val="00923FA7"/>
    <w:rsid w:val="00923FAB"/>
    <w:rsid w:val="0092417E"/>
    <w:rsid w:val="00924183"/>
    <w:rsid w:val="0092418B"/>
    <w:rsid w:val="009241BB"/>
    <w:rsid w:val="00924364"/>
    <w:rsid w:val="009243AD"/>
    <w:rsid w:val="009243E6"/>
    <w:rsid w:val="0092451C"/>
    <w:rsid w:val="0092455B"/>
    <w:rsid w:val="009245EF"/>
    <w:rsid w:val="0092467D"/>
    <w:rsid w:val="009246A2"/>
    <w:rsid w:val="009247AE"/>
    <w:rsid w:val="00924860"/>
    <w:rsid w:val="009248DE"/>
    <w:rsid w:val="00924903"/>
    <w:rsid w:val="00924937"/>
    <w:rsid w:val="00924969"/>
    <w:rsid w:val="00924BB7"/>
    <w:rsid w:val="00924BD2"/>
    <w:rsid w:val="00924C32"/>
    <w:rsid w:val="00924C81"/>
    <w:rsid w:val="00924CD7"/>
    <w:rsid w:val="00924D20"/>
    <w:rsid w:val="00924D47"/>
    <w:rsid w:val="00924EB7"/>
    <w:rsid w:val="00924EEA"/>
    <w:rsid w:val="00924EFE"/>
    <w:rsid w:val="00924FC9"/>
    <w:rsid w:val="009250CA"/>
    <w:rsid w:val="009250F0"/>
    <w:rsid w:val="009250F3"/>
    <w:rsid w:val="00925160"/>
    <w:rsid w:val="00925393"/>
    <w:rsid w:val="0092545D"/>
    <w:rsid w:val="0092550A"/>
    <w:rsid w:val="00925569"/>
    <w:rsid w:val="00925579"/>
    <w:rsid w:val="009256B7"/>
    <w:rsid w:val="009256EC"/>
    <w:rsid w:val="0092574D"/>
    <w:rsid w:val="009257D5"/>
    <w:rsid w:val="009257FD"/>
    <w:rsid w:val="0092581F"/>
    <w:rsid w:val="0092583E"/>
    <w:rsid w:val="00925877"/>
    <w:rsid w:val="009258A2"/>
    <w:rsid w:val="0092591E"/>
    <w:rsid w:val="00925938"/>
    <w:rsid w:val="0092594B"/>
    <w:rsid w:val="0092599C"/>
    <w:rsid w:val="00925B06"/>
    <w:rsid w:val="00925B24"/>
    <w:rsid w:val="00925B9F"/>
    <w:rsid w:val="00925C20"/>
    <w:rsid w:val="00925CE1"/>
    <w:rsid w:val="00925E00"/>
    <w:rsid w:val="00925F84"/>
    <w:rsid w:val="00925FEC"/>
    <w:rsid w:val="00925FEE"/>
    <w:rsid w:val="00926002"/>
    <w:rsid w:val="00926065"/>
    <w:rsid w:val="0092614D"/>
    <w:rsid w:val="0092616A"/>
    <w:rsid w:val="00926196"/>
    <w:rsid w:val="0092619A"/>
    <w:rsid w:val="00926244"/>
    <w:rsid w:val="009262D8"/>
    <w:rsid w:val="0092631E"/>
    <w:rsid w:val="0092638A"/>
    <w:rsid w:val="009263C8"/>
    <w:rsid w:val="00926413"/>
    <w:rsid w:val="009264FE"/>
    <w:rsid w:val="0092650B"/>
    <w:rsid w:val="00926598"/>
    <w:rsid w:val="00926697"/>
    <w:rsid w:val="009266FD"/>
    <w:rsid w:val="0092674A"/>
    <w:rsid w:val="0092679C"/>
    <w:rsid w:val="00926964"/>
    <w:rsid w:val="00926997"/>
    <w:rsid w:val="009269B7"/>
    <w:rsid w:val="00926A78"/>
    <w:rsid w:val="00926BA4"/>
    <w:rsid w:val="00926BCD"/>
    <w:rsid w:val="00926C13"/>
    <w:rsid w:val="00926C41"/>
    <w:rsid w:val="00926CA9"/>
    <w:rsid w:val="00926E94"/>
    <w:rsid w:val="00926EAF"/>
    <w:rsid w:val="00926EF3"/>
    <w:rsid w:val="009270AE"/>
    <w:rsid w:val="0092710B"/>
    <w:rsid w:val="0092736A"/>
    <w:rsid w:val="009273A3"/>
    <w:rsid w:val="00927459"/>
    <w:rsid w:val="009274D2"/>
    <w:rsid w:val="009275B7"/>
    <w:rsid w:val="009277AD"/>
    <w:rsid w:val="009277D1"/>
    <w:rsid w:val="00927839"/>
    <w:rsid w:val="00927847"/>
    <w:rsid w:val="009278AC"/>
    <w:rsid w:val="0092794E"/>
    <w:rsid w:val="00927A49"/>
    <w:rsid w:val="00927B27"/>
    <w:rsid w:val="00927C59"/>
    <w:rsid w:val="00927C5B"/>
    <w:rsid w:val="00927CD8"/>
    <w:rsid w:val="00927E63"/>
    <w:rsid w:val="00927E71"/>
    <w:rsid w:val="00927E84"/>
    <w:rsid w:val="00927EBF"/>
    <w:rsid w:val="00927F04"/>
    <w:rsid w:val="00927F2F"/>
    <w:rsid w:val="00927F80"/>
    <w:rsid w:val="00927FBC"/>
    <w:rsid w:val="0093004A"/>
    <w:rsid w:val="00930070"/>
    <w:rsid w:val="009300FF"/>
    <w:rsid w:val="00930116"/>
    <w:rsid w:val="0093026D"/>
    <w:rsid w:val="0093031C"/>
    <w:rsid w:val="0093034F"/>
    <w:rsid w:val="0093037C"/>
    <w:rsid w:val="00930394"/>
    <w:rsid w:val="009303A9"/>
    <w:rsid w:val="009303FE"/>
    <w:rsid w:val="009304AB"/>
    <w:rsid w:val="0093050A"/>
    <w:rsid w:val="00930614"/>
    <w:rsid w:val="00930627"/>
    <w:rsid w:val="0093065D"/>
    <w:rsid w:val="009306EC"/>
    <w:rsid w:val="009307D1"/>
    <w:rsid w:val="00930802"/>
    <w:rsid w:val="00930844"/>
    <w:rsid w:val="00930864"/>
    <w:rsid w:val="00930932"/>
    <w:rsid w:val="00930944"/>
    <w:rsid w:val="00930A4A"/>
    <w:rsid w:val="00930B2A"/>
    <w:rsid w:val="00930B53"/>
    <w:rsid w:val="00930BF0"/>
    <w:rsid w:val="00930C4A"/>
    <w:rsid w:val="00930FC8"/>
    <w:rsid w:val="0093106E"/>
    <w:rsid w:val="00931099"/>
    <w:rsid w:val="009310A0"/>
    <w:rsid w:val="009311DA"/>
    <w:rsid w:val="009311DB"/>
    <w:rsid w:val="00931235"/>
    <w:rsid w:val="00931255"/>
    <w:rsid w:val="009312B4"/>
    <w:rsid w:val="009312E5"/>
    <w:rsid w:val="009312E8"/>
    <w:rsid w:val="009314A3"/>
    <w:rsid w:val="009314B5"/>
    <w:rsid w:val="009314C2"/>
    <w:rsid w:val="009315C8"/>
    <w:rsid w:val="009315F1"/>
    <w:rsid w:val="00931647"/>
    <w:rsid w:val="00931666"/>
    <w:rsid w:val="009316EF"/>
    <w:rsid w:val="009316F4"/>
    <w:rsid w:val="00931702"/>
    <w:rsid w:val="0093170D"/>
    <w:rsid w:val="0093185F"/>
    <w:rsid w:val="00931954"/>
    <w:rsid w:val="00931A10"/>
    <w:rsid w:val="00931A83"/>
    <w:rsid w:val="00931AFB"/>
    <w:rsid w:val="00931B4E"/>
    <w:rsid w:val="00931B5A"/>
    <w:rsid w:val="00931C7B"/>
    <w:rsid w:val="00931C84"/>
    <w:rsid w:val="00931DCA"/>
    <w:rsid w:val="00931DD2"/>
    <w:rsid w:val="00931E4D"/>
    <w:rsid w:val="00931ECD"/>
    <w:rsid w:val="00931ED5"/>
    <w:rsid w:val="00931EF1"/>
    <w:rsid w:val="00931F02"/>
    <w:rsid w:val="00931F14"/>
    <w:rsid w:val="00931F3C"/>
    <w:rsid w:val="00931FB1"/>
    <w:rsid w:val="009320E8"/>
    <w:rsid w:val="00932123"/>
    <w:rsid w:val="00932230"/>
    <w:rsid w:val="00932278"/>
    <w:rsid w:val="009322D2"/>
    <w:rsid w:val="00932311"/>
    <w:rsid w:val="00932315"/>
    <w:rsid w:val="0093239C"/>
    <w:rsid w:val="0093239E"/>
    <w:rsid w:val="009324BB"/>
    <w:rsid w:val="009324E4"/>
    <w:rsid w:val="00932530"/>
    <w:rsid w:val="0093256B"/>
    <w:rsid w:val="009326AD"/>
    <w:rsid w:val="009328AC"/>
    <w:rsid w:val="009328F2"/>
    <w:rsid w:val="009328F3"/>
    <w:rsid w:val="009329A7"/>
    <w:rsid w:val="00932A5F"/>
    <w:rsid w:val="00932BB3"/>
    <w:rsid w:val="00932C1F"/>
    <w:rsid w:val="00932C59"/>
    <w:rsid w:val="00932C64"/>
    <w:rsid w:val="00932CB4"/>
    <w:rsid w:val="00932D07"/>
    <w:rsid w:val="00932D65"/>
    <w:rsid w:val="00932DF1"/>
    <w:rsid w:val="00932E1B"/>
    <w:rsid w:val="00932E22"/>
    <w:rsid w:val="00932E9D"/>
    <w:rsid w:val="00932F8C"/>
    <w:rsid w:val="00933038"/>
    <w:rsid w:val="0093306D"/>
    <w:rsid w:val="009331E6"/>
    <w:rsid w:val="00933218"/>
    <w:rsid w:val="00933385"/>
    <w:rsid w:val="0093341D"/>
    <w:rsid w:val="0093348C"/>
    <w:rsid w:val="009334E7"/>
    <w:rsid w:val="009334EF"/>
    <w:rsid w:val="0093356F"/>
    <w:rsid w:val="009335CA"/>
    <w:rsid w:val="009335D8"/>
    <w:rsid w:val="009335EC"/>
    <w:rsid w:val="009336A9"/>
    <w:rsid w:val="0093371D"/>
    <w:rsid w:val="0093379B"/>
    <w:rsid w:val="00933831"/>
    <w:rsid w:val="00933868"/>
    <w:rsid w:val="00933877"/>
    <w:rsid w:val="009338F7"/>
    <w:rsid w:val="00933973"/>
    <w:rsid w:val="00933987"/>
    <w:rsid w:val="00933B3D"/>
    <w:rsid w:val="00933B4A"/>
    <w:rsid w:val="00933BA9"/>
    <w:rsid w:val="00933BCB"/>
    <w:rsid w:val="00933C61"/>
    <w:rsid w:val="00933DF3"/>
    <w:rsid w:val="00933E01"/>
    <w:rsid w:val="00933EA7"/>
    <w:rsid w:val="00933EEA"/>
    <w:rsid w:val="00933F53"/>
    <w:rsid w:val="00933F9D"/>
    <w:rsid w:val="00933FA8"/>
    <w:rsid w:val="00933FBB"/>
    <w:rsid w:val="0093403B"/>
    <w:rsid w:val="00934298"/>
    <w:rsid w:val="0093436F"/>
    <w:rsid w:val="009343BC"/>
    <w:rsid w:val="00934552"/>
    <w:rsid w:val="009345C8"/>
    <w:rsid w:val="00934640"/>
    <w:rsid w:val="009347C7"/>
    <w:rsid w:val="009348E2"/>
    <w:rsid w:val="0093492B"/>
    <w:rsid w:val="009349D7"/>
    <w:rsid w:val="00934A74"/>
    <w:rsid w:val="00934AB7"/>
    <w:rsid w:val="00934B12"/>
    <w:rsid w:val="00934B3F"/>
    <w:rsid w:val="00934B5C"/>
    <w:rsid w:val="00934BB6"/>
    <w:rsid w:val="00934C91"/>
    <w:rsid w:val="00934D05"/>
    <w:rsid w:val="00934D1E"/>
    <w:rsid w:val="00934D8D"/>
    <w:rsid w:val="00934DBE"/>
    <w:rsid w:val="00934E58"/>
    <w:rsid w:val="00934E61"/>
    <w:rsid w:val="00934E8F"/>
    <w:rsid w:val="00934EF9"/>
    <w:rsid w:val="00934FBB"/>
    <w:rsid w:val="00934FEC"/>
    <w:rsid w:val="00935005"/>
    <w:rsid w:val="009350F9"/>
    <w:rsid w:val="0093519D"/>
    <w:rsid w:val="0093524A"/>
    <w:rsid w:val="009353EB"/>
    <w:rsid w:val="00935436"/>
    <w:rsid w:val="00935518"/>
    <w:rsid w:val="009355AE"/>
    <w:rsid w:val="00935612"/>
    <w:rsid w:val="00935700"/>
    <w:rsid w:val="0093571F"/>
    <w:rsid w:val="009357BB"/>
    <w:rsid w:val="009357F2"/>
    <w:rsid w:val="009357F3"/>
    <w:rsid w:val="00935832"/>
    <w:rsid w:val="009358B0"/>
    <w:rsid w:val="009358FF"/>
    <w:rsid w:val="0093591D"/>
    <w:rsid w:val="00935A87"/>
    <w:rsid w:val="00935AB1"/>
    <w:rsid w:val="00935BCA"/>
    <w:rsid w:val="00935BDD"/>
    <w:rsid w:val="00935C8C"/>
    <w:rsid w:val="00935DEE"/>
    <w:rsid w:val="00935DF5"/>
    <w:rsid w:val="00935E93"/>
    <w:rsid w:val="00935ECA"/>
    <w:rsid w:val="00935EF8"/>
    <w:rsid w:val="00935F90"/>
    <w:rsid w:val="0093602C"/>
    <w:rsid w:val="0093605F"/>
    <w:rsid w:val="0093608E"/>
    <w:rsid w:val="00936144"/>
    <w:rsid w:val="00936180"/>
    <w:rsid w:val="009362AE"/>
    <w:rsid w:val="0093634D"/>
    <w:rsid w:val="0093636A"/>
    <w:rsid w:val="009363A5"/>
    <w:rsid w:val="00936457"/>
    <w:rsid w:val="00936488"/>
    <w:rsid w:val="009364CC"/>
    <w:rsid w:val="00936718"/>
    <w:rsid w:val="00936766"/>
    <w:rsid w:val="009367C1"/>
    <w:rsid w:val="009368D2"/>
    <w:rsid w:val="009369C6"/>
    <w:rsid w:val="00936AA6"/>
    <w:rsid w:val="00936AF5"/>
    <w:rsid w:val="00936B72"/>
    <w:rsid w:val="00936C50"/>
    <w:rsid w:val="00936CE8"/>
    <w:rsid w:val="00936D21"/>
    <w:rsid w:val="00936D3E"/>
    <w:rsid w:val="00936D9E"/>
    <w:rsid w:val="00936DB6"/>
    <w:rsid w:val="00936E40"/>
    <w:rsid w:val="00936F98"/>
    <w:rsid w:val="00936FA7"/>
    <w:rsid w:val="00936FDC"/>
    <w:rsid w:val="00936FE9"/>
    <w:rsid w:val="00936FF0"/>
    <w:rsid w:val="0093701A"/>
    <w:rsid w:val="00937027"/>
    <w:rsid w:val="00937054"/>
    <w:rsid w:val="00937083"/>
    <w:rsid w:val="00937182"/>
    <w:rsid w:val="009371F7"/>
    <w:rsid w:val="00937216"/>
    <w:rsid w:val="009372FA"/>
    <w:rsid w:val="009373C3"/>
    <w:rsid w:val="009373ED"/>
    <w:rsid w:val="0093743F"/>
    <w:rsid w:val="009374FF"/>
    <w:rsid w:val="009375C6"/>
    <w:rsid w:val="00937647"/>
    <w:rsid w:val="009376D8"/>
    <w:rsid w:val="009376ED"/>
    <w:rsid w:val="0093772B"/>
    <w:rsid w:val="009377F1"/>
    <w:rsid w:val="0093780F"/>
    <w:rsid w:val="0093783D"/>
    <w:rsid w:val="0093790E"/>
    <w:rsid w:val="00937A2A"/>
    <w:rsid w:val="00937A3D"/>
    <w:rsid w:val="00937AED"/>
    <w:rsid w:val="00937B26"/>
    <w:rsid w:val="00937BB4"/>
    <w:rsid w:val="00937BE2"/>
    <w:rsid w:val="00937C90"/>
    <w:rsid w:val="00937E0F"/>
    <w:rsid w:val="00937E25"/>
    <w:rsid w:val="00940045"/>
    <w:rsid w:val="00940082"/>
    <w:rsid w:val="009400CA"/>
    <w:rsid w:val="00940105"/>
    <w:rsid w:val="0094019E"/>
    <w:rsid w:val="00940208"/>
    <w:rsid w:val="00940238"/>
    <w:rsid w:val="0094025D"/>
    <w:rsid w:val="00940265"/>
    <w:rsid w:val="009402DD"/>
    <w:rsid w:val="009402FF"/>
    <w:rsid w:val="00940373"/>
    <w:rsid w:val="009403C1"/>
    <w:rsid w:val="00940406"/>
    <w:rsid w:val="009404A3"/>
    <w:rsid w:val="009404EB"/>
    <w:rsid w:val="00940599"/>
    <w:rsid w:val="009408A9"/>
    <w:rsid w:val="00940929"/>
    <w:rsid w:val="00940967"/>
    <w:rsid w:val="0094098E"/>
    <w:rsid w:val="00940A9C"/>
    <w:rsid w:val="00940AA8"/>
    <w:rsid w:val="00940ADA"/>
    <w:rsid w:val="00940BF3"/>
    <w:rsid w:val="00940C06"/>
    <w:rsid w:val="00940C17"/>
    <w:rsid w:val="00940D6C"/>
    <w:rsid w:val="00941041"/>
    <w:rsid w:val="009411B6"/>
    <w:rsid w:val="00941234"/>
    <w:rsid w:val="0094125C"/>
    <w:rsid w:val="00941289"/>
    <w:rsid w:val="0094132F"/>
    <w:rsid w:val="009413BD"/>
    <w:rsid w:val="00941408"/>
    <w:rsid w:val="009414FA"/>
    <w:rsid w:val="00941525"/>
    <w:rsid w:val="0094171D"/>
    <w:rsid w:val="0094175D"/>
    <w:rsid w:val="00941779"/>
    <w:rsid w:val="00941780"/>
    <w:rsid w:val="0094185D"/>
    <w:rsid w:val="009418E3"/>
    <w:rsid w:val="009418EA"/>
    <w:rsid w:val="00941957"/>
    <w:rsid w:val="009419B3"/>
    <w:rsid w:val="009419FC"/>
    <w:rsid w:val="00941A0D"/>
    <w:rsid w:val="00941A77"/>
    <w:rsid w:val="00941B43"/>
    <w:rsid w:val="00941B58"/>
    <w:rsid w:val="00941BCE"/>
    <w:rsid w:val="00941C95"/>
    <w:rsid w:val="00941D89"/>
    <w:rsid w:val="00941EBF"/>
    <w:rsid w:val="00941EDD"/>
    <w:rsid w:val="00941F60"/>
    <w:rsid w:val="00941FDD"/>
    <w:rsid w:val="00941FE0"/>
    <w:rsid w:val="00942066"/>
    <w:rsid w:val="0094209F"/>
    <w:rsid w:val="009420AB"/>
    <w:rsid w:val="00942142"/>
    <w:rsid w:val="0094225B"/>
    <w:rsid w:val="009422A5"/>
    <w:rsid w:val="0094230C"/>
    <w:rsid w:val="009423EF"/>
    <w:rsid w:val="00942473"/>
    <w:rsid w:val="0094253E"/>
    <w:rsid w:val="00942563"/>
    <w:rsid w:val="009425A0"/>
    <w:rsid w:val="009425A3"/>
    <w:rsid w:val="0094268B"/>
    <w:rsid w:val="00942695"/>
    <w:rsid w:val="009426E3"/>
    <w:rsid w:val="009426F9"/>
    <w:rsid w:val="00942837"/>
    <w:rsid w:val="00942866"/>
    <w:rsid w:val="009428FD"/>
    <w:rsid w:val="009429A7"/>
    <w:rsid w:val="009429C8"/>
    <w:rsid w:val="00942A6E"/>
    <w:rsid w:val="00942AC6"/>
    <w:rsid w:val="00942B09"/>
    <w:rsid w:val="00942B1F"/>
    <w:rsid w:val="00942C4D"/>
    <w:rsid w:val="00942C84"/>
    <w:rsid w:val="00942CB5"/>
    <w:rsid w:val="00942D1A"/>
    <w:rsid w:val="00942D44"/>
    <w:rsid w:val="00942D9B"/>
    <w:rsid w:val="00942DC7"/>
    <w:rsid w:val="00942E36"/>
    <w:rsid w:val="00942E3C"/>
    <w:rsid w:val="00942E57"/>
    <w:rsid w:val="00942EB4"/>
    <w:rsid w:val="0094304C"/>
    <w:rsid w:val="00943083"/>
    <w:rsid w:val="009430BE"/>
    <w:rsid w:val="00943112"/>
    <w:rsid w:val="00943175"/>
    <w:rsid w:val="00943176"/>
    <w:rsid w:val="009431DE"/>
    <w:rsid w:val="009431ED"/>
    <w:rsid w:val="009431F9"/>
    <w:rsid w:val="00943313"/>
    <w:rsid w:val="00943354"/>
    <w:rsid w:val="0094344E"/>
    <w:rsid w:val="009434D0"/>
    <w:rsid w:val="009434E4"/>
    <w:rsid w:val="009434EB"/>
    <w:rsid w:val="00943504"/>
    <w:rsid w:val="00943534"/>
    <w:rsid w:val="00943575"/>
    <w:rsid w:val="009436E0"/>
    <w:rsid w:val="009436F2"/>
    <w:rsid w:val="009436F6"/>
    <w:rsid w:val="00943858"/>
    <w:rsid w:val="009439F8"/>
    <w:rsid w:val="00943A33"/>
    <w:rsid w:val="00943A38"/>
    <w:rsid w:val="00943B93"/>
    <w:rsid w:val="00943CD4"/>
    <w:rsid w:val="00943D64"/>
    <w:rsid w:val="00943DCA"/>
    <w:rsid w:val="00943DCC"/>
    <w:rsid w:val="00943E29"/>
    <w:rsid w:val="00943E46"/>
    <w:rsid w:val="00943F49"/>
    <w:rsid w:val="00943FE7"/>
    <w:rsid w:val="009440AD"/>
    <w:rsid w:val="009441D4"/>
    <w:rsid w:val="009441E5"/>
    <w:rsid w:val="00944263"/>
    <w:rsid w:val="0094429E"/>
    <w:rsid w:val="00944454"/>
    <w:rsid w:val="00944475"/>
    <w:rsid w:val="00944641"/>
    <w:rsid w:val="009446EF"/>
    <w:rsid w:val="00944726"/>
    <w:rsid w:val="00944757"/>
    <w:rsid w:val="009447AA"/>
    <w:rsid w:val="0094482D"/>
    <w:rsid w:val="00944A00"/>
    <w:rsid w:val="00944B8A"/>
    <w:rsid w:val="00944BCE"/>
    <w:rsid w:val="00944BFC"/>
    <w:rsid w:val="00944C08"/>
    <w:rsid w:val="00944C6C"/>
    <w:rsid w:val="00944DAB"/>
    <w:rsid w:val="0094504C"/>
    <w:rsid w:val="00945147"/>
    <w:rsid w:val="00945225"/>
    <w:rsid w:val="00945245"/>
    <w:rsid w:val="009452F8"/>
    <w:rsid w:val="00945330"/>
    <w:rsid w:val="00945378"/>
    <w:rsid w:val="009454B9"/>
    <w:rsid w:val="009454E1"/>
    <w:rsid w:val="009454F2"/>
    <w:rsid w:val="0094552F"/>
    <w:rsid w:val="009455AA"/>
    <w:rsid w:val="009455DA"/>
    <w:rsid w:val="00945637"/>
    <w:rsid w:val="00945639"/>
    <w:rsid w:val="0094565C"/>
    <w:rsid w:val="00945724"/>
    <w:rsid w:val="0094575E"/>
    <w:rsid w:val="00945855"/>
    <w:rsid w:val="0094585D"/>
    <w:rsid w:val="00945883"/>
    <w:rsid w:val="00945A3C"/>
    <w:rsid w:val="00945A4A"/>
    <w:rsid w:val="00945A4E"/>
    <w:rsid w:val="00945B37"/>
    <w:rsid w:val="00945B73"/>
    <w:rsid w:val="00945C0C"/>
    <w:rsid w:val="00945C4E"/>
    <w:rsid w:val="00945CA9"/>
    <w:rsid w:val="00945D0E"/>
    <w:rsid w:val="00945EC3"/>
    <w:rsid w:val="00945EDD"/>
    <w:rsid w:val="00945F26"/>
    <w:rsid w:val="00946039"/>
    <w:rsid w:val="00946057"/>
    <w:rsid w:val="009460C5"/>
    <w:rsid w:val="009460F8"/>
    <w:rsid w:val="00946100"/>
    <w:rsid w:val="0094615E"/>
    <w:rsid w:val="00946215"/>
    <w:rsid w:val="00946321"/>
    <w:rsid w:val="00946461"/>
    <w:rsid w:val="00946530"/>
    <w:rsid w:val="00946558"/>
    <w:rsid w:val="009465AB"/>
    <w:rsid w:val="009465DB"/>
    <w:rsid w:val="009467E5"/>
    <w:rsid w:val="0094684F"/>
    <w:rsid w:val="0094687C"/>
    <w:rsid w:val="009468DE"/>
    <w:rsid w:val="00946915"/>
    <w:rsid w:val="00946A35"/>
    <w:rsid w:val="00946B15"/>
    <w:rsid w:val="00946B37"/>
    <w:rsid w:val="00946B40"/>
    <w:rsid w:val="00946B69"/>
    <w:rsid w:val="00946BA5"/>
    <w:rsid w:val="00946D1B"/>
    <w:rsid w:val="00946DD6"/>
    <w:rsid w:val="00946E8A"/>
    <w:rsid w:val="00946EB1"/>
    <w:rsid w:val="00946F0B"/>
    <w:rsid w:val="00946FEC"/>
    <w:rsid w:val="009470D2"/>
    <w:rsid w:val="00947239"/>
    <w:rsid w:val="00947299"/>
    <w:rsid w:val="009473E0"/>
    <w:rsid w:val="0094741A"/>
    <w:rsid w:val="0094741C"/>
    <w:rsid w:val="00947543"/>
    <w:rsid w:val="0094758E"/>
    <w:rsid w:val="009475DA"/>
    <w:rsid w:val="00947612"/>
    <w:rsid w:val="00947632"/>
    <w:rsid w:val="00947676"/>
    <w:rsid w:val="009477FE"/>
    <w:rsid w:val="00947923"/>
    <w:rsid w:val="00947929"/>
    <w:rsid w:val="00947985"/>
    <w:rsid w:val="00947B2A"/>
    <w:rsid w:val="00947B7B"/>
    <w:rsid w:val="00947C2B"/>
    <w:rsid w:val="00947DDD"/>
    <w:rsid w:val="00947EB5"/>
    <w:rsid w:val="00947FE4"/>
    <w:rsid w:val="00950034"/>
    <w:rsid w:val="0095003A"/>
    <w:rsid w:val="0095008D"/>
    <w:rsid w:val="009500BE"/>
    <w:rsid w:val="00950100"/>
    <w:rsid w:val="009501A1"/>
    <w:rsid w:val="009501FF"/>
    <w:rsid w:val="0095028A"/>
    <w:rsid w:val="009504DE"/>
    <w:rsid w:val="0095052C"/>
    <w:rsid w:val="009505CB"/>
    <w:rsid w:val="009506CB"/>
    <w:rsid w:val="00950706"/>
    <w:rsid w:val="0095076C"/>
    <w:rsid w:val="0095092E"/>
    <w:rsid w:val="0095093A"/>
    <w:rsid w:val="0095096F"/>
    <w:rsid w:val="009509AF"/>
    <w:rsid w:val="00950A48"/>
    <w:rsid w:val="00950B3E"/>
    <w:rsid w:val="00950BE9"/>
    <w:rsid w:val="00950C5F"/>
    <w:rsid w:val="00950CDB"/>
    <w:rsid w:val="00950DBE"/>
    <w:rsid w:val="00950EF6"/>
    <w:rsid w:val="00950F2B"/>
    <w:rsid w:val="00950F99"/>
    <w:rsid w:val="0095114D"/>
    <w:rsid w:val="009511AE"/>
    <w:rsid w:val="009511CF"/>
    <w:rsid w:val="0095128E"/>
    <w:rsid w:val="009513CB"/>
    <w:rsid w:val="00951411"/>
    <w:rsid w:val="00951466"/>
    <w:rsid w:val="00951493"/>
    <w:rsid w:val="009514F6"/>
    <w:rsid w:val="0095154B"/>
    <w:rsid w:val="0095158B"/>
    <w:rsid w:val="009515BD"/>
    <w:rsid w:val="00951604"/>
    <w:rsid w:val="00951711"/>
    <w:rsid w:val="009517EC"/>
    <w:rsid w:val="00951803"/>
    <w:rsid w:val="0095185A"/>
    <w:rsid w:val="009519E8"/>
    <w:rsid w:val="00951B12"/>
    <w:rsid w:val="00951B5A"/>
    <w:rsid w:val="00951CB6"/>
    <w:rsid w:val="00951D2A"/>
    <w:rsid w:val="00951D5A"/>
    <w:rsid w:val="00951EFE"/>
    <w:rsid w:val="00951F0F"/>
    <w:rsid w:val="00951F1A"/>
    <w:rsid w:val="0095201A"/>
    <w:rsid w:val="0095205A"/>
    <w:rsid w:val="00952135"/>
    <w:rsid w:val="009521BC"/>
    <w:rsid w:val="009521F6"/>
    <w:rsid w:val="0095222C"/>
    <w:rsid w:val="009522D7"/>
    <w:rsid w:val="009522FE"/>
    <w:rsid w:val="009523FE"/>
    <w:rsid w:val="0095242B"/>
    <w:rsid w:val="009525D8"/>
    <w:rsid w:val="00952601"/>
    <w:rsid w:val="00952795"/>
    <w:rsid w:val="009527E7"/>
    <w:rsid w:val="009527EE"/>
    <w:rsid w:val="0095283D"/>
    <w:rsid w:val="0095293D"/>
    <w:rsid w:val="00952B5F"/>
    <w:rsid w:val="00952CA5"/>
    <w:rsid w:val="00952CD7"/>
    <w:rsid w:val="00952D05"/>
    <w:rsid w:val="00952D10"/>
    <w:rsid w:val="00952FC1"/>
    <w:rsid w:val="00953008"/>
    <w:rsid w:val="0095305C"/>
    <w:rsid w:val="00953102"/>
    <w:rsid w:val="00953131"/>
    <w:rsid w:val="00953142"/>
    <w:rsid w:val="00953147"/>
    <w:rsid w:val="00953162"/>
    <w:rsid w:val="00953291"/>
    <w:rsid w:val="00953378"/>
    <w:rsid w:val="009534B5"/>
    <w:rsid w:val="00953572"/>
    <w:rsid w:val="0095360E"/>
    <w:rsid w:val="00953614"/>
    <w:rsid w:val="00953634"/>
    <w:rsid w:val="0095376F"/>
    <w:rsid w:val="009537DC"/>
    <w:rsid w:val="009537EA"/>
    <w:rsid w:val="00953845"/>
    <w:rsid w:val="00953869"/>
    <w:rsid w:val="0095390E"/>
    <w:rsid w:val="0095396B"/>
    <w:rsid w:val="0095397E"/>
    <w:rsid w:val="009539EB"/>
    <w:rsid w:val="00953A1A"/>
    <w:rsid w:val="00953A73"/>
    <w:rsid w:val="00953B0C"/>
    <w:rsid w:val="00953B3B"/>
    <w:rsid w:val="00953B43"/>
    <w:rsid w:val="00953B9F"/>
    <w:rsid w:val="00953BC7"/>
    <w:rsid w:val="00953CCC"/>
    <w:rsid w:val="00953D89"/>
    <w:rsid w:val="00953DD3"/>
    <w:rsid w:val="00953DF0"/>
    <w:rsid w:val="00953ECB"/>
    <w:rsid w:val="00953F0D"/>
    <w:rsid w:val="0095405F"/>
    <w:rsid w:val="00954074"/>
    <w:rsid w:val="00954130"/>
    <w:rsid w:val="00954171"/>
    <w:rsid w:val="00954195"/>
    <w:rsid w:val="009541E7"/>
    <w:rsid w:val="009543DB"/>
    <w:rsid w:val="0095447C"/>
    <w:rsid w:val="0095453F"/>
    <w:rsid w:val="00954562"/>
    <w:rsid w:val="009545A9"/>
    <w:rsid w:val="009545C5"/>
    <w:rsid w:val="00954706"/>
    <w:rsid w:val="00954742"/>
    <w:rsid w:val="00954743"/>
    <w:rsid w:val="0095477B"/>
    <w:rsid w:val="009547A3"/>
    <w:rsid w:val="0095483E"/>
    <w:rsid w:val="00954852"/>
    <w:rsid w:val="00954983"/>
    <w:rsid w:val="00954984"/>
    <w:rsid w:val="009549B3"/>
    <w:rsid w:val="009549DA"/>
    <w:rsid w:val="009549E5"/>
    <w:rsid w:val="00954A2A"/>
    <w:rsid w:val="00954A50"/>
    <w:rsid w:val="00954A56"/>
    <w:rsid w:val="00954B05"/>
    <w:rsid w:val="00954B0A"/>
    <w:rsid w:val="00954B33"/>
    <w:rsid w:val="00954B96"/>
    <w:rsid w:val="00954C3F"/>
    <w:rsid w:val="00954CAB"/>
    <w:rsid w:val="00954CEF"/>
    <w:rsid w:val="00954D6C"/>
    <w:rsid w:val="00954ED8"/>
    <w:rsid w:val="00954F24"/>
    <w:rsid w:val="00954F5C"/>
    <w:rsid w:val="00954F89"/>
    <w:rsid w:val="009550D5"/>
    <w:rsid w:val="009551FA"/>
    <w:rsid w:val="00955255"/>
    <w:rsid w:val="009552BD"/>
    <w:rsid w:val="00955380"/>
    <w:rsid w:val="0095538A"/>
    <w:rsid w:val="009553E9"/>
    <w:rsid w:val="0095546B"/>
    <w:rsid w:val="009554A3"/>
    <w:rsid w:val="0095550B"/>
    <w:rsid w:val="00955574"/>
    <w:rsid w:val="009555A0"/>
    <w:rsid w:val="0095566B"/>
    <w:rsid w:val="00955676"/>
    <w:rsid w:val="009556DD"/>
    <w:rsid w:val="009556F3"/>
    <w:rsid w:val="00955715"/>
    <w:rsid w:val="00955788"/>
    <w:rsid w:val="009557AC"/>
    <w:rsid w:val="00955801"/>
    <w:rsid w:val="00955829"/>
    <w:rsid w:val="00955872"/>
    <w:rsid w:val="0095589C"/>
    <w:rsid w:val="00955B02"/>
    <w:rsid w:val="00955B5A"/>
    <w:rsid w:val="00955B63"/>
    <w:rsid w:val="00955B90"/>
    <w:rsid w:val="00955B98"/>
    <w:rsid w:val="00955BAF"/>
    <w:rsid w:val="00955CEE"/>
    <w:rsid w:val="00955D47"/>
    <w:rsid w:val="00955D69"/>
    <w:rsid w:val="00955DD4"/>
    <w:rsid w:val="00955E08"/>
    <w:rsid w:val="00955E93"/>
    <w:rsid w:val="00955ECC"/>
    <w:rsid w:val="00955F1C"/>
    <w:rsid w:val="00955F85"/>
    <w:rsid w:val="00955FCF"/>
    <w:rsid w:val="009560DD"/>
    <w:rsid w:val="009560E7"/>
    <w:rsid w:val="0095623E"/>
    <w:rsid w:val="00956277"/>
    <w:rsid w:val="009562BD"/>
    <w:rsid w:val="0095635C"/>
    <w:rsid w:val="009563B7"/>
    <w:rsid w:val="009563DB"/>
    <w:rsid w:val="0095649E"/>
    <w:rsid w:val="009564BB"/>
    <w:rsid w:val="009565EC"/>
    <w:rsid w:val="009565F3"/>
    <w:rsid w:val="0095673A"/>
    <w:rsid w:val="0095680F"/>
    <w:rsid w:val="009569D4"/>
    <w:rsid w:val="00956A6B"/>
    <w:rsid w:val="00956B52"/>
    <w:rsid w:val="00956B9E"/>
    <w:rsid w:val="00956BA9"/>
    <w:rsid w:val="00956CF7"/>
    <w:rsid w:val="00957008"/>
    <w:rsid w:val="009570BD"/>
    <w:rsid w:val="009570D9"/>
    <w:rsid w:val="0095729D"/>
    <w:rsid w:val="00957336"/>
    <w:rsid w:val="00957358"/>
    <w:rsid w:val="009573D6"/>
    <w:rsid w:val="009573DF"/>
    <w:rsid w:val="009573F8"/>
    <w:rsid w:val="00957469"/>
    <w:rsid w:val="0095746F"/>
    <w:rsid w:val="00957501"/>
    <w:rsid w:val="00957611"/>
    <w:rsid w:val="00957731"/>
    <w:rsid w:val="0095775B"/>
    <w:rsid w:val="0095777B"/>
    <w:rsid w:val="00957787"/>
    <w:rsid w:val="009577C6"/>
    <w:rsid w:val="009577E6"/>
    <w:rsid w:val="0095792B"/>
    <w:rsid w:val="00957992"/>
    <w:rsid w:val="00957A08"/>
    <w:rsid w:val="00957AA8"/>
    <w:rsid w:val="00957AE4"/>
    <w:rsid w:val="00957B52"/>
    <w:rsid w:val="00957C79"/>
    <w:rsid w:val="00957CDA"/>
    <w:rsid w:val="00957DC2"/>
    <w:rsid w:val="00957E78"/>
    <w:rsid w:val="00957EFB"/>
    <w:rsid w:val="00957FC3"/>
    <w:rsid w:val="00960042"/>
    <w:rsid w:val="00960061"/>
    <w:rsid w:val="00960090"/>
    <w:rsid w:val="00960214"/>
    <w:rsid w:val="0096021D"/>
    <w:rsid w:val="009602B7"/>
    <w:rsid w:val="00960383"/>
    <w:rsid w:val="009603CE"/>
    <w:rsid w:val="009603E1"/>
    <w:rsid w:val="0096047D"/>
    <w:rsid w:val="009604B6"/>
    <w:rsid w:val="0096051D"/>
    <w:rsid w:val="00960558"/>
    <w:rsid w:val="00960687"/>
    <w:rsid w:val="00960755"/>
    <w:rsid w:val="00960816"/>
    <w:rsid w:val="00960960"/>
    <w:rsid w:val="00960979"/>
    <w:rsid w:val="00960991"/>
    <w:rsid w:val="009609AA"/>
    <w:rsid w:val="00960A12"/>
    <w:rsid w:val="00960A2A"/>
    <w:rsid w:val="00960A38"/>
    <w:rsid w:val="00960AFF"/>
    <w:rsid w:val="00960B8A"/>
    <w:rsid w:val="00960BD8"/>
    <w:rsid w:val="00960C3D"/>
    <w:rsid w:val="00960C66"/>
    <w:rsid w:val="00960CCC"/>
    <w:rsid w:val="00960D81"/>
    <w:rsid w:val="00960E40"/>
    <w:rsid w:val="00960EB0"/>
    <w:rsid w:val="00960EFB"/>
    <w:rsid w:val="00960F2A"/>
    <w:rsid w:val="00960FB0"/>
    <w:rsid w:val="00961005"/>
    <w:rsid w:val="00961119"/>
    <w:rsid w:val="0096116E"/>
    <w:rsid w:val="009611CB"/>
    <w:rsid w:val="009611F3"/>
    <w:rsid w:val="00961367"/>
    <w:rsid w:val="00961382"/>
    <w:rsid w:val="0096141C"/>
    <w:rsid w:val="0096143A"/>
    <w:rsid w:val="00961471"/>
    <w:rsid w:val="00961490"/>
    <w:rsid w:val="00961652"/>
    <w:rsid w:val="00961700"/>
    <w:rsid w:val="009617AA"/>
    <w:rsid w:val="0096181F"/>
    <w:rsid w:val="0096186C"/>
    <w:rsid w:val="0096189A"/>
    <w:rsid w:val="00961946"/>
    <w:rsid w:val="00961B0D"/>
    <w:rsid w:val="00961B34"/>
    <w:rsid w:val="00961C03"/>
    <w:rsid w:val="00961C10"/>
    <w:rsid w:val="00961C34"/>
    <w:rsid w:val="00961CC4"/>
    <w:rsid w:val="00961D07"/>
    <w:rsid w:val="00961DE6"/>
    <w:rsid w:val="00961E93"/>
    <w:rsid w:val="00961F00"/>
    <w:rsid w:val="00961F11"/>
    <w:rsid w:val="00961F42"/>
    <w:rsid w:val="00961F57"/>
    <w:rsid w:val="00961F9D"/>
    <w:rsid w:val="00961FC8"/>
    <w:rsid w:val="009621BC"/>
    <w:rsid w:val="009621F1"/>
    <w:rsid w:val="0096233B"/>
    <w:rsid w:val="009623AC"/>
    <w:rsid w:val="00962618"/>
    <w:rsid w:val="00962694"/>
    <w:rsid w:val="00962837"/>
    <w:rsid w:val="009628A1"/>
    <w:rsid w:val="00962981"/>
    <w:rsid w:val="00962A3F"/>
    <w:rsid w:val="00962A65"/>
    <w:rsid w:val="00962A7A"/>
    <w:rsid w:val="00962A7E"/>
    <w:rsid w:val="00962B40"/>
    <w:rsid w:val="00962B80"/>
    <w:rsid w:val="00962B93"/>
    <w:rsid w:val="00962BF1"/>
    <w:rsid w:val="00962CA4"/>
    <w:rsid w:val="00962E1D"/>
    <w:rsid w:val="00962E52"/>
    <w:rsid w:val="00962E71"/>
    <w:rsid w:val="00962E79"/>
    <w:rsid w:val="00962EA9"/>
    <w:rsid w:val="00962F06"/>
    <w:rsid w:val="00962F6A"/>
    <w:rsid w:val="00962F8A"/>
    <w:rsid w:val="0096301E"/>
    <w:rsid w:val="00963030"/>
    <w:rsid w:val="009630A6"/>
    <w:rsid w:val="0096318B"/>
    <w:rsid w:val="009631B9"/>
    <w:rsid w:val="0096321B"/>
    <w:rsid w:val="00963250"/>
    <w:rsid w:val="009632E0"/>
    <w:rsid w:val="009633B1"/>
    <w:rsid w:val="009634D7"/>
    <w:rsid w:val="00963513"/>
    <w:rsid w:val="00963526"/>
    <w:rsid w:val="00963568"/>
    <w:rsid w:val="00963591"/>
    <w:rsid w:val="00963643"/>
    <w:rsid w:val="00963685"/>
    <w:rsid w:val="00963715"/>
    <w:rsid w:val="0096373C"/>
    <w:rsid w:val="0096375E"/>
    <w:rsid w:val="00963853"/>
    <w:rsid w:val="0096387C"/>
    <w:rsid w:val="0096391A"/>
    <w:rsid w:val="00963A20"/>
    <w:rsid w:val="00963A76"/>
    <w:rsid w:val="00963A7E"/>
    <w:rsid w:val="00963AEB"/>
    <w:rsid w:val="00963B62"/>
    <w:rsid w:val="00963B78"/>
    <w:rsid w:val="00963BA6"/>
    <w:rsid w:val="00963DBF"/>
    <w:rsid w:val="00963E23"/>
    <w:rsid w:val="00963E54"/>
    <w:rsid w:val="00963E7C"/>
    <w:rsid w:val="00963F5E"/>
    <w:rsid w:val="00963FE5"/>
    <w:rsid w:val="00964090"/>
    <w:rsid w:val="009640C0"/>
    <w:rsid w:val="009641C0"/>
    <w:rsid w:val="009642F9"/>
    <w:rsid w:val="00964308"/>
    <w:rsid w:val="009643B7"/>
    <w:rsid w:val="009643F9"/>
    <w:rsid w:val="0096444E"/>
    <w:rsid w:val="00964562"/>
    <w:rsid w:val="0096456A"/>
    <w:rsid w:val="009646E6"/>
    <w:rsid w:val="00964723"/>
    <w:rsid w:val="00964761"/>
    <w:rsid w:val="00964809"/>
    <w:rsid w:val="0096490F"/>
    <w:rsid w:val="009649DB"/>
    <w:rsid w:val="00964A07"/>
    <w:rsid w:val="00964A33"/>
    <w:rsid w:val="00964AA3"/>
    <w:rsid w:val="00964B12"/>
    <w:rsid w:val="00964E29"/>
    <w:rsid w:val="00964F9C"/>
    <w:rsid w:val="00965056"/>
    <w:rsid w:val="009650C1"/>
    <w:rsid w:val="009650E0"/>
    <w:rsid w:val="00965196"/>
    <w:rsid w:val="00965216"/>
    <w:rsid w:val="0096524E"/>
    <w:rsid w:val="00965260"/>
    <w:rsid w:val="00965277"/>
    <w:rsid w:val="00965334"/>
    <w:rsid w:val="00965370"/>
    <w:rsid w:val="00965374"/>
    <w:rsid w:val="00965437"/>
    <w:rsid w:val="009654B9"/>
    <w:rsid w:val="0096551D"/>
    <w:rsid w:val="009656F2"/>
    <w:rsid w:val="00965730"/>
    <w:rsid w:val="0096582B"/>
    <w:rsid w:val="00965884"/>
    <w:rsid w:val="0096589E"/>
    <w:rsid w:val="00965932"/>
    <w:rsid w:val="0096597A"/>
    <w:rsid w:val="00965992"/>
    <w:rsid w:val="009659D4"/>
    <w:rsid w:val="00965A71"/>
    <w:rsid w:val="00965A88"/>
    <w:rsid w:val="00965AC8"/>
    <w:rsid w:val="00965B97"/>
    <w:rsid w:val="00965D1A"/>
    <w:rsid w:val="00965EE2"/>
    <w:rsid w:val="00966036"/>
    <w:rsid w:val="00966040"/>
    <w:rsid w:val="009660E3"/>
    <w:rsid w:val="00966150"/>
    <w:rsid w:val="00966248"/>
    <w:rsid w:val="00966272"/>
    <w:rsid w:val="009662D3"/>
    <w:rsid w:val="0096636B"/>
    <w:rsid w:val="009663D9"/>
    <w:rsid w:val="00966466"/>
    <w:rsid w:val="0096651F"/>
    <w:rsid w:val="00966603"/>
    <w:rsid w:val="00966630"/>
    <w:rsid w:val="0096668F"/>
    <w:rsid w:val="009667DA"/>
    <w:rsid w:val="009667F3"/>
    <w:rsid w:val="00966915"/>
    <w:rsid w:val="0096691D"/>
    <w:rsid w:val="0096694A"/>
    <w:rsid w:val="0096697A"/>
    <w:rsid w:val="0096698C"/>
    <w:rsid w:val="009669E0"/>
    <w:rsid w:val="00966A58"/>
    <w:rsid w:val="00966A6B"/>
    <w:rsid w:val="00966A8A"/>
    <w:rsid w:val="00966A98"/>
    <w:rsid w:val="00966B1A"/>
    <w:rsid w:val="00966B2C"/>
    <w:rsid w:val="00966B66"/>
    <w:rsid w:val="00966BA3"/>
    <w:rsid w:val="00966BFD"/>
    <w:rsid w:val="00966C2F"/>
    <w:rsid w:val="00966C36"/>
    <w:rsid w:val="00966C47"/>
    <w:rsid w:val="00966CD3"/>
    <w:rsid w:val="00966D29"/>
    <w:rsid w:val="00966F02"/>
    <w:rsid w:val="00966F36"/>
    <w:rsid w:val="00966F92"/>
    <w:rsid w:val="00966F9B"/>
    <w:rsid w:val="00967010"/>
    <w:rsid w:val="00967033"/>
    <w:rsid w:val="0096752C"/>
    <w:rsid w:val="00967638"/>
    <w:rsid w:val="00967644"/>
    <w:rsid w:val="00967649"/>
    <w:rsid w:val="009676E8"/>
    <w:rsid w:val="00967733"/>
    <w:rsid w:val="00967745"/>
    <w:rsid w:val="009677CE"/>
    <w:rsid w:val="00967813"/>
    <w:rsid w:val="00967840"/>
    <w:rsid w:val="009678BA"/>
    <w:rsid w:val="009679CB"/>
    <w:rsid w:val="009679F3"/>
    <w:rsid w:val="00967A31"/>
    <w:rsid w:val="00967AB5"/>
    <w:rsid w:val="00967C14"/>
    <w:rsid w:val="00967CB1"/>
    <w:rsid w:val="00967CCC"/>
    <w:rsid w:val="00967DFD"/>
    <w:rsid w:val="00967E10"/>
    <w:rsid w:val="00967EC0"/>
    <w:rsid w:val="0097015A"/>
    <w:rsid w:val="00970165"/>
    <w:rsid w:val="00970232"/>
    <w:rsid w:val="00970248"/>
    <w:rsid w:val="009702FC"/>
    <w:rsid w:val="00970417"/>
    <w:rsid w:val="00970469"/>
    <w:rsid w:val="009704E1"/>
    <w:rsid w:val="0097053F"/>
    <w:rsid w:val="00970573"/>
    <w:rsid w:val="00970605"/>
    <w:rsid w:val="00970734"/>
    <w:rsid w:val="0097074B"/>
    <w:rsid w:val="009707B1"/>
    <w:rsid w:val="00970859"/>
    <w:rsid w:val="00970893"/>
    <w:rsid w:val="009708A7"/>
    <w:rsid w:val="00970901"/>
    <w:rsid w:val="009709AC"/>
    <w:rsid w:val="00970A40"/>
    <w:rsid w:val="00970AB8"/>
    <w:rsid w:val="00970AC0"/>
    <w:rsid w:val="00970CBB"/>
    <w:rsid w:val="00970CF7"/>
    <w:rsid w:val="00970E95"/>
    <w:rsid w:val="00970EE6"/>
    <w:rsid w:val="009710A2"/>
    <w:rsid w:val="00971120"/>
    <w:rsid w:val="00971133"/>
    <w:rsid w:val="0097116D"/>
    <w:rsid w:val="009712FD"/>
    <w:rsid w:val="00971353"/>
    <w:rsid w:val="009713D1"/>
    <w:rsid w:val="00971442"/>
    <w:rsid w:val="009714B3"/>
    <w:rsid w:val="009714E0"/>
    <w:rsid w:val="009715D4"/>
    <w:rsid w:val="0097161D"/>
    <w:rsid w:val="00971620"/>
    <w:rsid w:val="0097162A"/>
    <w:rsid w:val="009716D5"/>
    <w:rsid w:val="00971745"/>
    <w:rsid w:val="0097175E"/>
    <w:rsid w:val="009717E8"/>
    <w:rsid w:val="00971807"/>
    <w:rsid w:val="00971814"/>
    <w:rsid w:val="00971927"/>
    <w:rsid w:val="00971993"/>
    <w:rsid w:val="00971B7B"/>
    <w:rsid w:val="00971B7C"/>
    <w:rsid w:val="00971BA5"/>
    <w:rsid w:val="00971BE9"/>
    <w:rsid w:val="00971BFC"/>
    <w:rsid w:val="00971C06"/>
    <w:rsid w:val="00971C5C"/>
    <w:rsid w:val="00971CEB"/>
    <w:rsid w:val="00971D04"/>
    <w:rsid w:val="00971D2B"/>
    <w:rsid w:val="00971D8D"/>
    <w:rsid w:val="00971D9F"/>
    <w:rsid w:val="00971E8C"/>
    <w:rsid w:val="00972046"/>
    <w:rsid w:val="0097205D"/>
    <w:rsid w:val="009720CF"/>
    <w:rsid w:val="00972104"/>
    <w:rsid w:val="00972201"/>
    <w:rsid w:val="0097222B"/>
    <w:rsid w:val="009722A3"/>
    <w:rsid w:val="00972319"/>
    <w:rsid w:val="009723DD"/>
    <w:rsid w:val="009723F9"/>
    <w:rsid w:val="0097243E"/>
    <w:rsid w:val="0097248E"/>
    <w:rsid w:val="009724F3"/>
    <w:rsid w:val="00972577"/>
    <w:rsid w:val="009725A8"/>
    <w:rsid w:val="009725B0"/>
    <w:rsid w:val="0097271B"/>
    <w:rsid w:val="009727AC"/>
    <w:rsid w:val="009727F0"/>
    <w:rsid w:val="00972806"/>
    <w:rsid w:val="00972827"/>
    <w:rsid w:val="00972862"/>
    <w:rsid w:val="00972887"/>
    <w:rsid w:val="0097288B"/>
    <w:rsid w:val="00972CEB"/>
    <w:rsid w:val="00972CFB"/>
    <w:rsid w:val="00972DDC"/>
    <w:rsid w:val="00972E11"/>
    <w:rsid w:val="00972E1C"/>
    <w:rsid w:val="00972F95"/>
    <w:rsid w:val="00972FA6"/>
    <w:rsid w:val="00973008"/>
    <w:rsid w:val="00973059"/>
    <w:rsid w:val="00973282"/>
    <w:rsid w:val="009732D5"/>
    <w:rsid w:val="00973371"/>
    <w:rsid w:val="00973414"/>
    <w:rsid w:val="0097346F"/>
    <w:rsid w:val="00973504"/>
    <w:rsid w:val="00973599"/>
    <w:rsid w:val="0097359E"/>
    <w:rsid w:val="00973762"/>
    <w:rsid w:val="00973800"/>
    <w:rsid w:val="00973961"/>
    <w:rsid w:val="009739C9"/>
    <w:rsid w:val="00973B7E"/>
    <w:rsid w:val="00973D07"/>
    <w:rsid w:val="00973DD0"/>
    <w:rsid w:val="00973DDB"/>
    <w:rsid w:val="00973DF4"/>
    <w:rsid w:val="00973E98"/>
    <w:rsid w:val="00973F2E"/>
    <w:rsid w:val="00973F80"/>
    <w:rsid w:val="00974043"/>
    <w:rsid w:val="00974085"/>
    <w:rsid w:val="009740AF"/>
    <w:rsid w:val="009740F5"/>
    <w:rsid w:val="0097421D"/>
    <w:rsid w:val="00974259"/>
    <w:rsid w:val="009742D3"/>
    <w:rsid w:val="0097439F"/>
    <w:rsid w:val="009744BE"/>
    <w:rsid w:val="0097451E"/>
    <w:rsid w:val="0097452D"/>
    <w:rsid w:val="009745A2"/>
    <w:rsid w:val="009745C1"/>
    <w:rsid w:val="009745D6"/>
    <w:rsid w:val="009746AB"/>
    <w:rsid w:val="009746C0"/>
    <w:rsid w:val="00974710"/>
    <w:rsid w:val="00974791"/>
    <w:rsid w:val="00974931"/>
    <w:rsid w:val="00974952"/>
    <w:rsid w:val="0097495C"/>
    <w:rsid w:val="00974978"/>
    <w:rsid w:val="00974998"/>
    <w:rsid w:val="009749BA"/>
    <w:rsid w:val="00974A51"/>
    <w:rsid w:val="00974ADB"/>
    <w:rsid w:val="00974C6C"/>
    <w:rsid w:val="00974C83"/>
    <w:rsid w:val="00974DB4"/>
    <w:rsid w:val="00974EF2"/>
    <w:rsid w:val="0097500A"/>
    <w:rsid w:val="00975024"/>
    <w:rsid w:val="009750A9"/>
    <w:rsid w:val="00975125"/>
    <w:rsid w:val="00975170"/>
    <w:rsid w:val="009751B4"/>
    <w:rsid w:val="009751C3"/>
    <w:rsid w:val="00975218"/>
    <w:rsid w:val="0097521A"/>
    <w:rsid w:val="009752D1"/>
    <w:rsid w:val="00975387"/>
    <w:rsid w:val="009753FA"/>
    <w:rsid w:val="00975408"/>
    <w:rsid w:val="009754C6"/>
    <w:rsid w:val="009754DA"/>
    <w:rsid w:val="00975549"/>
    <w:rsid w:val="0097554E"/>
    <w:rsid w:val="009756B2"/>
    <w:rsid w:val="0097581E"/>
    <w:rsid w:val="00975881"/>
    <w:rsid w:val="009758B4"/>
    <w:rsid w:val="00975929"/>
    <w:rsid w:val="0097593E"/>
    <w:rsid w:val="00975A44"/>
    <w:rsid w:val="00975B3F"/>
    <w:rsid w:val="00975B67"/>
    <w:rsid w:val="00975CE4"/>
    <w:rsid w:val="00975DC7"/>
    <w:rsid w:val="00975EBE"/>
    <w:rsid w:val="00975F7C"/>
    <w:rsid w:val="0097601B"/>
    <w:rsid w:val="0097603E"/>
    <w:rsid w:val="009760B7"/>
    <w:rsid w:val="0097616D"/>
    <w:rsid w:val="0097619F"/>
    <w:rsid w:val="0097620E"/>
    <w:rsid w:val="00976245"/>
    <w:rsid w:val="009762BA"/>
    <w:rsid w:val="009762C4"/>
    <w:rsid w:val="009763CD"/>
    <w:rsid w:val="009763FC"/>
    <w:rsid w:val="00976413"/>
    <w:rsid w:val="0097647B"/>
    <w:rsid w:val="00976539"/>
    <w:rsid w:val="009765EA"/>
    <w:rsid w:val="0097670C"/>
    <w:rsid w:val="0097676E"/>
    <w:rsid w:val="009768A3"/>
    <w:rsid w:val="009768F1"/>
    <w:rsid w:val="00976931"/>
    <w:rsid w:val="0097696A"/>
    <w:rsid w:val="00976977"/>
    <w:rsid w:val="009769C1"/>
    <w:rsid w:val="00976A58"/>
    <w:rsid w:val="00976BD9"/>
    <w:rsid w:val="00976C3C"/>
    <w:rsid w:val="00976C70"/>
    <w:rsid w:val="00976CE0"/>
    <w:rsid w:val="00976CE7"/>
    <w:rsid w:val="00976D44"/>
    <w:rsid w:val="00976E6A"/>
    <w:rsid w:val="00976F46"/>
    <w:rsid w:val="00976F74"/>
    <w:rsid w:val="0097701A"/>
    <w:rsid w:val="00977091"/>
    <w:rsid w:val="00977139"/>
    <w:rsid w:val="009771E9"/>
    <w:rsid w:val="009772D4"/>
    <w:rsid w:val="0097731A"/>
    <w:rsid w:val="00977452"/>
    <w:rsid w:val="00977516"/>
    <w:rsid w:val="009775BA"/>
    <w:rsid w:val="0097767B"/>
    <w:rsid w:val="00977693"/>
    <w:rsid w:val="0097769B"/>
    <w:rsid w:val="00977748"/>
    <w:rsid w:val="00977754"/>
    <w:rsid w:val="0097778E"/>
    <w:rsid w:val="00977953"/>
    <w:rsid w:val="00977ADA"/>
    <w:rsid w:val="00977B18"/>
    <w:rsid w:val="00977B22"/>
    <w:rsid w:val="00977CF7"/>
    <w:rsid w:val="00977D97"/>
    <w:rsid w:val="00977DA7"/>
    <w:rsid w:val="00977E72"/>
    <w:rsid w:val="00977F29"/>
    <w:rsid w:val="0098000E"/>
    <w:rsid w:val="00980018"/>
    <w:rsid w:val="0098002B"/>
    <w:rsid w:val="00980080"/>
    <w:rsid w:val="009800C4"/>
    <w:rsid w:val="009800EE"/>
    <w:rsid w:val="00980203"/>
    <w:rsid w:val="0098022D"/>
    <w:rsid w:val="009802C2"/>
    <w:rsid w:val="0098039F"/>
    <w:rsid w:val="00980408"/>
    <w:rsid w:val="00980432"/>
    <w:rsid w:val="00980466"/>
    <w:rsid w:val="009804D0"/>
    <w:rsid w:val="009805A1"/>
    <w:rsid w:val="009805F2"/>
    <w:rsid w:val="0098062A"/>
    <w:rsid w:val="0098064D"/>
    <w:rsid w:val="009806CF"/>
    <w:rsid w:val="009806DC"/>
    <w:rsid w:val="009806F5"/>
    <w:rsid w:val="00980710"/>
    <w:rsid w:val="00980775"/>
    <w:rsid w:val="009807B0"/>
    <w:rsid w:val="0098083B"/>
    <w:rsid w:val="00980856"/>
    <w:rsid w:val="0098092C"/>
    <w:rsid w:val="00980AF6"/>
    <w:rsid w:val="00980C9D"/>
    <w:rsid w:val="00980CBE"/>
    <w:rsid w:val="00980E70"/>
    <w:rsid w:val="00980E8F"/>
    <w:rsid w:val="00980EAB"/>
    <w:rsid w:val="00980FB1"/>
    <w:rsid w:val="00981046"/>
    <w:rsid w:val="00981135"/>
    <w:rsid w:val="00981275"/>
    <w:rsid w:val="0098129F"/>
    <w:rsid w:val="009812C9"/>
    <w:rsid w:val="0098134F"/>
    <w:rsid w:val="009813E2"/>
    <w:rsid w:val="009814D8"/>
    <w:rsid w:val="00981577"/>
    <w:rsid w:val="00981598"/>
    <w:rsid w:val="0098169F"/>
    <w:rsid w:val="009816BA"/>
    <w:rsid w:val="009816DF"/>
    <w:rsid w:val="009816F2"/>
    <w:rsid w:val="00981767"/>
    <w:rsid w:val="009817FE"/>
    <w:rsid w:val="009818B7"/>
    <w:rsid w:val="00981944"/>
    <w:rsid w:val="009819DE"/>
    <w:rsid w:val="00981A4C"/>
    <w:rsid w:val="00981A93"/>
    <w:rsid w:val="00981B0E"/>
    <w:rsid w:val="00981B38"/>
    <w:rsid w:val="00981B56"/>
    <w:rsid w:val="00981BAC"/>
    <w:rsid w:val="00981C16"/>
    <w:rsid w:val="00981C44"/>
    <w:rsid w:val="00981C7E"/>
    <w:rsid w:val="00981E9F"/>
    <w:rsid w:val="00981EEE"/>
    <w:rsid w:val="00981F0C"/>
    <w:rsid w:val="00981FA7"/>
    <w:rsid w:val="00981FAE"/>
    <w:rsid w:val="009820A6"/>
    <w:rsid w:val="00982134"/>
    <w:rsid w:val="009821A1"/>
    <w:rsid w:val="009821EF"/>
    <w:rsid w:val="00982399"/>
    <w:rsid w:val="009823F5"/>
    <w:rsid w:val="009824F0"/>
    <w:rsid w:val="00982717"/>
    <w:rsid w:val="0098272F"/>
    <w:rsid w:val="009827D0"/>
    <w:rsid w:val="00982883"/>
    <w:rsid w:val="00982927"/>
    <w:rsid w:val="00982985"/>
    <w:rsid w:val="009829BF"/>
    <w:rsid w:val="009829EB"/>
    <w:rsid w:val="00982A36"/>
    <w:rsid w:val="00982B08"/>
    <w:rsid w:val="00982B63"/>
    <w:rsid w:val="00982BA7"/>
    <w:rsid w:val="00982BAC"/>
    <w:rsid w:val="00982BC8"/>
    <w:rsid w:val="00982C59"/>
    <w:rsid w:val="00982D96"/>
    <w:rsid w:val="00982F09"/>
    <w:rsid w:val="00982F43"/>
    <w:rsid w:val="00982F61"/>
    <w:rsid w:val="00982F95"/>
    <w:rsid w:val="009830EF"/>
    <w:rsid w:val="0098316F"/>
    <w:rsid w:val="0098318E"/>
    <w:rsid w:val="0098318F"/>
    <w:rsid w:val="00983297"/>
    <w:rsid w:val="009833C6"/>
    <w:rsid w:val="009833EB"/>
    <w:rsid w:val="00983499"/>
    <w:rsid w:val="009834B4"/>
    <w:rsid w:val="009834E3"/>
    <w:rsid w:val="0098352C"/>
    <w:rsid w:val="009835D3"/>
    <w:rsid w:val="00983643"/>
    <w:rsid w:val="00983695"/>
    <w:rsid w:val="009836A8"/>
    <w:rsid w:val="00983724"/>
    <w:rsid w:val="00983752"/>
    <w:rsid w:val="00983880"/>
    <w:rsid w:val="00983912"/>
    <w:rsid w:val="00983965"/>
    <w:rsid w:val="009839CB"/>
    <w:rsid w:val="00983B60"/>
    <w:rsid w:val="00983B74"/>
    <w:rsid w:val="00983BDA"/>
    <w:rsid w:val="00983C76"/>
    <w:rsid w:val="00983C7B"/>
    <w:rsid w:val="00983CAB"/>
    <w:rsid w:val="00983D79"/>
    <w:rsid w:val="00983D7F"/>
    <w:rsid w:val="00983DCD"/>
    <w:rsid w:val="00983E37"/>
    <w:rsid w:val="00983E65"/>
    <w:rsid w:val="00983F56"/>
    <w:rsid w:val="00983F89"/>
    <w:rsid w:val="00984028"/>
    <w:rsid w:val="00984040"/>
    <w:rsid w:val="00984077"/>
    <w:rsid w:val="009840CB"/>
    <w:rsid w:val="009840FB"/>
    <w:rsid w:val="00984131"/>
    <w:rsid w:val="0098416E"/>
    <w:rsid w:val="009841B3"/>
    <w:rsid w:val="009842F0"/>
    <w:rsid w:val="00984325"/>
    <w:rsid w:val="009844BF"/>
    <w:rsid w:val="00984513"/>
    <w:rsid w:val="00984584"/>
    <w:rsid w:val="00984594"/>
    <w:rsid w:val="00984622"/>
    <w:rsid w:val="00984686"/>
    <w:rsid w:val="009846B6"/>
    <w:rsid w:val="0098470B"/>
    <w:rsid w:val="0098472C"/>
    <w:rsid w:val="009847F2"/>
    <w:rsid w:val="0098482C"/>
    <w:rsid w:val="0098483E"/>
    <w:rsid w:val="0098484C"/>
    <w:rsid w:val="009848FA"/>
    <w:rsid w:val="0098496D"/>
    <w:rsid w:val="00984986"/>
    <w:rsid w:val="00984989"/>
    <w:rsid w:val="009849C6"/>
    <w:rsid w:val="009849FA"/>
    <w:rsid w:val="00984A0A"/>
    <w:rsid w:val="00984A14"/>
    <w:rsid w:val="00984A17"/>
    <w:rsid w:val="00984AB6"/>
    <w:rsid w:val="00984B08"/>
    <w:rsid w:val="00984B50"/>
    <w:rsid w:val="00984D04"/>
    <w:rsid w:val="00984DC6"/>
    <w:rsid w:val="00984DE6"/>
    <w:rsid w:val="00984FFB"/>
    <w:rsid w:val="00985031"/>
    <w:rsid w:val="00985132"/>
    <w:rsid w:val="00985150"/>
    <w:rsid w:val="0098529C"/>
    <w:rsid w:val="009853C9"/>
    <w:rsid w:val="00985422"/>
    <w:rsid w:val="00985439"/>
    <w:rsid w:val="0098553C"/>
    <w:rsid w:val="00985579"/>
    <w:rsid w:val="009855AD"/>
    <w:rsid w:val="0098577D"/>
    <w:rsid w:val="00985874"/>
    <w:rsid w:val="009858AE"/>
    <w:rsid w:val="009858DB"/>
    <w:rsid w:val="009858F2"/>
    <w:rsid w:val="009859F2"/>
    <w:rsid w:val="00985B65"/>
    <w:rsid w:val="00985BF7"/>
    <w:rsid w:val="00985CFF"/>
    <w:rsid w:val="00985D65"/>
    <w:rsid w:val="00985DAB"/>
    <w:rsid w:val="00985DE2"/>
    <w:rsid w:val="00986001"/>
    <w:rsid w:val="009861E8"/>
    <w:rsid w:val="009861FA"/>
    <w:rsid w:val="00986201"/>
    <w:rsid w:val="00986356"/>
    <w:rsid w:val="00986365"/>
    <w:rsid w:val="00986399"/>
    <w:rsid w:val="009864AC"/>
    <w:rsid w:val="00986536"/>
    <w:rsid w:val="00986593"/>
    <w:rsid w:val="0098675F"/>
    <w:rsid w:val="009867D7"/>
    <w:rsid w:val="00986878"/>
    <w:rsid w:val="0098687B"/>
    <w:rsid w:val="00986911"/>
    <w:rsid w:val="009869D4"/>
    <w:rsid w:val="00986B97"/>
    <w:rsid w:val="00986BE2"/>
    <w:rsid w:val="00986CB8"/>
    <w:rsid w:val="00986CDF"/>
    <w:rsid w:val="00986DED"/>
    <w:rsid w:val="00986E7A"/>
    <w:rsid w:val="00986F55"/>
    <w:rsid w:val="00986FC9"/>
    <w:rsid w:val="00987097"/>
    <w:rsid w:val="0098714A"/>
    <w:rsid w:val="009873C0"/>
    <w:rsid w:val="009873C5"/>
    <w:rsid w:val="009873FF"/>
    <w:rsid w:val="00987446"/>
    <w:rsid w:val="0098749F"/>
    <w:rsid w:val="00987669"/>
    <w:rsid w:val="009876C9"/>
    <w:rsid w:val="00987758"/>
    <w:rsid w:val="009877C4"/>
    <w:rsid w:val="009878D3"/>
    <w:rsid w:val="0098799B"/>
    <w:rsid w:val="00987B14"/>
    <w:rsid w:val="00987B48"/>
    <w:rsid w:val="00987D46"/>
    <w:rsid w:val="00987D6D"/>
    <w:rsid w:val="00987F57"/>
    <w:rsid w:val="0099000E"/>
    <w:rsid w:val="00990031"/>
    <w:rsid w:val="00990155"/>
    <w:rsid w:val="009901AC"/>
    <w:rsid w:val="009901F1"/>
    <w:rsid w:val="00990293"/>
    <w:rsid w:val="0099033B"/>
    <w:rsid w:val="0099033F"/>
    <w:rsid w:val="0099038E"/>
    <w:rsid w:val="009904AA"/>
    <w:rsid w:val="009904E9"/>
    <w:rsid w:val="0099052A"/>
    <w:rsid w:val="00990559"/>
    <w:rsid w:val="009905A8"/>
    <w:rsid w:val="009905F6"/>
    <w:rsid w:val="009906C4"/>
    <w:rsid w:val="00990725"/>
    <w:rsid w:val="00990772"/>
    <w:rsid w:val="00990803"/>
    <w:rsid w:val="0099083E"/>
    <w:rsid w:val="0099090A"/>
    <w:rsid w:val="0099097B"/>
    <w:rsid w:val="009909AE"/>
    <w:rsid w:val="00990A56"/>
    <w:rsid w:val="00990A94"/>
    <w:rsid w:val="00990A95"/>
    <w:rsid w:val="00990B46"/>
    <w:rsid w:val="00990B7D"/>
    <w:rsid w:val="00990BCA"/>
    <w:rsid w:val="00990C89"/>
    <w:rsid w:val="00990D84"/>
    <w:rsid w:val="00990E06"/>
    <w:rsid w:val="00990E38"/>
    <w:rsid w:val="00990E50"/>
    <w:rsid w:val="00990E6E"/>
    <w:rsid w:val="00990E99"/>
    <w:rsid w:val="00990F6C"/>
    <w:rsid w:val="00991092"/>
    <w:rsid w:val="00991106"/>
    <w:rsid w:val="00991129"/>
    <w:rsid w:val="0099114E"/>
    <w:rsid w:val="00991178"/>
    <w:rsid w:val="009911A2"/>
    <w:rsid w:val="009911A3"/>
    <w:rsid w:val="009911B8"/>
    <w:rsid w:val="009911C4"/>
    <w:rsid w:val="00991230"/>
    <w:rsid w:val="00991244"/>
    <w:rsid w:val="0099125C"/>
    <w:rsid w:val="009912B9"/>
    <w:rsid w:val="00991314"/>
    <w:rsid w:val="00991397"/>
    <w:rsid w:val="00991477"/>
    <w:rsid w:val="009914D1"/>
    <w:rsid w:val="009914E2"/>
    <w:rsid w:val="00991580"/>
    <w:rsid w:val="0099158C"/>
    <w:rsid w:val="009915C5"/>
    <w:rsid w:val="0099169F"/>
    <w:rsid w:val="00991735"/>
    <w:rsid w:val="00991839"/>
    <w:rsid w:val="00991874"/>
    <w:rsid w:val="00991910"/>
    <w:rsid w:val="00991918"/>
    <w:rsid w:val="0099198D"/>
    <w:rsid w:val="00991998"/>
    <w:rsid w:val="00991A5A"/>
    <w:rsid w:val="00991ADA"/>
    <w:rsid w:val="00991ADE"/>
    <w:rsid w:val="00991AF4"/>
    <w:rsid w:val="00991B4F"/>
    <w:rsid w:val="00991B7D"/>
    <w:rsid w:val="00991BC7"/>
    <w:rsid w:val="00991C34"/>
    <w:rsid w:val="00991C47"/>
    <w:rsid w:val="00991D52"/>
    <w:rsid w:val="00991F28"/>
    <w:rsid w:val="00991FCC"/>
    <w:rsid w:val="00992029"/>
    <w:rsid w:val="0099205B"/>
    <w:rsid w:val="009920A6"/>
    <w:rsid w:val="009920DF"/>
    <w:rsid w:val="00992173"/>
    <w:rsid w:val="009921CB"/>
    <w:rsid w:val="009921E9"/>
    <w:rsid w:val="00992218"/>
    <w:rsid w:val="009923F3"/>
    <w:rsid w:val="0099241A"/>
    <w:rsid w:val="0099244D"/>
    <w:rsid w:val="00992489"/>
    <w:rsid w:val="00992518"/>
    <w:rsid w:val="0099263E"/>
    <w:rsid w:val="00992667"/>
    <w:rsid w:val="00992706"/>
    <w:rsid w:val="009928FB"/>
    <w:rsid w:val="00992AB4"/>
    <w:rsid w:val="00992AC6"/>
    <w:rsid w:val="00992AF7"/>
    <w:rsid w:val="00992AFA"/>
    <w:rsid w:val="00992B1B"/>
    <w:rsid w:val="00992B69"/>
    <w:rsid w:val="00992BC4"/>
    <w:rsid w:val="00992BFD"/>
    <w:rsid w:val="00992C69"/>
    <w:rsid w:val="00992D5C"/>
    <w:rsid w:val="00992D7D"/>
    <w:rsid w:val="00992D90"/>
    <w:rsid w:val="00992E05"/>
    <w:rsid w:val="00992EEC"/>
    <w:rsid w:val="00992F40"/>
    <w:rsid w:val="00992F69"/>
    <w:rsid w:val="00993011"/>
    <w:rsid w:val="0099302C"/>
    <w:rsid w:val="0099307E"/>
    <w:rsid w:val="0099308B"/>
    <w:rsid w:val="00993108"/>
    <w:rsid w:val="00993146"/>
    <w:rsid w:val="00993176"/>
    <w:rsid w:val="0099327E"/>
    <w:rsid w:val="00993286"/>
    <w:rsid w:val="009933B3"/>
    <w:rsid w:val="0099342B"/>
    <w:rsid w:val="00993452"/>
    <w:rsid w:val="009935BE"/>
    <w:rsid w:val="00993605"/>
    <w:rsid w:val="0099365B"/>
    <w:rsid w:val="009936CD"/>
    <w:rsid w:val="0099377D"/>
    <w:rsid w:val="0099379E"/>
    <w:rsid w:val="00993816"/>
    <w:rsid w:val="0099388E"/>
    <w:rsid w:val="0099396F"/>
    <w:rsid w:val="00993A07"/>
    <w:rsid w:val="00993A60"/>
    <w:rsid w:val="00993B8A"/>
    <w:rsid w:val="00993C03"/>
    <w:rsid w:val="00993CCB"/>
    <w:rsid w:val="00993D01"/>
    <w:rsid w:val="00993DB1"/>
    <w:rsid w:val="00993E0A"/>
    <w:rsid w:val="00993E88"/>
    <w:rsid w:val="00993EC5"/>
    <w:rsid w:val="00993F63"/>
    <w:rsid w:val="00993FEF"/>
    <w:rsid w:val="00994046"/>
    <w:rsid w:val="0099405C"/>
    <w:rsid w:val="0099406A"/>
    <w:rsid w:val="00994091"/>
    <w:rsid w:val="009940CA"/>
    <w:rsid w:val="009941A8"/>
    <w:rsid w:val="00994232"/>
    <w:rsid w:val="00994243"/>
    <w:rsid w:val="0099424F"/>
    <w:rsid w:val="00994257"/>
    <w:rsid w:val="0099427E"/>
    <w:rsid w:val="009942B0"/>
    <w:rsid w:val="0099440C"/>
    <w:rsid w:val="009944C6"/>
    <w:rsid w:val="0099462A"/>
    <w:rsid w:val="00994736"/>
    <w:rsid w:val="00994798"/>
    <w:rsid w:val="009947ED"/>
    <w:rsid w:val="00994843"/>
    <w:rsid w:val="00994883"/>
    <w:rsid w:val="0099489C"/>
    <w:rsid w:val="00994919"/>
    <w:rsid w:val="00994AD9"/>
    <w:rsid w:val="00994B43"/>
    <w:rsid w:val="00994B46"/>
    <w:rsid w:val="00994B98"/>
    <w:rsid w:val="00994C48"/>
    <w:rsid w:val="00994C6E"/>
    <w:rsid w:val="00994CAC"/>
    <w:rsid w:val="00994CB8"/>
    <w:rsid w:val="00994D9D"/>
    <w:rsid w:val="00994DC3"/>
    <w:rsid w:val="00994E1C"/>
    <w:rsid w:val="00994E25"/>
    <w:rsid w:val="00994E73"/>
    <w:rsid w:val="00994EBA"/>
    <w:rsid w:val="00994F15"/>
    <w:rsid w:val="00994F63"/>
    <w:rsid w:val="00994F69"/>
    <w:rsid w:val="009950B0"/>
    <w:rsid w:val="009950D4"/>
    <w:rsid w:val="00995182"/>
    <w:rsid w:val="009951F7"/>
    <w:rsid w:val="00995218"/>
    <w:rsid w:val="00995287"/>
    <w:rsid w:val="009953A1"/>
    <w:rsid w:val="0099542F"/>
    <w:rsid w:val="00995468"/>
    <w:rsid w:val="009954DE"/>
    <w:rsid w:val="00995536"/>
    <w:rsid w:val="00995555"/>
    <w:rsid w:val="0099566F"/>
    <w:rsid w:val="00995696"/>
    <w:rsid w:val="009956A2"/>
    <w:rsid w:val="009956C7"/>
    <w:rsid w:val="0099581F"/>
    <w:rsid w:val="00995841"/>
    <w:rsid w:val="00995852"/>
    <w:rsid w:val="00995886"/>
    <w:rsid w:val="009958D2"/>
    <w:rsid w:val="009958F7"/>
    <w:rsid w:val="00995943"/>
    <w:rsid w:val="00995960"/>
    <w:rsid w:val="0099597C"/>
    <w:rsid w:val="00995A55"/>
    <w:rsid w:val="00995ADE"/>
    <w:rsid w:val="00995B3D"/>
    <w:rsid w:val="00995B77"/>
    <w:rsid w:val="00995B9A"/>
    <w:rsid w:val="00995C33"/>
    <w:rsid w:val="00995C52"/>
    <w:rsid w:val="00995C5B"/>
    <w:rsid w:val="00995D5C"/>
    <w:rsid w:val="00995E75"/>
    <w:rsid w:val="00995EA7"/>
    <w:rsid w:val="00995FE1"/>
    <w:rsid w:val="00996012"/>
    <w:rsid w:val="00996075"/>
    <w:rsid w:val="009960AF"/>
    <w:rsid w:val="009960C9"/>
    <w:rsid w:val="00996123"/>
    <w:rsid w:val="00996126"/>
    <w:rsid w:val="0099616A"/>
    <w:rsid w:val="00996217"/>
    <w:rsid w:val="009962CE"/>
    <w:rsid w:val="009962E1"/>
    <w:rsid w:val="00996350"/>
    <w:rsid w:val="00996381"/>
    <w:rsid w:val="00996386"/>
    <w:rsid w:val="009963AC"/>
    <w:rsid w:val="009963AE"/>
    <w:rsid w:val="009963B6"/>
    <w:rsid w:val="0099643B"/>
    <w:rsid w:val="00996491"/>
    <w:rsid w:val="009965B9"/>
    <w:rsid w:val="00996707"/>
    <w:rsid w:val="00996759"/>
    <w:rsid w:val="0099675A"/>
    <w:rsid w:val="009967B7"/>
    <w:rsid w:val="00996813"/>
    <w:rsid w:val="00996898"/>
    <w:rsid w:val="009969E5"/>
    <w:rsid w:val="00996A81"/>
    <w:rsid w:val="00996A90"/>
    <w:rsid w:val="00996A96"/>
    <w:rsid w:val="00996AB0"/>
    <w:rsid w:val="00996AC6"/>
    <w:rsid w:val="00996B85"/>
    <w:rsid w:val="00996C73"/>
    <w:rsid w:val="00996D05"/>
    <w:rsid w:val="00996D86"/>
    <w:rsid w:val="00996DB2"/>
    <w:rsid w:val="00996E08"/>
    <w:rsid w:val="00996E4E"/>
    <w:rsid w:val="00996E5C"/>
    <w:rsid w:val="00996F11"/>
    <w:rsid w:val="00996FE9"/>
    <w:rsid w:val="00997098"/>
    <w:rsid w:val="009970CF"/>
    <w:rsid w:val="00997168"/>
    <w:rsid w:val="009971AE"/>
    <w:rsid w:val="00997208"/>
    <w:rsid w:val="00997298"/>
    <w:rsid w:val="009974F6"/>
    <w:rsid w:val="0099779E"/>
    <w:rsid w:val="009977A6"/>
    <w:rsid w:val="009978F6"/>
    <w:rsid w:val="00997A02"/>
    <w:rsid w:val="00997A23"/>
    <w:rsid w:val="00997A52"/>
    <w:rsid w:val="00997A8A"/>
    <w:rsid w:val="00997B2E"/>
    <w:rsid w:val="00997B8A"/>
    <w:rsid w:val="00997B8F"/>
    <w:rsid w:val="00997EAA"/>
    <w:rsid w:val="00997EEE"/>
    <w:rsid w:val="00997F39"/>
    <w:rsid w:val="00997F3B"/>
    <w:rsid w:val="00997F3E"/>
    <w:rsid w:val="00997F4F"/>
    <w:rsid w:val="009A0126"/>
    <w:rsid w:val="009A0258"/>
    <w:rsid w:val="009A0296"/>
    <w:rsid w:val="009A02CD"/>
    <w:rsid w:val="009A03B5"/>
    <w:rsid w:val="009A0428"/>
    <w:rsid w:val="009A0457"/>
    <w:rsid w:val="009A048E"/>
    <w:rsid w:val="009A04A2"/>
    <w:rsid w:val="009A04D0"/>
    <w:rsid w:val="009A0599"/>
    <w:rsid w:val="009A0641"/>
    <w:rsid w:val="009A06B5"/>
    <w:rsid w:val="009A06DB"/>
    <w:rsid w:val="009A0721"/>
    <w:rsid w:val="009A07EB"/>
    <w:rsid w:val="009A07FD"/>
    <w:rsid w:val="009A0883"/>
    <w:rsid w:val="009A0913"/>
    <w:rsid w:val="009A091C"/>
    <w:rsid w:val="009A0925"/>
    <w:rsid w:val="009A0960"/>
    <w:rsid w:val="009A0975"/>
    <w:rsid w:val="009A09A0"/>
    <w:rsid w:val="009A0A78"/>
    <w:rsid w:val="009A0A9D"/>
    <w:rsid w:val="009A0AAE"/>
    <w:rsid w:val="009A0AC2"/>
    <w:rsid w:val="009A0AD4"/>
    <w:rsid w:val="009A0B9F"/>
    <w:rsid w:val="009A0C4B"/>
    <w:rsid w:val="009A0CDB"/>
    <w:rsid w:val="009A0D08"/>
    <w:rsid w:val="009A0DB3"/>
    <w:rsid w:val="009A0E46"/>
    <w:rsid w:val="009A0FED"/>
    <w:rsid w:val="009A10B5"/>
    <w:rsid w:val="009A10C7"/>
    <w:rsid w:val="009A1118"/>
    <w:rsid w:val="009A11FD"/>
    <w:rsid w:val="009A128B"/>
    <w:rsid w:val="009A12D4"/>
    <w:rsid w:val="009A1308"/>
    <w:rsid w:val="009A1513"/>
    <w:rsid w:val="009A1560"/>
    <w:rsid w:val="009A15FC"/>
    <w:rsid w:val="009A17F0"/>
    <w:rsid w:val="009A1998"/>
    <w:rsid w:val="009A19CC"/>
    <w:rsid w:val="009A19F6"/>
    <w:rsid w:val="009A1A91"/>
    <w:rsid w:val="009A1AE1"/>
    <w:rsid w:val="009A1B8E"/>
    <w:rsid w:val="009A1C85"/>
    <w:rsid w:val="009A1D70"/>
    <w:rsid w:val="009A1D76"/>
    <w:rsid w:val="009A1D79"/>
    <w:rsid w:val="009A1DAB"/>
    <w:rsid w:val="009A1E12"/>
    <w:rsid w:val="009A1E28"/>
    <w:rsid w:val="009A1E63"/>
    <w:rsid w:val="009A1EB4"/>
    <w:rsid w:val="009A1F41"/>
    <w:rsid w:val="009A1F84"/>
    <w:rsid w:val="009A1FDE"/>
    <w:rsid w:val="009A202A"/>
    <w:rsid w:val="009A2097"/>
    <w:rsid w:val="009A20CE"/>
    <w:rsid w:val="009A2111"/>
    <w:rsid w:val="009A213F"/>
    <w:rsid w:val="009A2210"/>
    <w:rsid w:val="009A227B"/>
    <w:rsid w:val="009A228B"/>
    <w:rsid w:val="009A22B4"/>
    <w:rsid w:val="009A231C"/>
    <w:rsid w:val="009A238F"/>
    <w:rsid w:val="009A23BE"/>
    <w:rsid w:val="009A2418"/>
    <w:rsid w:val="009A2436"/>
    <w:rsid w:val="009A2567"/>
    <w:rsid w:val="009A257F"/>
    <w:rsid w:val="009A2715"/>
    <w:rsid w:val="009A27FB"/>
    <w:rsid w:val="009A280B"/>
    <w:rsid w:val="009A2889"/>
    <w:rsid w:val="009A289F"/>
    <w:rsid w:val="009A295A"/>
    <w:rsid w:val="009A2A31"/>
    <w:rsid w:val="009A2AB0"/>
    <w:rsid w:val="009A2AC1"/>
    <w:rsid w:val="009A2ADE"/>
    <w:rsid w:val="009A2AF3"/>
    <w:rsid w:val="009A2BDB"/>
    <w:rsid w:val="009A2C5A"/>
    <w:rsid w:val="009A2CF7"/>
    <w:rsid w:val="009A2D56"/>
    <w:rsid w:val="009A2D67"/>
    <w:rsid w:val="009A2DC3"/>
    <w:rsid w:val="009A2DE2"/>
    <w:rsid w:val="009A2F21"/>
    <w:rsid w:val="009A306A"/>
    <w:rsid w:val="009A32AC"/>
    <w:rsid w:val="009A3316"/>
    <w:rsid w:val="009A335B"/>
    <w:rsid w:val="009A3425"/>
    <w:rsid w:val="009A3498"/>
    <w:rsid w:val="009A351A"/>
    <w:rsid w:val="009A3587"/>
    <w:rsid w:val="009A3609"/>
    <w:rsid w:val="009A3617"/>
    <w:rsid w:val="009A36B7"/>
    <w:rsid w:val="009A387D"/>
    <w:rsid w:val="009A38EB"/>
    <w:rsid w:val="009A390C"/>
    <w:rsid w:val="009A3A09"/>
    <w:rsid w:val="009A3C21"/>
    <w:rsid w:val="009A3C4B"/>
    <w:rsid w:val="009A3D4A"/>
    <w:rsid w:val="009A3D9A"/>
    <w:rsid w:val="009A3EDB"/>
    <w:rsid w:val="009A3F1D"/>
    <w:rsid w:val="009A3F5F"/>
    <w:rsid w:val="009A3F8F"/>
    <w:rsid w:val="009A40F0"/>
    <w:rsid w:val="009A419E"/>
    <w:rsid w:val="009A41B8"/>
    <w:rsid w:val="009A41CC"/>
    <w:rsid w:val="009A424F"/>
    <w:rsid w:val="009A425B"/>
    <w:rsid w:val="009A4293"/>
    <w:rsid w:val="009A42C9"/>
    <w:rsid w:val="009A439E"/>
    <w:rsid w:val="009A43DD"/>
    <w:rsid w:val="009A442A"/>
    <w:rsid w:val="009A44AD"/>
    <w:rsid w:val="009A44D7"/>
    <w:rsid w:val="009A453A"/>
    <w:rsid w:val="009A458B"/>
    <w:rsid w:val="009A459E"/>
    <w:rsid w:val="009A45E8"/>
    <w:rsid w:val="009A45F3"/>
    <w:rsid w:val="009A46CA"/>
    <w:rsid w:val="009A47EE"/>
    <w:rsid w:val="009A4934"/>
    <w:rsid w:val="009A4961"/>
    <w:rsid w:val="009A4A2C"/>
    <w:rsid w:val="009A4A6C"/>
    <w:rsid w:val="009A4A9C"/>
    <w:rsid w:val="009A4AC0"/>
    <w:rsid w:val="009A4BC3"/>
    <w:rsid w:val="009A4CB2"/>
    <w:rsid w:val="009A4D0D"/>
    <w:rsid w:val="009A4D87"/>
    <w:rsid w:val="009A4E09"/>
    <w:rsid w:val="009A4FB7"/>
    <w:rsid w:val="009A5067"/>
    <w:rsid w:val="009A52BE"/>
    <w:rsid w:val="009A5379"/>
    <w:rsid w:val="009A53A7"/>
    <w:rsid w:val="009A540D"/>
    <w:rsid w:val="009A5724"/>
    <w:rsid w:val="009A572A"/>
    <w:rsid w:val="009A5740"/>
    <w:rsid w:val="009A57A4"/>
    <w:rsid w:val="009A586C"/>
    <w:rsid w:val="009A5908"/>
    <w:rsid w:val="009A590A"/>
    <w:rsid w:val="009A5918"/>
    <w:rsid w:val="009A595F"/>
    <w:rsid w:val="009A5A46"/>
    <w:rsid w:val="009A5A7A"/>
    <w:rsid w:val="009A5BB9"/>
    <w:rsid w:val="009A5BD1"/>
    <w:rsid w:val="009A5BDB"/>
    <w:rsid w:val="009A5BEE"/>
    <w:rsid w:val="009A5C69"/>
    <w:rsid w:val="009A5C6E"/>
    <w:rsid w:val="009A5DAF"/>
    <w:rsid w:val="009A5E20"/>
    <w:rsid w:val="009A5E3B"/>
    <w:rsid w:val="009A5E86"/>
    <w:rsid w:val="009A5EB0"/>
    <w:rsid w:val="009A5FD0"/>
    <w:rsid w:val="009A60F7"/>
    <w:rsid w:val="009A6141"/>
    <w:rsid w:val="009A619E"/>
    <w:rsid w:val="009A6297"/>
    <w:rsid w:val="009A6309"/>
    <w:rsid w:val="009A640E"/>
    <w:rsid w:val="009A6436"/>
    <w:rsid w:val="009A6473"/>
    <w:rsid w:val="009A649C"/>
    <w:rsid w:val="009A655E"/>
    <w:rsid w:val="009A65C7"/>
    <w:rsid w:val="009A65CA"/>
    <w:rsid w:val="009A65E2"/>
    <w:rsid w:val="009A6686"/>
    <w:rsid w:val="009A66DB"/>
    <w:rsid w:val="009A671B"/>
    <w:rsid w:val="009A6777"/>
    <w:rsid w:val="009A68AF"/>
    <w:rsid w:val="009A68C1"/>
    <w:rsid w:val="009A68C8"/>
    <w:rsid w:val="009A695B"/>
    <w:rsid w:val="009A69AC"/>
    <w:rsid w:val="009A6A16"/>
    <w:rsid w:val="009A6A19"/>
    <w:rsid w:val="009A6B84"/>
    <w:rsid w:val="009A6C1D"/>
    <w:rsid w:val="009A6D4A"/>
    <w:rsid w:val="009A6D59"/>
    <w:rsid w:val="009A70AB"/>
    <w:rsid w:val="009A70C8"/>
    <w:rsid w:val="009A70E4"/>
    <w:rsid w:val="009A7101"/>
    <w:rsid w:val="009A7190"/>
    <w:rsid w:val="009A723D"/>
    <w:rsid w:val="009A72A2"/>
    <w:rsid w:val="009A72E4"/>
    <w:rsid w:val="009A7307"/>
    <w:rsid w:val="009A735B"/>
    <w:rsid w:val="009A73C1"/>
    <w:rsid w:val="009A73E1"/>
    <w:rsid w:val="009A7507"/>
    <w:rsid w:val="009A7569"/>
    <w:rsid w:val="009A7577"/>
    <w:rsid w:val="009A75E7"/>
    <w:rsid w:val="009A7644"/>
    <w:rsid w:val="009A7648"/>
    <w:rsid w:val="009A765E"/>
    <w:rsid w:val="009A7790"/>
    <w:rsid w:val="009A77B9"/>
    <w:rsid w:val="009A77E0"/>
    <w:rsid w:val="009A782F"/>
    <w:rsid w:val="009A7832"/>
    <w:rsid w:val="009A7889"/>
    <w:rsid w:val="009A78D7"/>
    <w:rsid w:val="009A795F"/>
    <w:rsid w:val="009A79BF"/>
    <w:rsid w:val="009A7A8B"/>
    <w:rsid w:val="009A7B25"/>
    <w:rsid w:val="009A7BA4"/>
    <w:rsid w:val="009A7BDF"/>
    <w:rsid w:val="009A7C35"/>
    <w:rsid w:val="009A7C53"/>
    <w:rsid w:val="009A7CBA"/>
    <w:rsid w:val="009A7D01"/>
    <w:rsid w:val="009A7DF9"/>
    <w:rsid w:val="009A7ED3"/>
    <w:rsid w:val="009A7EEB"/>
    <w:rsid w:val="009A7EF0"/>
    <w:rsid w:val="009A7F5E"/>
    <w:rsid w:val="009A7F79"/>
    <w:rsid w:val="009B0137"/>
    <w:rsid w:val="009B0263"/>
    <w:rsid w:val="009B02A5"/>
    <w:rsid w:val="009B02B2"/>
    <w:rsid w:val="009B0533"/>
    <w:rsid w:val="009B0613"/>
    <w:rsid w:val="009B07B3"/>
    <w:rsid w:val="009B07FE"/>
    <w:rsid w:val="009B089D"/>
    <w:rsid w:val="009B08BB"/>
    <w:rsid w:val="009B094C"/>
    <w:rsid w:val="009B0A1D"/>
    <w:rsid w:val="009B0A75"/>
    <w:rsid w:val="009B0B02"/>
    <w:rsid w:val="009B0B48"/>
    <w:rsid w:val="009B0BB9"/>
    <w:rsid w:val="009B0CF7"/>
    <w:rsid w:val="009B0DF7"/>
    <w:rsid w:val="009B0E7C"/>
    <w:rsid w:val="009B10FB"/>
    <w:rsid w:val="009B110D"/>
    <w:rsid w:val="009B1171"/>
    <w:rsid w:val="009B11FE"/>
    <w:rsid w:val="009B122A"/>
    <w:rsid w:val="009B1259"/>
    <w:rsid w:val="009B1324"/>
    <w:rsid w:val="009B1364"/>
    <w:rsid w:val="009B137D"/>
    <w:rsid w:val="009B13EF"/>
    <w:rsid w:val="009B1486"/>
    <w:rsid w:val="009B1491"/>
    <w:rsid w:val="009B157E"/>
    <w:rsid w:val="009B162C"/>
    <w:rsid w:val="009B1693"/>
    <w:rsid w:val="009B170C"/>
    <w:rsid w:val="009B1777"/>
    <w:rsid w:val="009B189D"/>
    <w:rsid w:val="009B1A03"/>
    <w:rsid w:val="009B1A0B"/>
    <w:rsid w:val="009B1AF3"/>
    <w:rsid w:val="009B1B08"/>
    <w:rsid w:val="009B1B16"/>
    <w:rsid w:val="009B1B17"/>
    <w:rsid w:val="009B1BB4"/>
    <w:rsid w:val="009B1C28"/>
    <w:rsid w:val="009B1C56"/>
    <w:rsid w:val="009B1CCA"/>
    <w:rsid w:val="009B1EF9"/>
    <w:rsid w:val="009B1FD3"/>
    <w:rsid w:val="009B2048"/>
    <w:rsid w:val="009B206D"/>
    <w:rsid w:val="009B2183"/>
    <w:rsid w:val="009B2204"/>
    <w:rsid w:val="009B2290"/>
    <w:rsid w:val="009B2320"/>
    <w:rsid w:val="009B23B4"/>
    <w:rsid w:val="009B2489"/>
    <w:rsid w:val="009B255C"/>
    <w:rsid w:val="009B2648"/>
    <w:rsid w:val="009B2725"/>
    <w:rsid w:val="009B27AC"/>
    <w:rsid w:val="009B27B6"/>
    <w:rsid w:val="009B27D0"/>
    <w:rsid w:val="009B2892"/>
    <w:rsid w:val="009B28C1"/>
    <w:rsid w:val="009B295C"/>
    <w:rsid w:val="009B2BB8"/>
    <w:rsid w:val="009B2D0F"/>
    <w:rsid w:val="009B2D9E"/>
    <w:rsid w:val="009B2E18"/>
    <w:rsid w:val="009B2E39"/>
    <w:rsid w:val="009B2E8E"/>
    <w:rsid w:val="009B2E92"/>
    <w:rsid w:val="009B2F81"/>
    <w:rsid w:val="009B2F8C"/>
    <w:rsid w:val="009B2FB4"/>
    <w:rsid w:val="009B3052"/>
    <w:rsid w:val="009B30E1"/>
    <w:rsid w:val="009B31FA"/>
    <w:rsid w:val="009B3338"/>
    <w:rsid w:val="009B346E"/>
    <w:rsid w:val="009B34B0"/>
    <w:rsid w:val="009B3534"/>
    <w:rsid w:val="009B3611"/>
    <w:rsid w:val="009B36B7"/>
    <w:rsid w:val="009B36E4"/>
    <w:rsid w:val="009B3834"/>
    <w:rsid w:val="009B3850"/>
    <w:rsid w:val="009B3858"/>
    <w:rsid w:val="009B3880"/>
    <w:rsid w:val="009B3894"/>
    <w:rsid w:val="009B38AD"/>
    <w:rsid w:val="009B3968"/>
    <w:rsid w:val="009B39A6"/>
    <w:rsid w:val="009B3AB9"/>
    <w:rsid w:val="009B3AFE"/>
    <w:rsid w:val="009B3B31"/>
    <w:rsid w:val="009B3B53"/>
    <w:rsid w:val="009B3B8D"/>
    <w:rsid w:val="009B3BCE"/>
    <w:rsid w:val="009B3C0D"/>
    <w:rsid w:val="009B3C20"/>
    <w:rsid w:val="009B3D30"/>
    <w:rsid w:val="009B3D80"/>
    <w:rsid w:val="009B3E32"/>
    <w:rsid w:val="009B3E57"/>
    <w:rsid w:val="009B3F78"/>
    <w:rsid w:val="009B404A"/>
    <w:rsid w:val="009B409F"/>
    <w:rsid w:val="009B40EC"/>
    <w:rsid w:val="009B412F"/>
    <w:rsid w:val="009B41EF"/>
    <w:rsid w:val="009B42DC"/>
    <w:rsid w:val="009B4369"/>
    <w:rsid w:val="009B441B"/>
    <w:rsid w:val="009B4607"/>
    <w:rsid w:val="009B4626"/>
    <w:rsid w:val="009B46E9"/>
    <w:rsid w:val="009B471F"/>
    <w:rsid w:val="009B47DC"/>
    <w:rsid w:val="009B495D"/>
    <w:rsid w:val="009B497F"/>
    <w:rsid w:val="009B499F"/>
    <w:rsid w:val="009B49EB"/>
    <w:rsid w:val="009B4A36"/>
    <w:rsid w:val="009B4C1C"/>
    <w:rsid w:val="009B4D59"/>
    <w:rsid w:val="009B4D91"/>
    <w:rsid w:val="009B4E13"/>
    <w:rsid w:val="009B4E5C"/>
    <w:rsid w:val="009B4F66"/>
    <w:rsid w:val="009B5104"/>
    <w:rsid w:val="009B51A4"/>
    <w:rsid w:val="009B51C8"/>
    <w:rsid w:val="009B51DF"/>
    <w:rsid w:val="009B533E"/>
    <w:rsid w:val="009B535C"/>
    <w:rsid w:val="009B55CB"/>
    <w:rsid w:val="009B55CC"/>
    <w:rsid w:val="009B565C"/>
    <w:rsid w:val="009B56AA"/>
    <w:rsid w:val="009B56EE"/>
    <w:rsid w:val="009B56FD"/>
    <w:rsid w:val="009B588E"/>
    <w:rsid w:val="009B58B2"/>
    <w:rsid w:val="009B58E7"/>
    <w:rsid w:val="009B595F"/>
    <w:rsid w:val="009B597C"/>
    <w:rsid w:val="009B59AD"/>
    <w:rsid w:val="009B5A2E"/>
    <w:rsid w:val="009B5A4F"/>
    <w:rsid w:val="009B5A8E"/>
    <w:rsid w:val="009B5B8D"/>
    <w:rsid w:val="009B5BC6"/>
    <w:rsid w:val="009B5BD0"/>
    <w:rsid w:val="009B5C00"/>
    <w:rsid w:val="009B5D54"/>
    <w:rsid w:val="009B5DD0"/>
    <w:rsid w:val="009B5E81"/>
    <w:rsid w:val="009B5EE2"/>
    <w:rsid w:val="009B5F68"/>
    <w:rsid w:val="009B5F70"/>
    <w:rsid w:val="009B5F85"/>
    <w:rsid w:val="009B6010"/>
    <w:rsid w:val="009B6053"/>
    <w:rsid w:val="009B60BE"/>
    <w:rsid w:val="009B615C"/>
    <w:rsid w:val="009B61FC"/>
    <w:rsid w:val="009B62BF"/>
    <w:rsid w:val="009B6302"/>
    <w:rsid w:val="009B6325"/>
    <w:rsid w:val="009B6352"/>
    <w:rsid w:val="009B6371"/>
    <w:rsid w:val="009B6530"/>
    <w:rsid w:val="009B6567"/>
    <w:rsid w:val="009B656A"/>
    <w:rsid w:val="009B6666"/>
    <w:rsid w:val="009B66FB"/>
    <w:rsid w:val="009B66FE"/>
    <w:rsid w:val="009B6774"/>
    <w:rsid w:val="009B6783"/>
    <w:rsid w:val="009B67AA"/>
    <w:rsid w:val="009B683E"/>
    <w:rsid w:val="009B6871"/>
    <w:rsid w:val="009B68A7"/>
    <w:rsid w:val="009B68AC"/>
    <w:rsid w:val="009B693E"/>
    <w:rsid w:val="009B69BA"/>
    <w:rsid w:val="009B6ADE"/>
    <w:rsid w:val="009B6AF4"/>
    <w:rsid w:val="009B6C04"/>
    <w:rsid w:val="009B6C29"/>
    <w:rsid w:val="009B6D8E"/>
    <w:rsid w:val="009B6DB3"/>
    <w:rsid w:val="009B6EE2"/>
    <w:rsid w:val="009B6F7B"/>
    <w:rsid w:val="009B6FA1"/>
    <w:rsid w:val="009B7047"/>
    <w:rsid w:val="009B70DA"/>
    <w:rsid w:val="009B712D"/>
    <w:rsid w:val="009B719A"/>
    <w:rsid w:val="009B7280"/>
    <w:rsid w:val="009B72E3"/>
    <w:rsid w:val="009B7337"/>
    <w:rsid w:val="009B74A3"/>
    <w:rsid w:val="009B75CA"/>
    <w:rsid w:val="009B7646"/>
    <w:rsid w:val="009B76CC"/>
    <w:rsid w:val="009B772A"/>
    <w:rsid w:val="009B7862"/>
    <w:rsid w:val="009B7872"/>
    <w:rsid w:val="009B791F"/>
    <w:rsid w:val="009B7A69"/>
    <w:rsid w:val="009B7B39"/>
    <w:rsid w:val="009B7BB9"/>
    <w:rsid w:val="009B7D9C"/>
    <w:rsid w:val="009B7DCA"/>
    <w:rsid w:val="009B7F21"/>
    <w:rsid w:val="009B7F6E"/>
    <w:rsid w:val="009B7FFD"/>
    <w:rsid w:val="009C002E"/>
    <w:rsid w:val="009C0048"/>
    <w:rsid w:val="009C0194"/>
    <w:rsid w:val="009C02AF"/>
    <w:rsid w:val="009C02FD"/>
    <w:rsid w:val="009C03AE"/>
    <w:rsid w:val="009C03C0"/>
    <w:rsid w:val="009C03ED"/>
    <w:rsid w:val="009C048F"/>
    <w:rsid w:val="009C04AE"/>
    <w:rsid w:val="009C04B3"/>
    <w:rsid w:val="009C04CE"/>
    <w:rsid w:val="009C04EA"/>
    <w:rsid w:val="009C0503"/>
    <w:rsid w:val="009C0552"/>
    <w:rsid w:val="009C05A7"/>
    <w:rsid w:val="009C05C1"/>
    <w:rsid w:val="009C0675"/>
    <w:rsid w:val="009C069C"/>
    <w:rsid w:val="009C0883"/>
    <w:rsid w:val="009C0904"/>
    <w:rsid w:val="009C0969"/>
    <w:rsid w:val="009C0999"/>
    <w:rsid w:val="009C09A1"/>
    <w:rsid w:val="009C09E1"/>
    <w:rsid w:val="009C0A7C"/>
    <w:rsid w:val="009C0B1A"/>
    <w:rsid w:val="009C0B36"/>
    <w:rsid w:val="009C0CB1"/>
    <w:rsid w:val="009C0CD8"/>
    <w:rsid w:val="009C0D38"/>
    <w:rsid w:val="009C0D40"/>
    <w:rsid w:val="009C0D57"/>
    <w:rsid w:val="009C0DD2"/>
    <w:rsid w:val="009C0E00"/>
    <w:rsid w:val="009C0E1F"/>
    <w:rsid w:val="009C0E66"/>
    <w:rsid w:val="009C0EC5"/>
    <w:rsid w:val="009C0F06"/>
    <w:rsid w:val="009C0F53"/>
    <w:rsid w:val="009C0F5C"/>
    <w:rsid w:val="009C1054"/>
    <w:rsid w:val="009C12A1"/>
    <w:rsid w:val="009C12BE"/>
    <w:rsid w:val="009C1301"/>
    <w:rsid w:val="009C1361"/>
    <w:rsid w:val="009C14C1"/>
    <w:rsid w:val="009C1570"/>
    <w:rsid w:val="009C15AA"/>
    <w:rsid w:val="009C161C"/>
    <w:rsid w:val="009C171F"/>
    <w:rsid w:val="009C1833"/>
    <w:rsid w:val="009C189D"/>
    <w:rsid w:val="009C18BC"/>
    <w:rsid w:val="009C18C7"/>
    <w:rsid w:val="009C1A30"/>
    <w:rsid w:val="009C1A54"/>
    <w:rsid w:val="009C1B62"/>
    <w:rsid w:val="009C1B6B"/>
    <w:rsid w:val="009C1B7C"/>
    <w:rsid w:val="009C1B81"/>
    <w:rsid w:val="009C1C13"/>
    <w:rsid w:val="009C1C5A"/>
    <w:rsid w:val="009C1CA9"/>
    <w:rsid w:val="009C1DCE"/>
    <w:rsid w:val="009C1E36"/>
    <w:rsid w:val="009C20A0"/>
    <w:rsid w:val="009C220D"/>
    <w:rsid w:val="009C232A"/>
    <w:rsid w:val="009C2342"/>
    <w:rsid w:val="009C234E"/>
    <w:rsid w:val="009C235C"/>
    <w:rsid w:val="009C23E3"/>
    <w:rsid w:val="009C243A"/>
    <w:rsid w:val="009C2491"/>
    <w:rsid w:val="009C2537"/>
    <w:rsid w:val="009C25F9"/>
    <w:rsid w:val="009C26AA"/>
    <w:rsid w:val="009C27ED"/>
    <w:rsid w:val="009C2826"/>
    <w:rsid w:val="009C293F"/>
    <w:rsid w:val="009C29D9"/>
    <w:rsid w:val="009C2A2B"/>
    <w:rsid w:val="009C2A6D"/>
    <w:rsid w:val="009C2BCF"/>
    <w:rsid w:val="009C2BE8"/>
    <w:rsid w:val="009C2BEA"/>
    <w:rsid w:val="009C2C23"/>
    <w:rsid w:val="009C2C6D"/>
    <w:rsid w:val="009C2C87"/>
    <w:rsid w:val="009C2CDB"/>
    <w:rsid w:val="009C2D2E"/>
    <w:rsid w:val="009C2E10"/>
    <w:rsid w:val="009C2E22"/>
    <w:rsid w:val="009C2E80"/>
    <w:rsid w:val="009C2E98"/>
    <w:rsid w:val="009C2EBB"/>
    <w:rsid w:val="009C3014"/>
    <w:rsid w:val="009C3051"/>
    <w:rsid w:val="009C31F0"/>
    <w:rsid w:val="009C3257"/>
    <w:rsid w:val="009C32D6"/>
    <w:rsid w:val="009C32F9"/>
    <w:rsid w:val="009C3376"/>
    <w:rsid w:val="009C338E"/>
    <w:rsid w:val="009C34C0"/>
    <w:rsid w:val="009C35C8"/>
    <w:rsid w:val="009C35CD"/>
    <w:rsid w:val="009C35D5"/>
    <w:rsid w:val="009C3639"/>
    <w:rsid w:val="009C363D"/>
    <w:rsid w:val="009C3702"/>
    <w:rsid w:val="009C374A"/>
    <w:rsid w:val="009C37F4"/>
    <w:rsid w:val="009C392A"/>
    <w:rsid w:val="009C3A0D"/>
    <w:rsid w:val="009C3A46"/>
    <w:rsid w:val="009C3AC3"/>
    <w:rsid w:val="009C3C1A"/>
    <w:rsid w:val="009C3C75"/>
    <w:rsid w:val="009C3D64"/>
    <w:rsid w:val="009C3E97"/>
    <w:rsid w:val="009C3F8B"/>
    <w:rsid w:val="009C4001"/>
    <w:rsid w:val="009C417B"/>
    <w:rsid w:val="009C4191"/>
    <w:rsid w:val="009C4196"/>
    <w:rsid w:val="009C4318"/>
    <w:rsid w:val="009C4383"/>
    <w:rsid w:val="009C43B2"/>
    <w:rsid w:val="009C445F"/>
    <w:rsid w:val="009C4505"/>
    <w:rsid w:val="009C4581"/>
    <w:rsid w:val="009C459D"/>
    <w:rsid w:val="009C4621"/>
    <w:rsid w:val="009C462F"/>
    <w:rsid w:val="009C46C5"/>
    <w:rsid w:val="009C46E2"/>
    <w:rsid w:val="009C4763"/>
    <w:rsid w:val="009C483C"/>
    <w:rsid w:val="009C48A0"/>
    <w:rsid w:val="009C4A16"/>
    <w:rsid w:val="009C4A87"/>
    <w:rsid w:val="009C4ABD"/>
    <w:rsid w:val="009C4C0E"/>
    <w:rsid w:val="009C4C25"/>
    <w:rsid w:val="009C4C5D"/>
    <w:rsid w:val="009C4CAA"/>
    <w:rsid w:val="009C4E74"/>
    <w:rsid w:val="009C4E8F"/>
    <w:rsid w:val="009C4F5D"/>
    <w:rsid w:val="009C503B"/>
    <w:rsid w:val="009C50D5"/>
    <w:rsid w:val="009C50D6"/>
    <w:rsid w:val="009C513E"/>
    <w:rsid w:val="009C523A"/>
    <w:rsid w:val="009C52A2"/>
    <w:rsid w:val="009C52BE"/>
    <w:rsid w:val="009C5416"/>
    <w:rsid w:val="009C543E"/>
    <w:rsid w:val="009C5514"/>
    <w:rsid w:val="009C557A"/>
    <w:rsid w:val="009C55CC"/>
    <w:rsid w:val="009C5A41"/>
    <w:rsid w:val="009C5B59"/>
    <w:rsid w:val="009C5BBD"/>
    <w:rsid w:val="009C5C67"/>
    <w:rsid w:val="009C5D53"/>
    <w:rsid w:val="009C5DC4"/>
    <w:rsid w:val="009C5E31"/>
    <w:rsid w:val="009C5FC3"/>
    <w:rsid w:val="009C5FF0"/>
    <w:rsid w:val="009C6087"/>
    <w:rsid w:val="009C6101"/>
    <w:rsid w:val="009C6132"/>
    <w:rsid w:val="009C618A"/>
    <w:rsid w:val="009C620D"/>
    <w:rsid w:val="009C63D4"/>
    <w:rsid w:val="009C645B"/>
    <w:rsid w:val="009C6491"/>
    <w:rsid w:val="009C657C"/>
    <w:rsid w:val="009C65EC"/>
    <w:rsid w:val="009C65EE"/>
    <w:rsid w:val="009C665D"/>
    <w:rsid w:val="009C66A5"/>
    <w:rsid w:val="009C672A"/>
    <w:rsid w:val="009C6742"/>
    <w:rsid w:val="009C6756"/>
    <w:rsid w:val="009C68BB"/>
    <w:rsid w:val="009C68DF"/>
    <w:rsid w:val="009C69FA"/>
    <w:rsid w:val="009C6B1F"/>
    <w:rsid w:val="009C6B61"/>
    <w:rsid w:val="009C6C1C"/>
    <w:rsid w:val="009C6D93"/>
    <w:rsid w:val="009C6DDF"/>
    <w:rsid w:val="009C6EBB"/>
    <w:rsid w:val="009C702A"/>
    <w:rsid w:val="009C7076"/>
    <w:rsid w:val="009C7126"/>
    <w:rsid w:val="009C714F"/>
    <w:rsid w:val="009C72A2"/>
    <w:rsid w:val="009C72F1"/>
    <w:rsid w:val="009C738C"/>
    <w:rsid w:val="009C739A"/>
    <w:rsid w:val="009C7539"/>
    <w:rsid w:val="009C7563"/>
    <w:rsid w:val="009C757E"/>
    <w:rsid w:val="009C75B1"/>
    <w:rsid w:val="009C7763"/>
    <w:rsid w:val="009C7783"/>
    <w:rsid w:val="009C778D"/>
    <w:rsid w:val="009C7796"/>
    <w:rsid w:val="009C77BE"/>
    <w:rsid w:val="009C77C1"/>
    <w:rsid w:val="009C7800"/>
    <w:rsid w:val="009C790E"/>
    <w:rsid w:val="009C798F"/>
    <w:rsid w:val="009C79EA"/>
    <w:rsid w:val="009C79ED"/>
    <w:rsid w:val="009C7AA0"/>
    <w:rsid w:val="009C7AF0"/>
    <w:rsid w:val="009C7BE5"/>
    <w:rsid w:val="009C7CD6"/>
    <w:rsid w:val="009C7CDA"/>
    <w:rsid w:val="009C7D01"/>
    <w:rsid w:val="009C7D9A"/>
    <w:rsid w:val="009C7E67"/>
    <w:rsid w:val="009C7E9D"/>
    <w:rsid w:val="009C7EFB"/>
    <w:rsid w:val="009C7F1A"/>
    <w:rsid w:val="009C7F58"/>
    <w:rsid w:val="009D002C"/>
    <w:rsid w:val="009D00C7"/>
    <w:rsid w:val="009D0109"/>
    <w:rsid w:val="009D0156"/>
    <w:rsid w:val="009D01A5"/>
    <w:rsid w:val="009D027F"/>
    <w:rsid w:val="009D02DE"/>
    <w:rsid w:val="009D02E0"/>
    <w:rsid w:val="009D03E2"/>
    <w:rsid w:val="009D0491"/>
    <w:rsid w:val="009D05AA"/>
    <w:rsid w:val="009D0739"/>
    <w:rsid w:val="009D077C"/>
    <w:rsid w:val="009D07C6"/>
    <w:rsid w:val="009D07E8"/>
    <w:rsid w:val="009D0852"/>
    <w:rsid w:val="009D0857"/>
    <w:rsid w:val="009D0860"/>
    <w:rsid w:val="009D089D"/>
    <w:rsid w:val="009D08CF"/>
    <w:rsid w:val="009D09A8"/>
    <w:rsid w:val="009D09AD"/>
    <w:rsid w:val="009D09CF"/>
    <w:rsid w:val="009D0ADB"/>
    <w:rsid w:val="009D0B97"/>
    <w:rsid w:val="009D0BAA"/>
    <w:rsid w:val="009D0C0D"/>
    <w:rsid w:val="009D0D70"/>
    <w:rsid w:val="009D0D72"/>
    <w:rsid w:val="009D0D7F"/>
    <w:rsid w:val="009D0DBF"/>
    <w:rsid w:val="009D0DDB"/>
    <w:rsid w:val="009D0DDD"/>
    <w:rsid w:val="009D0DF2"/>
    <w:rsid w:val="009D0E16"/>
    <w:rsid w:val="009D0F25"/>
    <w:rsid w:val="009D0F28"/>
    <w:rsid w:val="009D0F36"/>
    <w:rsid w:val="009D0FB1"/>
    <w:rsid w:val="009D109C"/>
    <w:rsid w:val="009D10D5"/>
    <w:rsid w:val="009D11C7"/>
    <w:rsid w:val="009D11C8"/>
    <w:rsid w:val="009D1214"/>
    <w:rsid w:val="009D1304"/>
    <w:rsid w:val="009D13D6"/>
    <w:rsid w:val="009D1441"/>
    <w:rsid w:val="009D14A8"/>
    <w:rsid w:val="009D1522"/>
    <w:rsid w:val="009D15AE"/>
    <w:rsid w:val="009D1636"/>
    <w:rsid w:val="009D16B6"/>
    <w:rsid w:val="009D17E6"/>
    <w:rsid w:val="009D18D4"/>
    <w:rsid w:val="009D19D1"/>
    <w:rsid w:val="009D19D4"/>
    <w:rsid w:val="009D1AB2"/>
    <w:rsid w:val="009D1ACE"/>
    <w:rsid w:val="009D1B44"/>
    <w:rsid w:val="009D1C0A"/>
    <w:rsid w:val="009D1E9C"/>
    <w:rsid w:val="009D1EA2"/>
    <w:rsid w:val="009D1F56"/>
    <w:rsid w:val="009D1F9B"/>
    <w:rsid w:val="009D1FB7"/>
    <w:rsid w:val="009D200C"/>
    <w:rsid w:val="009D20C9"/>
    <w:rsid w:val="009D211F"/>
    <w:rsid w:val="009D214A"/>
    <w:rsid w:val="009D2185"/>
    <w:rsid w:val="009D21AD"/>
    <w:rsid w:val="009D21C5"/>
    <w:rsid w:val="009D21E8"/>
    <w:rsid w:val="009D21F4"/>
    <w:rsid w:val="009D220C"/>
    <w:rsid w:val="009D22CF"/>
    <w:rsid w:val="009D22DD"/>
    <w:rsid w:val="009D23A6"/>
    <w:rsid w:val="009D23FC"/>
    <w:rsid w:val="009D242F"/>
    <w:rsid w:val="009D245A"/>
    <w:rsid w:val="009D25BB"/>
    <w:rsid w:val="009D264B"/>
    <w:rsid w:val="009D26BE"/>
    <w:rsid w:val="009D281F"/>
    <w:rsid w:val="009D2906"/>
    <w:rsid w:val="009D29C4"/>
    <w:rsid w:val="009D2A1F"/>
    <w:rsid w:val="009D2B25"/>
    <w:rsid w:val="009D2BA7"/>
    <w:rsid w:val="009D2C60"/>
    <w:rsid w:val="009D2D53"/>
    <w:rsid w:val="009D2EA0"/>
    <w:rsid w:val="009D2FB3"/>
    <w:rsid w:val="009D2FEC"/>
    <w:rsid w:val="009D30E4"/>
    <w:rsid w:val="009D3101"/>
    <w:rsid w:val="009D317D"/>
    <w:rsid w:val="009D32B6"/>
    <w:rsid w:val="009D32E8"/>
    <w:rsid w:val="009D33A7"/>
    <w:rsid w:val="009D34A3"/>
    <w:rsid w:val="009D34F1"/>
    <w:rsid w:val="009D35B1"/>
    <w:rsid w:val="009D3678"/>
    <w:rsid w:val="009D36D5"/>
    <w:rsid w:val="009D381E"/>
    <w:rsid w:val="009D3871"/>
    <w:rsid w:val="009D3B21"/>
    <w:rsid w:val="009D3BB7"/>
    <w:rsid w:val="009D3C0B"/>
    <w:rsid w:val="009D3CD9"/>
    <w:rsid w:val="009D3D07"/>
    <w:rsid w:val="009D3D3C"/>
    <w:rsid w:val="009D3DC6"/>
    <w:rsid w:val="009D3E92"/>
    <w:rsid w:val="009D3EAE"/>
    <w:rsid w:val="009D3F12"/>
    <w:rsid w:val="009D402A"/>
    <w:rsid w:val="009D4035"/>
    <w:rsid w:val="009D407E"/>
    <w:rsid w:val="009D4096"/>
    <w:rsid w:val="009D4175"/>
    <w:rsid w:val="009D41BE"/>
    <w:rsid w:val="009D4235"/>
    <w:rsid w:val="009D427F"/>
    <w:rsid w:val="009D42B6"/>
    <w:rsid w:val="009D43F9"/>
    <w:rsid w:val="009D4442"/>
    <w:rsid w:val="009D44AB"/>
    <w:rsid w:val="009D4572"/>
    <w:rsid w:val="009D4613"/>
    <w:rsid w:val="009D466E"/>
    <w:rsid w:val="009D4677"/>
    <w:rsid w:val="009D46AE"/>
    <w:rsid w:val="009D4742"/>
    <w:rsid w:val="009D477E"/>
    <w:rsid w:val="009D47F1"/>
    <w:rsid w:val="009D4855"/>
    <w:rsid w:val="009D4875"/>
    <w:rsid w:val="009D48BF"/>
    <w:rsid w:val="009D491F"/>
    <w:rsid w:val="009D49E4"/>
    <w:rsid w:val="009D4AF3"/>
    <w:rsid w:val="009D4B2E"/>
    <w:rsid w:val="009D4B41"/>
    <w:rsid w:val="009D4B8E"/>
    <w:rsid w:val="009D4BB0"/>
    <w:rsid w:val="009D4CDB"/>
    <w:rsid w:val="009D4CE1"/>
    <w:rsid w:val="009D4CEA"/>
    <w:rsid w:val="009D4E7A"/>
    <w:rsid w:val="009D4EAB"/>
    <w:rsid w:val="009D4EF9"/>
    <w:rsid w:val="009D4F7E"/>
    <w:rsid w:val="009D505F"/>
    <w:rsid w:val="009D507D"/>
    <w:rsid w:val="009D516B"/>
    <w:rsid w:val="009D5192"/>
    <w:rsid w:val="009D51BA"/>
    <w:rsid w:val="009D5201"/>
    <w:rsid w:val="009D52A4"/>
    <w:rsid w:val="009D5343"/>
    <w:rsid w:val="009D535B"/>
    <w:rsid w:val="009D54BE"/>
    <w:rsid w:val="009D55B4"/>
    <w:rsid w:val="009D572B"/>
    <w:rsid w:val="009D577C"/>
    <w:rsid w:val="009D5807"/>
    <w:rsid w:val="009D580B"/>
    <w:rsid w:val="009D5810"/>
    <w:rsid w:val="009D5834"/>
    <w:rsid w:val="009D58AC"/>
    <w:rsid w:val="009D58C9"/>
    <w:rsid w:val="009D590C"/>
    <w:rsid w:val="009D593F"/>
    <w:rsid w:val="009D5A18"/>
    <w:rsid w:val="009D5AE5"/>
    <w:rsid w:val="009D5C19"/>
    <w:rsid w:val="009D5C6E"/>
    <w:rsid w:val="009D5D28"/>
    <w:rsid w:val="009D5D3A"/>
    <w:rsid w:val="009D5D5F"/>
    <w:rsid w:val="009D5DD6"/>
    <w:rsid w:val="009D5E37"/>
    <w:rsid w:val="009D5EC0"/>
    <w:rsid w:val="009D5EFD"/>
    <w:rsid w:val="009D5EFF"/>
    <w:rsid w:val="009D5F70"/>
    <w:rsid w:val="009D5F88"/>
    <w:rsid w:val="009D611C"/>
    <w:rsid w:val="009D615B"/>
    <w:rsid w:val="009D61A3"/>
    <w:rsid w:val="009D61A7"/>
    <w:rsid w:val="009D61AC"/>
    <w:rsid w:val="009D61E2"/>
    <w:rsid w:val="009D62B3"/>
    <w:rsid w:val="009D62B4"/>
    <w:rsid w:val="009D6309"/>
    <w:rsid w:val="009D6326"/>
    <w:rsid w:val="009D635E"/>
    <w:rsid w:val="009D648F"/>
    <w:rsid w:val="009D6551"/>
    <w:rsid w:val="009D65B1"/>
    <w:rsid w:val="009D665F"/>
    <w:rsid w:val="009D66C1"/>
    <w:rsid w:val="009D66E4"/>
    <w:rsid w:val="009D676C"/>
    <w:rsid w:val="009D679B"/>
    <w:rsid w:val="009D67D8"/>
    <w:rsid w:val="009D6840"/>
    <w:rsid w:val="009D68E7"/>
    <w:rsid w:val="009D6963"/>
    <w:rsid w:val="009D69FF"/>
    <w:rsid w:val="009D6AC7"/>
    <w:rsid w:val="009D6B99"/>
    <w:rsid w:val="009D6B9B"/>
    <w:rsid w:val="009D6BA1"/>
    <w:rsid w:val="009D6BDF"/>
    <w:rsid w:val="009D6BFE"/>
    <w:rsid w:val="009D6CBA"/>
    <w:rsid w:val="009D6D0E"/>
    <w:rsid w:val="009D6E00"/>
    <w:rsid w:val="009D6F1A"/>
    <w:rsid w:val="009D6FE9"/>
    <w:rsid w:val="009D7031"/>
    <w:rsid w:val="009D703A"/>
    <w:rsid w:val="009D7059"/>
    <w:rsid w:val="009D7172"/>
    <w:rsid w:val="009D7218"/>
    <w:rsid w:val="009D7292"/>
    <w:rsid w:val="009D72E9"/>
    <w:rsid w:val="009D73B7"/>
    <w:rsid w:val="009D73D0"/>
    <w:rsid w:val="009D743F"/>
    <w:rsid w:val="009D752F"/>
    <w:rsid w:val="009D7557"/>
    <w:rsid w:val="009D75A2"/>
    <w:rsid w:val="009D75AB"/>
    <w:rsid w:val="009D75B3"/>
    <w:rsid w:val="009D7631"/>
    <w:rsid w:val="009D7674"/>
    <w:rsid w:val="009D7793"/>
    <w:rsid w:val="009D77EB"/>
    <w:rsid w:val="009D7852"/>
    <w:rsid w:val="009D7874"/>
    <w:rsid w:val="009D78E7"/>
    <w:rsid w:val="009D78EC"/>
    <w:rsid w:val="009D79A4"/>
    <w:rsid w:val="009D7A58"/>
    <w:rsid w:val="009D7B48"/>
    <w:rsid w:val="009D7B86"/>
    <w:rsid w:val="009D7C40"/>
    <w:rsid w:val="009D7CF0"/>
    <w:rsid w:val="009D7D18"/>
    <w:rsid w:val="009D7E47"/>
    <w:rsid w:val="009D7E7F"/>
    <w:rsid w:val="009D7EEE"/>
    <w:rsid w:val="009D7F3A"/>
    <w:rsid w:val="009D7F3E"/>
    <w:rsid w:val="009D7FB5"/>
    <w:rsid w:val="009E0098"/>
    <w:rsid w:val="009E0233"/>
    <w:rsid w:val="009E04A0"/>
    <w:rsid w:val="009E04FE"/>
    <w:rsid w:val="009E05B3"/>
    <w:rsid w:val="009E05CE"/>
    <w:rsid w:val="009E060B"/>
    <w:rsid w:val="009E0729"/>
    <w:rsid w:val="009E0735"/>
    <w:rsid w:val="009E07B2"/>
    <w:rsid w:val="009E0802"/>
    <w:rsid w:val="009E0812"/>
    <w:rsid w:val="009E081A"/>
    <w:rsid w:val="009E0849"/>
    <w:rsid w:val="009E08A3"/>
    <w:rsid w:val="009E08C3"/>
    <w:rsid w:val="009E08EB"/>
    <w:rsid w:val="009E0923"/>
    <w:rsid w:val="009E0A4D"/>
    <w:rsid w:val="009E0AA7"/>
    <w:rsid w:val="009E0AFC"/>
    <w:rsid w:val="009E0B9D"/>
    <w:rsid w:val="009E0BF3"/>
    <w:rsid w:val="009E0C86"/>
    <w:rsid w:val="009E0D5A"/>
    <w:rsid w:val="009E0D70"/>
    <w:rsid w:val="009E0D91"/>
    <w:rsid w:val="009E0DD0"/>
    <w:rsid w:val="009E0E2C"/>
    <w:rsid w:val="009E1023"/>
    <w:rsid w:val="009E1095"/>
    <w:rsid w:val="009E10E3"/>
    <w:rsid w:val="009E1146"/>
    <w:rsid w:val="009E127A"/>
    <w:rsid w:val="009E12AA"/>
    <w:rsid w:val="009E12CD"/>
    <w:rsid w:val="009E1319"/>
    <w:rsid w:val="009E134A"/>
    <w:rsid w:val="009E1364"/>
    <w:rsid w:val="009E1405"/>
    <w:rsid w:val="009E1500"/>
    <w:rsid w:val="009E153E"/>
    <w:rsid w:val="009E1576"/>
    <w:rsid w:val="009E1579"/>
    <w:rsid w:val="009E1666"/>
    <w:rsid w:val="009E171E"/>
    <w:rsid w:val="009E1783"/>
    <w:rsid w:val="009E17C5"/>
    <w:rsid w:val="009E1874"/>
    <w:rsid w:val="009E18BA"/>
    <w:rsid w:val="009E194C"/>
    <w:rsid w:val="009E196F"/>
    <w:rsid w:val="009E1C9B"/>
    <w:rsid w:val="009E1CB4"/>
    <w:rsid w:val="009E1CDF"/>
    <w:rsid w:val="009E1EF0"/>
    <w:rsid w:val="009E202F"/>
    <w:rsid w:val="009E21C2"/>
    <w:rsid w:val="009E22D0"/>
    <w:rsid w:val="009E2335"/>
    <w:rsid w:val="009E2386"/>
    <w:rsid w:val="009E2424"/>
    <w:rsid w:val="009E243D"/>
    <w:rsid w:val="009E2546"/>
    <w:rsid w:val="009E26BA"/>
    <w:rsid w:val="009E27A7"/>
    <w:rsid w:val="009E2805"/>
    <w:rsid w:val="009E28B5"/>
    <w:rsid w:val="009E29ED"/>
    <w:rsid w:val="009E2A1D"/>
    <w:rsid w:val="009E2A51"/>
    <w:rsid w:val="009E2A6F"/>
    <w:rsid w:val="009E2A84"/>
    <w:rsid w:val="009E2A90"/>
    <w:rsid w:val="009E2AEC"/>
    <w:rsid w:val="009E2B06"/>
    <w:rsid w:val="009E2B46"/>
    <w:rsid w:val="009E2B76"/>
    <w:rsid w:val="009E2BAA"/>
    <w:rsid w:val="009E2D23"/>
    <w:rsid w:val="009E2D4C"/>
    <w:rsid w:val="009E2D7A"/>
    <w:rsid w:val="009E2E12"/>
    <w:rsid w:val="009E2E9E"/>
    <w:rsid w:val="009E2ECB"/>
    <w:rsid w:val="009E2F0F"/>
    <w:rsid w:val="009E301A"/>
    <w:rsid w:val="009E3164"/>
    <w:rsid w:val="009E3176"/>
    <w:rsid w:val="009E31A8"/>
    <w:rsid w:val="009E32F2"/>
    <w:rsid w:val="009E3356"/>
    <w:rsid w:val="009E3389"/>
    <w:rsid w:val="009E33E5"/>
    <w:rsid w:val="009E3525"/>
    <w:rsid w:val="009E35BA"/>
    <w:rsid w:val="009E378C"/>
    <w:rsid w:val="009E37D3"/>
    <w:rsid w:val="009E37E6"/>
    <w:rsid w:val="009E3841"/>
    <w:rsid w:val="009E38BA"/>
    <w:rsid w:val="009E3908"/>
    <w:rsid w:val="009E39A7"/>
    <w:rsid w:val="009E39E2"/>
    <w:rsid w:val="009E3A1C"/>
    <w:rsid w:val="009E3AE5"/>
    <w:rsid w:val="009E3AFA"/>
    <w:rsid w:val="009E3B8F"/>
    <w:rsid w:val="009E3B9E"/>
    <w:rsid w:val="009E3BD8"/>
    <w:rsid w:val="009E3BE0"/>
    <w:rsid w:val="009E3D81"/>
    <w:rsid w:val="009E3E12"/>
    <w:rsid w:val="009E3E31"/>
    <w:rsid w:val="009E3EBD"/>
    <w:rsid w:val="009E3FD7"/>
    <w:rsid w:val="009E4057"/>
    <w:rsid w:val="009E409A"/>
    <w:rsid w:val="009E40F2"/>
    <w:rsid w:val="009E413A"/>
    <w:rsid w:val="009E41C1"/>
    <w:rsid w:val="009E424D"/>
    <w:rsid w:val="009E42AF"/>
    <w:rsid w:val="009E42CD"/>
    <w:rsid w:val="009E437C"/>
    <w:rsid w:val="009E4422"/>
    <w:rsid w:val="009E44C1"/>
    <w:rsid w:val="009E44E8"/>
    <w:rsid w:val="009E45A3"/>
    <w:rsid w:val="009E45F2"/>
    <w:rsid w:val="009E4627"/>
    <w:rsid w:val="009E46E1"/>
    <w:rsid w:val="009E4791"/>
    <w:rsid w:val="009E4943"/>
    <w:rsid w:val="009E49AB"/>
    <w:rsid w:val="009E49E5"/>
    <w:rsid w:val="009E4A4C"/>
    <w:rsid w:val="009E4AB0"/>
    <w:rsid w:val="009E4AD9"/>
    <w:rsid w:val="009E4AFC"/>
    <w:rsid w:val="009E4B6D"/>
    <w:rsid w:val="009E4BC6"/>
    <w:rsid w:val="009E4BDB"/>
    <w:rsid w:val="009E4C56"/>
    <w:rsid w:val="009E4DFE"/>
    <w:rsid w:val="009E4E12"/>
    <w:rsid w:val="009E4EA3"/>
    <w:rsid w:val="009E4F5C"/>
    <w:rsid w:val="009E4F7D"/>
    <w:rsid w:val="009E4FB9"/>
    <w:rsid w:val="009E50AD"/>
    <w:rsid w:val="009E51D3"/>
    <w:rsid w:val="009E52F6"/>
    <w:rsid w:val="009E53DC"/>
    <w:rsid w:val="009E543A"/>
    <w:rsid w:val="009E551F"/>
    <w:rsid w:val="009E5560"/>
    <w:rsid w:val="009E557A"/>
    <w:rsid w:val="009E56F7"/>
    <w:rsid w:val="009E5700"/>
    <w:rsid w:val="009E5737"/>
    <w:rsid w:val="009E5782"/>
    <w:rsid w:val="009E586A"/>
    <w:rsid w:val="009E588C"/>
    <w:rsid w:val="009E58FA"/>
    <w:rsid w:val="009E5947"/>
    <w:rsid w:val="009E59D8"/>
    <w:rsid w:val="009E59DA"/>
    <w:rsid w:val="009E5A85"/>
    <w:rsid w:val="009E5AD9"/>
    <w:rsid w:val="009E5BB9"/>
    <w:rsid w:val="009E5BC4"/>
    <w:rsid w:val="009E5BC9"/>
    <w:rsid w:val="009E5CA2"/>
    <w:rsid w:val="009E5CFE"/>
    <w:rsid w:val="009E5D19"/>
    <w:rsid w:val="009E5D84"/>
    <w:rsid w:val="009E5D87"/>
    <w:rsid w:val="009E5DC5"/>
    <w:rsid w:val="009E5E25"/>
    <w:rsid w:val="009E5EA5"/>
    <w:rsid w:val="009E6166"/>
    <w:rsid w:val="009E61C2"/>
    <w:rsid w:val="009E61FE"/>
    <w:rsid w:val="009E6214"/>
    <w:rsid w:val="009E625E"/>
    <w:rsid w:val="009E6263"/>
    <w:rsid w:val="009E6296"/>
    <w:rsid w:val="009E644D"/>
    <w:rsid w:val="009E6459"/>
    <w:rsid w:val="009E6566"/>
    <w:rsid w:val="009E668B"/>
    <w:rsid w:val="009E66A7"/>
    <w:rsid w:val="009E66B0"/>
    <w:rsid w:val="009E66C1"/>
    <w:rsid w:val="009E68F2"/>
    <w:rsid w:val="009E69FF"/>
    <w:rsid w:val="009E6A98"/>
    <w:rsid w:val="009E6AAA"/>
    <w:rsid w:val="009E6AC9"/>
    <w:rsid w:val="009E6B53"/>
    <w:rsid w:val="009E6BAA"/>
    <w:rsid w:val="009E6C0A"/>
    <w:rsid w:val="009E6C18"/>
    <w:rsid w:val="009E6C3D"/>
    <w:rsid w:val="009E6C99"/>
    <w:rsid w:val="009E6DA2"/>
    <w:rsid w:val="009E6E3C"/>
    <w:rsid w:val="009E6EBD"/>
    <w:rsid w:val="009E6EFD"/>
    <w:rsid w:val="009E6FBA"/>
    <w:rsid w:val="009E6FCF"/>
    <w:rsid w:val="009E6FD6"/>
    <w:rsid w:val="009E712E"/>
    <w:rsid w:val="009E72B4"/>
    <w:rsid w:val="009E72DF"/>
    <w:rsid w:val="009E72F4"/>
    <w:rsid w:val="009E7400"/>
    <w:rsid w:val="009E744C"/>
    <w:rsid w:val="009E7463"/>
    <w:rsid w:val="009E77B3"/>
    <w:rsid w:val="009E77E9"/>
    <w:rsid w:val="009E77F3"/>
    <w:rsid w:val="009E7818"/>
    <w:rsid w:val="009E78B9"/>
    <w:rsid w:val="009E78C1"/>
    <w:rsid w:val="009E795B"/>
    <w:rsid w:val="009E7AD7"/>
    <w:rsid w:val="009E7AF2"/>
    <w:rsid w:val="009E7BC6"/>
    <w:rsid w:val="009E7C15"/>
    <w:rsid w:val="009E7C20"/>
    <w:rsid w:val="009E7CD2"/>
    <w:rsid w:val="009E7DB9"/>
    <w:rsid w:val="009E7DBC"/>
    <w:rsid w:val="009E7E93"/>
    <w:rsid w:val="009E7F50"/>
    <w:rsid w:val="009E7F81"/>
    <w:rsid w:val="009F007B"/>
    <w:rsid w:val="009F00AB"/>
    <w:rsid w:val="009F00BA"/>
    <w:rsid w:val="009F014D"/>
    <w:rsid w:val="009F029E"/>
    <w:rsid w:val="009F02C3"/>
    <w:rsid w:val="009F02E0"/>
    <w:rsid w:val="009F03E8"/>
    <w:rsid w:val="009F0453"/>
    <w:rsid w:val="009F047C"/>
    <w:rsid w:val="009F0527"/>
    <w:rsid w:val="009F0590"/>
    <w:rsid w:val="009F05BE"/>
    <w:rsid w:val="009F0683"/>
    <w:rsid w:val="009F07B9"/>
    <w:rsid w:val="009F08B9"/>
    <w:rsid w:val="009F08E5"/>
    <w:rsid w:val="009F08E6"/>
    <w:rsid w:val="009F093F"/>
    <w:rsid w:val="009F0988"/>
    <w:rsid w:val="009F0996"/>
    <w:rsid w:val="009F099B"/>
    <w:rsid w:val="009F09EF"/>
    <w:rsid w:val="009F0A09"/>
    <w:rsid w:val="009F0A77"/>
    <w:rsid w:val="009F0B47"/>
    <w:rsid w:val="009F0BDF"/>
    <w:rsid w:val="009F0C1F"/>
    <w:rsid w:val="009F0CC6"/>
    <w:rsid w:val="009F0CD3"/>
    <w:rsid w:val="009F0D67"/>
    <w:rsid w:val="009F0D9E"/>
    <w:rsid w:val="009F0E88"/>
    <w:rsid w:val="009F0F0A"/>
    <w:rsid w:val="009F105B"/>
    <w:rsid w:val="009F106A"/>
    <w:rsid w:val="009F11CC"/>
    <w:rsid w:val="009F11D4"/>
    <w:rsid w:val="009F1222"/>
    <w:rsid w:val="009F125B"/>
    <w:rsid w:val="009F1292"/>
    <w:rsid w:val="009F1438"/>
    <w:rsid w:val="009F1442"/>
    <w:rsid w:val="009F1653"/>
    <w:rsid w:val="009F177E"/>
    <w:rsid w:val="009F17F0"/>
    <w:rsid w:val="009F1808"/>
    <w:rsid w:val="009F19A8"/>
    <w:rsid w:val="009F19D0"/>
    <w:rsid w:val="009F1A0C"/>
    <w:rsid w:val="009F1A47"/>
    <w:rsid w:val="009F1B34"/>
    <w:rsid w:val="009F1B4F"/>
    <w:rsid w:val="009F1B7D"/>
    <w:rsid w:val="009F1C2D"/>
    <w:rsid w:val="009F1CCF"/>
    <w:rsid w:val="009F1E9C"/>
    <w:rsid w:val="009F1EC0"/>
    <w:rsid w:val="009F1F11"/>
    <w:rsid w:val="009F1FEF"/>
    <w:rsid w:val="009F2031"/>
    <w:rsid w:val="009F209B"/>
    <w:rsid w:val="009F20EE"/>
    <w:rsid w:val="009F2191"/>
    <w:rsid w:val="009F21BD"/>
    <w:rsid w:val="009F21C6"/>
    <w:rsid w:val="009F2214"/>
    <w:rsid w:val="009F23C3"/>
    <w:rsid w:val="009F2425"/>
    <w:rsid w:val="009F256B"/>
    <w:rsid w:val="009F259A"/>
    <w:rsid w:val="009F259D"/>
    <w:rsid w:val="009F2658"/>
    <w:rsid w:val="009F285C"/>
    <w:rsid w:val="009F2864"/>
    <w:rsid w:val="009F28BC"/>
    <w:rsid w:val="009F2982"/>
    <w:rsid w:val="009F2B0F"/>
    <w:rsid w:val="009F2C30"/>
    <w:rsid w:val="009F2D00"/>
    <w:rsid w:val="009F2F7E"/>
    <w:rsid w:val="009F2FBE"/>
    <w:rsid w:val="009F30A2"/>
    <w:rsid w:val="009F31AC"/>
    <w:rsid w:val="009F31AD"/>
    <w:rsid w:val="009F3275"/>
    <w:rsid w:val="009F32AB"/>
    <w:rsid w:val="009F330C"/>
    <w:rsid w:val="009F3329"/>
    <w:rsid w:val="009F338D"/>
    <w:rsid w:val="009F33C9"/>
    <w:rsid w:val="009F33EF"/>
    <w:rsid w:val="009F345C"/>
    <w:rsid w:val="009F34D3"/>
    <w:rsid w:val="009F34EE"/>
    <w:rsid w:val="009F35B7"/>
    <w:rsid w:val="009F35B8"/>
    <w:rsid w:val="009F3646"/>
    <w:rsid w:val="009F3671"/>
    <w:rsid w:val="009F3743"/>
    <w:rsid w:val="009F3744"/>
    <w:rsid w:val="009F3782"/>
    <w:rsid w:val="009F38F9"/>
    <w:rsid w:val="009F3920"/>
    <w:rsid w:val="009F393E"/>
    <w:rsid w:val="009F39F0"/>
    <w:rsid w:val="009F3A60"/>
    <w:rsid w:val="009F3A7E"/>
    <w:rsid w:val="009F3AE3"/>
    <w:rsid w:val="009F3AF2"/>
    <w:rsid w:val="009F3C38"/>
    <w:rsid w:val="009F3C74"/>
    <w:rsid w:val="009F3CDD"/>
    <w:rsid w:val="009F3F5C"/>
    <w:rsid w:val="009F3FDD"/>
    <w:rsid w:val="009F40CC"/>
    <w:rsid w:val="009F4144"/>
    <w:rsid w:val="009F427E"/>
    <w:rsid w:val="009F4345"/>
    <w:rsid w:val="009F4380"/>
    <w:rsid w:val="009F43BC"/>
    <w:rsid w:val="009F44F4"/>
    <w:rsid w:val="009F4552"/>
    <w:rsid w:val="009F4572"/>
    <w:rsid w:val="009F459F"/>
    <w:rsid w:val="009F45C0"/>
    <w:rsid w:val="009F4663"/>
    <w:rsid w:val="009F470B"/>
    <w:rsid w:val="009F47CD"/>
    <w:rsid w:val="009F487F"/>
    <w:rsid w:val="009F4959"/>
    <w:rsid w:val="009F49A3"/>
    <w:rsid w:val="009F49B2"/>
    <w:rsid w:val="009F4B0A"/>
    <w:rsid w:val="009F4BC8"/>
    <w:rsid w:val="009F4C44"/>
    <w:rsid w:val="009F4C8B"/>
    <w:rsid w:val="009F4D09"/>
    <w:rsid w:val="009F4E24"/>
    <w:rsid w:val="009F4E3E"/>
    <w:rsid w:val="009F4F9E"/>
    <w:rsid w:val="009F5005"/>
    <w:rsid w:val="009F50BD"/>
    <w:rsid w:val="009F513A"/>
    <w:rsid w:val="009F5149"/>
    <w:rsid w:val="009F514F"/>
    <w:rsid w:val="009F515D"/>
    <w:rsid w:val="009F5220"/>
    <w:rsid w:val="009F52C8"/>
    <w:rsid w:val="009F535B"/>
    <w:rsid w:val="009F5419"/>
    <w:rsid w:val="009F5488"/>
    <w:rsid w:val="009F54B4"/>
    <w:rsid w:val="009F55C4"/>
    <w:rsid w:val="009F56A7"/>
    <w:rsid w:val="009F56B3"/>
    <w:rsid w:val="009F56E6"/>
    <w:rsid w:val="009F5758"/>
    <w:rsid w:val="009F5957"/>
    <w:rsid w:val="009F5999"/>
    <w:rsid w:val="009F5A26"/>
    <w:rsid w:val="009F5A33"/>
    <w:rsid w:val="009F5ADC"/>
    <w:rsid w:val="009F5AF9"/>
    <w:rsid w:val="009F5B45"/>
    <w:rsid w:val="009F5B5E"/>
    <w:rsid w:val="009F5B96"/>
    <w:rsid w:val="009F5B9D"/>
    <w:rsid w:val="009F5BE0"/>
    <w:rsid w:val="009F5BE3"/>
    <w:rsid w:val="009F5C25"/>
    <w:rsid w:val="009F5CEE"/>
    <w:rsid w:val="009F5DAD"/>
    <w:rsid w:val="009F5E5D"/>
    <w:rsid w:val="009F60E3"/>
    <w:rsid w:val="009F611B"/>
    <w:rsid w:val="009F617B"/>
    <w:rsid w:val="009F618C"/>
    <w:rsid w:val="009F6294"/>
    <w:rsid w:val="009F6312"/>
    <w:rsid w:val="009F6373"/>
    <w:rsid w:val="009F642D"/>
    <w:rsid w:val="009F6457"/>
    <w:rsid w:val="009F665E"/>
    <w:rsid w:val="009F669A"/>
    <w:rsid w:val="009F66D3"/>
    <w:rsid w:val="009F66EC"/>
    <w:rsid w:val="009F6910"/>
    <w:rsid w:val="009F6916"/>
    <w:rsid w:val="009F6996"/>
    <w:rsid w:val="009F6A99"/>
    <w:rsid w:val="009F6AA0"/>
    <w:rsid w:val="009F6AC7"/>
    <w:rsid w:val="009F6B18"/>
    <w:rsid w:val="009F6B99"/>
    <w:rsid w:val="009F6CE4"/>
    <w:rsid w:val="009F6D21"/>
    <w:rsid w:val="009F6D4C"/>
    <w:rsid w:val="009F6D5A"/>
    <w:rsid w:val="009F6D96"/>
    <w:rsid w:val="009F6E38"/>
    <w:rsid w:val="009F6E9B"/>
    <w:rsid w:val="009F6EC3"/>
    <w:rsid w:val="009F6EE9"/>
    <w:rsid w:val="009F6F8F"/>
    <w:rsid w:val="009F700B"/>
    <w:rsid w:val="009F7059"/>
    <w:rsid w:val="009F712C"/>
    <w:rsid w:val="009F71EF"/>
    <w:rsid w:val="009F7304"/>
    <w:rsid w:val="009F737E"/>
    <w:rsid w:val="009F7387"/>
    <w:rsid w:val="009F73A0"/>
    <w:rsid w:val="009F73C8"/>
    <w:rsid w:val="009F74BE"/>
    <w:rsid w:val="009F7567"/>
    <w:rsid w:val="009F75FC"/>
    <w:rsid w:val="009F7641"/>
    <w:rsid w:val="009F77D1"/>
    <w:rsid w:val="009F77DF"/>
    <w:rsid w:val="009F787B"/>
    <w:rsid w:val="009F79CA"/>
    <w:rsid w:val="009F79E6"/>
    <w:rsid w:val="009F7A54"/>
    <w:rsid w:val="009F7A5E"/>
    <w:rsid w:val="009F7A82"/>
    <w:rsid w:val="009F7D60"/>
    <w:rsid w:val="009F7DF0"/>
    <w:rsid w:val="009F7E2D"/>
    <w:rsid w:val="009F7E3C"/>
    <w:rsid w:val="009F7FA3"/>
    <w:rsid w:val="009F7FC4"/>
    <w:rsid w:val="00A00054"/>
    <w:rsid w:val="00A0005D"/>
    <w:rsid w:val="00A0008D"/>
    <w:rsid w:val="00A00284"/>
    <w:rsid w:val="00A00352"/>
    <w:rsid w:val="00A0045F"/>
    <w:rsid w:val="00A004EB"/>
    <w:rsid w:val="00A006DF"/>
    <w:rsid w:val="00A006EE"/>
    <w:rsid w:val="00A00727"/>
    <w:rsid w:val="00A00748"/>
    <w:rsid w:val="00A00836"/>
    <w:rsid w:val="00A0083F"/>
    <w:rsid w:val="00A008E4"/>
    <w:rsid w:val="00A009FE"/>
    <w:rsid w:val="00A00A29"/>
    <w:rsid w:val="00A00A69"/>
    <w:rsid w:val="00A00AF4"/>
    <w:rsid w:val="00A00BD7"/>
    <w:rsid w:val="00A00BEF"/>
    <w:rsid w:val="00A00C25"/>
    <w:rsid w:val="00A00DF6"/>
    <w:rsid w:val="00A00E1D"/>
    <w:rsid w:val="00A00E25"/>
    <w:rsid w:val="00A00F77"/>
    <w:rsid w:val="00A00FA2"/>
    <w:rsid w:val="00A00FE2"/>
    <w:rsid w:val="00A0100D"/>
    <w:rsid w:val="00A01097"/>
    <w:rsid w:val="00A0118D"/>
    <w:rsid w:val="00A012CA"/>
    <w:rsid w:val="00A012CD"/>
    <w:rsid w:val="00A0140F"/>
    <w:rsid w:val="00A015C8"/>
    <w:rsid w:val="00A01615"/>
    <w:rsid w:val="00A01626"/>
    <w:rsid w:val="00A01676"/>
    <w:rsid w:val="00A016BD"/>
    <w:rsid w:val="00A0184B"/>
    <w:rsid w:val="00A01852"/>
    <w:rsid w:val="00A01875"/>
    <w:rsid w:val="00A01918"/>
    <w:rsid w:val="00A0196C"/>
    <w:rsid w:val="00A0197F"/>
    <w:rsid w:val="00A019AB"/>
    <w:rsid w:val="00A019D4"/>
    <w:rsid w:val="00A01A1E"/>
    <w:rsid w:val="00A01A84"/>
    <w:rsid w:val="00A01A8C"/>
    <w:rsid w:val="00A01BA8"/>
    <w:rsid w:val="00A01C22"/>
    <w:rsid w:val="00A01CDE"/>
    <w:rsid w:val="00A01D11"/>
    <w:rsid w:val="00A01DA7"/>
    <w:rsid w:val="00A01E45"/>
    <w:rsid w:val="00A01FA7"/>
    <w:rsid w:val="00A01FD7"/>
    <w:rsid w:val="00A01FE9"/>
    <w:rsid w:val="00A02051"/>
    <w:rsid w:val="00A020B2"/>
    <w:rsid w:val="00A020DE"/>
    <w:rsid w:val="00A021E6"/>
    <w:rsid w:val="00A02436"/>
    <w:rsid w:val="00A025A5"/>
    <w:rsid w:val="00A026AC"/>
    <w:rsid w:val="00A028A5"/>
    <w:rsid w:val="00A028B9"/>
    <w:rsid w:val="00A028E6"/>
    <w:rsid w:val="00A028FA"/>
    <w:rsid w:val="00A029ED"/>
    <w:rsid w:val="00A02B54"/>
    <w:rsid w:val="00A02C36"/>
    <w:rsid w:val="00A02C3E"/>
    <w:rsid w:val="00A02CC7"/>
    <w:rsid w:val="00A02D4D"/>
    <w:rsid w:val="00A02DD3"/>
    <w:rsid w:val="00A02E0E"/>
    <w:rsid w:val="00A02E3B"/>
    <w:rsid w:val="00A02EA9"/>
    <w:rsid w:val="00A02F91"/>
    <w:rsid w:val="00A030EB"/>
    <w:rsid w:val="00A03129"/>
    <w:rsid w:val="00A03132"/>
    <w:rsid w:val="00A032D0"/>
    <w:rsid w:val="00A03331"/>
    <w:rsid w:val="00A03398"/>
    <w:rsid w:val="00A03480"/>
    <w:rsid w:val="00A034F5"/>
    <w:rsid w:val="00A03511"/>
    <w:rsid w:val="00A03513"/>
    <w:rsid w:val="00A03593"/>
    <w:rsid w:val="00A036DF"/>
    <w:rsid w:val="00A0378B"/>
    <w:rsid w:val="00A038A1"/>
    <w:rsid w:val="00A0397C"/>
    <w:rsid w:val="00A039F0"/>
    <w:rsid w:val="00A03A45"/>
    <w:rsid w:val="00A03A49"/>
    <w:rsid w:val="00A03A5D"/>
    <w:rsid w:val="00A03B2F"/>
    <w:rsid w:val="00A03BD7"/>
    <w:rsid w:val="00A03BDC"/>
    <w:rsid w:val="00A03C50"/>
    <w:rsid w:val="00A03CA0"/>
    <w:rsid w:val="00A03CC9"/>
    <w:rsid w:val="00A03D34"/>
    <w:rsid w:val="00A03DBE"/>
    <w:rsid w:val="00A03DC9"/>
    <w:rsid w:val="00A03E97"/>
    <w:rsid w:val="00A03EF1"/>
    <w:rsid w:val="00A03F17"/>
    <w:rsid w:val="00A03F5F"/>
    <w:rsid w:val="00A03FD0"/>
    <w:rsid w:val="00A04112"/>
    <w:rsid w:val="00A041D0"/>
    <w:rsid w:val="00A0425A"/>
    <w:rsid w:val="00A042F4"/>
    <w:rsid w:val="00A043DF"/>
    <w:rsid w:val="00A04411"/>
    <w:rsid w:val="00A04435"/>
    <w:rsid w:val="00A044DE"/>
    <w:rsid w:val="00A044FD"/>
    <w:rsid w:val="00A04560"/>
    <w:rsid w:val="00A04599"/>
    <w:rsid w:val="00A045A0"/>
    <w:rsid w:val="00A04692"/>
    <w:rsid w:val="00A048EB"/>
    <w:rsid w:val="00A049A0"/>
    <w:rsid w:val="00A04A46"/>
    <w:rsid w:val="00A04A5C"/>
    <w:rsid w:val="00A04A60"/>
    <w:rsid w:val="00A04ADD"/>
    <w:rsid w:val="00A04BF0"/>
    <w:rsid w:val="00A04C2A"/>
    <w:rsid w:val="00A04CC5"/>
    <w:rsid w:val="00A04D1C"/>
    <w:rsid w:val="00A04D88"/>
    <w:rsid w:val="00A04E1C"/>
    <w:rsid w:val="00A04F8A"/>
    <w:rsid w:val="00A0508B"/>
    <w:rsid w:val="00A050C4"/>
    <w:rsid w:val="00A05221"/>
    <w:rsid w:val="00A05247"/>
    <w:rsid w:val="00A05320"/>
    <w:rsid w:val="00A05326"/>
    <w:rsid w:val="00A05342"/>
    <w:rsid w:val="00A05372"/>
    <w:rsid w:val="00A053A3"/>
    <w:rsid w:val="00A053D3"/>
    <w:rsid w:val="00A05446"/>
    <w:rsid w:val="00A055BF"/>
    <w:rsid w:val="00A0564A"/>
    <w:rsid w:val="00A05686"/>
    <w:rsid w:val="00A0586A"/>
    <w:rsid w:val="00A058BB"/>
    <w:rsid w:val="00A05A2D"/>
    <w:rsid w:val="00A05A2F"/>
    <w:rsid w:val="00A05AEE"/>
    <w:rsid w:val="00A05DA1"/>
    <w:rsid w:val="00A05E3F"/>
    <w:rsid w:val="00A05F5A"/>
    <w:rsid w:val="00A0602B"/>
    <w:rsid w:val="00A06046"/>
    <w:rsid w:val="00A06073"/>
    <w:rsid w:val="00A060F4"/>
    <w:rsid w:val="00A06142"/>
    <w:rsid w:val="00A0615C"/>
    <w:rsid w:val="00A061BB"/>
    <w:rsid w:val="00A061E1"/>
    <w:rsid w:val="00A0624C"/>
    <w:rsid w:val="00A0655C"/>
    <w:rsid w:val="00A065EB"/>
    <w:rsid w:val="00A06844"/>
    <w:rsid w:val="00A06B52"/>
    <w:rsid w:val="00A06E9B"/>
    <w:rsid w:val="00A06F6F"/>
    <w:rsid w:val="00A06FC6"/>
    <w:rsid w:val="00A07063"/>
    <w:rsid w:val="00A07080"/>
    <w:rsid w:val="00A070ED"/>
    <w:rsid w:val="00A07262"/>
    <w:rsid w:val="00A072DC"/>
    <w:rsid w:val="00A07367"/>
    <w:rsid w:val="00A07433"/>
    <w:rsid w:val="00A0747D"/>
    <w:rsid w:val="00A075DE"/>
    <w:rsid w:val="00A07681"/>
    <w:rsid w:val="00A077D1"/>
    <w:rsid w:val="00A077F8"/>
    <w:rsid w:val="00A0786F"/>
    <w:rsid w:val="00A079F7"/>
    <w:rsid w:val="00A07B5A"/>
    <w:rsid w:val="00A07B9C"/>
    <w:rsid w:val="00A07BA7"/>
    <w:rsid w:val="00A07CA0"/>
    <w:rsid w:val="00A07DEA"/>
    <w:rsid w:val="00A07E6B"/>
    <w:rsid w:val="00A07F4E"/>
    <w:rsid w:val="00A07F82"/>
    <w:rsid w:val="00A07FEA"/>
    <w:rsid w:val="00A10157"/>
    <w:rsid w:val="00A10181"/>
    <w:rsid w:val="00A101FE"/>
    <w:rsid w:val="00A1023A"/>
    <w:rsid w:val="00A104D9"/>
    <w:rsid w:val="00A10523"/>
    <w:rsid w:val="00A105EF"/>
    <w:rsid w:val="00A10741"/>
    <w:rsid w:val="00A1075F"/>
    <w:rsid w:val="00A107F5"/>
    <w:rsid w:val="00A108DD"/>
    <w:rsid w:val="00A108F3"/>
    <w:rsid w:val="00A10919"/>
    <w:rsid w:val="00A10C6B"/>
    <w:rsid w:val="00A10D43"/>
    <w:rsid w:val="00A10EE6"/>
    <w:rsid w:val="00A11058"/>
    <w:rsid w:val="00A111A4"/>
    <w:rsid w:val="00A11226"/>
    <w:rsid w:val="00A11254"/>
    <w:rsid w:val="00A1129A"/>
    <w:rsid w:val="00A114A3"/>
    <w:rsid w:val="00A114BD"/>
    <w:rsid w:val="00A115E9"/>
    <w:rsid w:val="00A117A6"/>
    <w:rsid w:val="00A11916"/>
    <w:rsid w:val="00A1193C"/>
    <w:rsid w:val="00A1199C"/>
    <w:rsid w:val="00A119C8"/>
    <w:rsid w:val="00A119D1"/>
    <w:rsid w:val="00A11A2C"/>
    <w:rsid w:val="00A11D0B"/>
    <w:rsid w:val="00A11D3B"/>
    <w:rsid w:val="00A11D72"/>
    <w:rsid w:val="00A11DA5"/>
    <w:rsid w:val="00A11E3D"/>
    <w:rsid w:val="00A11EAE"/>
    <w:rsid w:val="00A11F99"/>
    <w:rsid w:val="00A11F9A"/>
    <w:rsid w:val="00A1200D"/>
    <w:rsid w:val="00A12017"/>
    <w:rsid w:val="00A12018"/>
    <w:rsid w:val="00A12108"/>
    <w:rsid w:val="00A12115"/>
    <w:rsid w:val="00A121F3"/>
    <w:rsid w:val="00A122FB"/>
    <w:rsid w:val="00A1231E"/>
    <w:rsid w:val="00A12353"/>
    <w:rsid w:val="00A12354"/>
    <w:rsid w:val="00A124AD"/>
    <w:rsid w:val="00A1257F"/>
    <w:rsid w:val="00A126CE"/>
    <w:rsid w:val="00A12747"/>
    <w:rsid w:val="00A127FB"/>
    <w:rsid w:val="00A128DB"/>
    <w:rsid w:val="00A12A98"/>
    <w:rsid w:val="00A12BB5"/>
    <w:rsid w:val="00A12BD3"/>
    <w:rsid w:val="00A12DBF"/>
    <w:rsid w:val="00A12DCA"/>
    <w:rsid w:val="00A12E7C"/>
    <w:rsid w:val="00A12E9B"/>
    <w:rsid w:val="00A12F00"/>
    <w:rsid w:val="00A12F52"/>
    <w:rsid w:val="00A12FEB"/>
    <w:rsid w:val="00A13032"/>
    <w:rsid w:val="00A130C9"/>
    <w:rsid w:val="00A131EC"/>
    <w:rsid w:val="00A131EE"/>
    <w:rsid w:val="00A13249"/>
    <w:rsid w:val="00A13266"/>
    <w:rsid w:val="00A1332E"/>
    <w:rsid w:val="00A1334F"/>
    <w:rsid w:val="00A13369"/>
    <w:rsid w:val="00A1336C"/>
    <w:rsid w:val="00A1339D"/>
    <w:rsid w:val="00A133B2"/>
    <w:rsid w:val="00A1344E"/>
    <w:rsid w:val="00A134B9"/>
    <w:rsid w:val="00A1361F"/>
    <w:rsid w:val="00A1371D"/>
    <w:rsid w:val="00A137FF"/>
    <w:rsid w:val="00A1382D"/>
    <w:rsid w:val="00A13861"/>
    <w:rsid w:val="00A138E3"/>
    <w:rsid w:val="00A13991"/>
    <w:rsid w:val="00A139DE"/>
    <w:rsid w:val="00A13A08"/>
    <w:rsid w:val="00A13A6D"/>
    <w:rsid w:val="00A13BD9"/>
    <w:rsid w:val="00A13F3A"/>
    <w:rsid w:val="00A13F60"/>
    <w:rsid w:val="00A14128"/>
    <w:rsid w:val="00A14189"/>
    <w:rsid w:val="00A14205"/>
    <w:rsid w:val="00A143B0"/>
    <w:rsid w:val="00A143EA"/>
    <w:rsid w:val="00A1441A"/>
    <w:rsid w:val="00A1442D"/>
    <w:rsid w:val="00A14487"/>
    <w:rsid w:val="00A144D3"/>
    <w:rsid w:val="00A14621"/>
    <w:rsid w:val="00A1462B"/>
    <w:rsid w:val="00A14674"/>
    <w:rsid w:val="00A1468A"/>
    <w:rsid w:val="00A1468C"/>
    <w:rsid w:val="00A146A2"/>
    <w:rsid w:val="00A146AB"/>
    <w:rsid w:val="00A146B0"/>
    <w:rsid w:val="00A14734"/>
    <w:rsid w:val="00A14770"/>
    <w:rsid w:val="00A148BB"/>
    <w:rsid w:val="00A14906"/>
    <w:rsid w:val="00A14924"/>
    <w:rsid w:val="00A14973"/>
    <w:rsid w:val="00A14989"/>
    <w:rsid w:val="00A14A84"/>
    <w:rsid w:val="00A14A9D"/>
    <w:rsid w:val="00A14B07"/>
    <w:rsid w:val="00A14B36"/>
    <w:rsid w:val="00A14C2B"/>
    <w:rsid w:val="00A14C35"/>
    <w:rsid w:val="00A14C37"/>
    <w:rsid w:val="00A14C5B"/>
    <w:rsid w:val="00A14D3A"/>
    <w:rsid w:val="00A14F14"/>
    <w:rsid w:val="00A150FE"/>
    <w:rsid w:val="00A15270"/>
    <w:rsid w:val="00A152F3"/>
    <w:rsid w:val="00A15313"/>
    <w:rsid w:val="00A15488"/>
    <w:rsid w:val="00A154D7"/>
    <w:rsid w:val="00A1563B"/>
    <w:rsid w:val="00A15647"/>
    <w:rsid w:val="00A156A1"/>
    <w:rsid w:val="00A156CD"/>
    <w:rsid w:val="00A1571F"/>
    <w:rsid w:val="00A15785"/>
    <w:rsid w:val="00A1578B"/>
    <w:rsid w:val="00A157A6"/>
    <w:rsid w:val="00A157FD"/>
    <w:rsid w:val="00A15814"/>
    <w:rsid w:val="00A15856"/>
    <w:rsid w:val="00A15963"/>
    <w:rsid w:val="00A15988"/>
    <w:rsid w:val="00A15995"/>
    <w:rsid w:val="00A15999"/>
    <w:rsid w:val="00A15AF0"/>
    <w:rsid w:val="00A15B8E"/>
    <w:rsid w:val="00A15BC1"/>
    <w:rsid w:val="00A15C57"/>
    <w:rsid w:val="00A15C95"/>
    <w:rsid w:val="00A15CB3"/>
    <w:rsid w:val="00A15D69"/>
    <w:rsid w:val="00A15DEA"/>
    <w:rsid w:val="00A15E25"/>
    <w:rsid w:val="00A15EE4"/>
    <w:rsid w:val="00A15F46"/>
    <w:rsid w:val="00A15F90"/>
    <w:rsid w:val="00A16071"/>
    <w:rsid w:val="00A16181"/>
    <w:rsid w:val="00A162C4"/>
    <w:rsid w:val="00A162ED"/>
    <w:rsid w:val="00A1649A"/>
    <w:rsid w:val="00A16566"/>
    <w:rsid w:val="00A16866"/>
    <w:rsid w:val="00A16933"/>
    <w:rsid w:val="00A169A6"/>
    <w:rsid w:val="00A16A0B"/>
    <w:rsid w:val="00A16AD0"/>
    <w:rsid w:val="00A16B3A"/>
    <w:rsid w:val="00A16B67"/>
    <w:rsid w:val="00A16B7D"/>
    <w:rsid w:val="00A16BCF"/>
    <w:rsid w:val="00A16C2E"/>
    <w:rsid w:val="00A16C7A"/>
    <w:rsid w:val="00A16CD3"/>
    <w:rsid w:val="00A16D65"/>
    <w:rsid w:val="00A16D71"/>
    <w:rsid w:val="00A16D79"/>
    <w:rsid w:val="00A16D7F"/>
    <w:rsid w:val="00A16E1B"/>
    <w:rsid w:val="00A16E1E"/>
    <w:rsid w:val="00A16E95"/>
    <w:rsid w:val="00A16EEE"/>
    <w:rsid w:val="00A16F74"/>
    <w:rsid w:val="00A16FB1"/>
    <w:rsid w:val="00A16FD8"/>
    <w:rsid w:val="00A16FF6"/>
    <w:rsid w:val="00A16FF8"/>
    <w:rsid w:val="00A1702B"/>
    <w:rsid w:val="00A1709C"/>
    <w:rsid w:val="00A171AD"/>
    <w:rsid w:val="00A17217"/>
    <w:rsid w:val="00A1721A"/>
    <w:rsid w:val="00A17295"/>
    <w:rsid w:val="00A1738C"/>
    <w:rsid w:val="00A173AA"/>
    <w:rsid w:val="00A174E1"/>
    <w:rsid w:val="00A17580"/>
    <w:rsid w:val="00A17621"/>
    <w:rsid w:val="00A1768A"/>
    <w:rsid w:val="00A17700"/>
    <w:rsid w:val="00A17773"/>
    <w:rsid w:val="00A17834"/>
    <w:rsid w:val="00A17878"/>
    <w:rsid w:val="00A17A09"/>
    <w:rsid w:val="00A17A99"/>
    <w:rsid w:val="00A17B8B"/>
    <w:rsid w:val="00A17BCC"/>
    <w:rsid w:val="00A17E09"/>
    <w:rsid w:val="00A17E2A"/>
    <w:rsid w:val="00A17EFE"/>
    <w:rsid w:val="00A17F33"/>
    <w:rsid w:val="00A17F70"/>
    <w:rsid w:val="00A17F8E"/>
    <w:rsid w:val="00A17FB5"/>
    <w:rsid w:val="00A17FFA"/>
    <w:rsid w:val="00A200F4"/>
    <w:rsid w:val="00A20131"/>
    <w:rsid w:val="00A202C5"/>
    <w:rsid w:val="00A202D2"/>
    <w:rsid w:val="00A2036F"/>
    <w:rsid w:val="00A203CA"/>
    <w:rsid w:val="00A203EA"/>
    <w:rsid w:val="00A20554"/>
    <w:rsid w:val="00A20577"/>
    <w:rsid w:val="00A20617"/>
    <w:rsid w:val="00A20660"/>
    <w:rsid w:val="00A20751"/>
    <w:rsid w:val="00A20758"/>
    <w:rsid w:val="00A20776"/>
    <w:rsid w:val="00A20844"/>
    <w:rsid w:val="00A208EA"/>
    <w:rsid w:val="00A20901"/>
    <w:rsid w:val="00A20936"/>
    <w:rsid w:val="00A209CD"/>
    <w:rsid w:val="00A20A03"/>
    <w:rsid w:val="00A20A54"/>
    <w:rsid w:val="00A20A8A"/>
    <w:rsid w:val="00A20B22"/>
    <w:rsid w:val="00A20BDB"/>
    <w:rsid w:val="00A20C47"/>
    <w:rsid w:val="00A20C4A"/>
    <w:rsid w:val="00A20C6F"/>
    <w:rsid w:val="00A20C7C"/>
    <w:rsid w:val="00A20C95"/>
    <w:rsid w:val="00A20E02"/>
    <w:rsid w:val="00A20E11"/>
    <w:rsid w:val="00A20E29"/>
    <w:rsid w:val="00A20E91"/>
    <w:rsid w:val="00A20EC1"/>
    <w:rsid w:val="00A20ECB"/>
    <w:rsid w:val="00A20ECE"/>
    <w:rsid w:val="00A20F3A"/>
    <w:rsid w:val="00A20FD2"/>
    <w:rsid w:val="00A20FF3"/>
    <w:rsid w:val="00A2104F"/>
    <w:rsid w:val="00A21208"/>
    <w:rsid w:val="00A2123C"/>
    <w:rsid w:val="00A212CC"/>
    <w:rsid w:val="00A212FD"/>
    <w:rsid w:val="00A21395"/>
    <w:rsid w:val="00A213F8"/>
    <w:rsid w:val="00A21496"/>
    <w:rsid w:val="00A214ED"/>
    <w:rsid w:val="00A2168F"/>
    <w:rsid w:val="00A21702"/>
    <w:rsid w:val="00A21752"/>
    <w:rsid w:val="00A21897"/>
    <w:rsid w:val="00A21A31"/>
    <w:rsid w:val="00A21D33"/>
    <w:rsid w:val="00A21D76"/>
    <w:rsid w:val="00A21DE3"/>
    <w:rsid w:val="00A21E86"/>
    <w:rsid w:val="00A21EE2"/>
    <w:rsid w:val="00A21F41"/>
    <w:rsid w:val="00A21FFE"/>
    <w:rsid w:val="00A22015"/>
    <w:rsid w:val="00A220D6"/>
    <w:rsid w:val="00A22114"/>
    <w:rsid w:val="00A2212E"/>
    <w:rsid w:val="00A221F6"/>
    <w:rsid w:val="00A22209"/>
    <w:rsid w:val="00A22290"/>
    <w:rsid w:val="00A222F1"/>
    <w:rsid w:val="00A22346"/>
    <w:rsid w:val="00A22367"/>
    <w:rsid w:val="00A223C5"/>
    <w:rsid w:val="00A22401"/>
    <w:rsid w:val="00A22895"/>
    <w:rsid w:val="00A2290B"/>
    <w:rsid w:val="00A229ED"/>
    <w:rsid w:val="00A22A20"/>
    <w:rsid w:val="00A22A84"/>
    <w:rsid w:val="00A22ACF"/>
    <w:rsid w:val="00A22B8D"/>
    <w:rsid w:val="00A22B90"/>
    <w:rsid w:val="00A22C4C"/>
    <w:rsid w:val="00A22DAF"/>
    <w:rsid w:val="00A22E7C"/>
    <w:rsid w:val="00A22EA3"/>
    <w:rsid w:val="00A22EE4"/>
    <w:rsid w:val="00A22EFB"/>
    <w:rsid w:val="00A22F5E"/>
    <w:rsid w:val="00A23189"/>
    <w:rsid w:val="00A231F5"/>
    <w:rsid w:val="00A23333"/>
    <w:rsid w:val="00A233CF"/>
    <w:rsid w:val="00A23446"/>
    <w:rsid w:val="00A235DC"/>
    <w:rsid w:val="00A235F4"/>
    <w:rsid w:val="00A23723"/>
    <w:rsid w:val="00A2375E"/>
    <w:rsid w:val="00A23879"/>
    <w:rsid w:val="00A23A40"/>
    <w:rsid w:val="00A23AB0"/>
    <w:rsid w:val="00A23ABF"/>
    <w:rsid w:val="00A23B42"/>
    <w:rsid w:val="00A23B50"/>
    <w:rsid w:val="00A23BCD"/>
    <w:rsid w:val="00A23C2E"/>
    <w:rsid w:val="00A23C5B"/>
    <w:rsid w:val="00A23C6C"/>
    <w:rsid w:val="00A23C80"/>
    <w:rsid w:val="00A23CF3"/>
    <w:rsid w:val="00A23D2F"/>
    <w:rsid w:val="00A23D54"/>
    <w:rsid w:val="00A23F3C"/>
    <w:rsid w:val="00A23FFE"/>
    <w:rsid w:val="00A24024"/>
    <w:rsid w:val="00A24025"/>
    <w:rsid w:val="00A2404D"/>
    <w:rsid w:val="00A24150"/>
    <w:rsid w:val="00A24164"/>
    <w:rsid w:val="00A24357"/>
    <w:rsid w:val="00A2439C"/>
    <w:rsid w:val="00A244AB"/>
    <w:rsid w:val="00A244F3"/>
    <w:rsid w:val="00A24549"/>
    <w:rsid w:val="00A2454C"/>
    <w:rsid w:val="00A246CB"/>
    <w:rsid w:val="00A246D4"/>
    <w:rsid w:val="00A246EF"/>
    <w:rsid w:val="00A2470D"/>
    <w:rsid w:val="00A24754"/>
    <w:rsid w:val="00A24776"/>
    <w:rsid w:val="00A24785"/>
    <w:rsid w:val="00A24806"/>
    <w:rsid w:val="00A24867"/>
    <w:rsid w:val="00A2486D"/>
    <w:rsid w:val="00A249C2"/>
    <w:rsid w:val="00A24AC7"/>
    <w:rsid w:val="00A24BEF"/>
    <w:rsid w:val="00A24C55"/>
    <w:rsid w:val="00A24CD3"/>
    <w:rsid w:val="00A24E3C"/>
    <w:rsid w:val="00A24E5D"/>
    <w:rsid w:val="00A24F11"/>
    <w:rsid w:val="00A24F13"/>
    <w:rsid w:val="00A25029"/>
    <w:rsid w:val="00A250B0"/>
    <w:rsid w:val="00A250F1"/>
    <w:rsid w:val="00A2519D"/>
    <w:rsid w:val="00A25281"/>
    <w:rsid w:val="00A25310"/>
    <w:rsid w:val="00A253A8"/>
    <w:rsid w:val="00A253DE"/>
    <w:rsid w:val="00A25421"/>
    <w:rsid w:val="00A254B3"/>
    <w:rsid w:val="00A254C9"/>
    <w:rsid w:val="00A25585"/>
    <w:rsid w:val="00A25687"/>
    <w:rsid w:val="00A256DF"/>
    <w:rsid w:val="00A2576E"/>
    <w:rsid w:val="00A2578C"/>
    <w:rsid w:val="00A257CF"/>
    <w:rsid w:val="00A258C9"/>
    <w:rsid w:val="00A258F2"/>
    <w:rsid w:val="00A258FC"/>
    <w:rsid w:val="00A2594A"/>
    <w:rsid w:val="00A2597F"/>
    <w:rsid w:val="00A259E2"/>
    <w:rsid w:val="00A25A36"/>
    <w:rsid w:val="00A25A77"/>
    <w:rsid w:val="00A25A93"/>
    <w:rsid w:val="00A25AA5"/>
    <w:rsid w:val="00A25B35"/>
    <w:rsid w:val="00A25BD3"/>
    <w:rsid w:val="00A25C2F"/>
    <w:rsid w:val="00A25C69"/>
    <w:rsid w:val="00A25D63"/>
    <w:rsid w:val="00A25DD6"/>
    <w:rsid w:val="00A25E0B"/>
    <w:rsid w:val="00A25E62"/>
    <w:rsid w:val="00A25F63"/>
    <w:rsid w:val="00A25F6A"/>
    <w:rsid w:val="00A25FB8"/>
    <w:rsid w:val="00A260D7"/>
    <w:rsid w:val="00A26198"/>
    <w:rsid w:val="00A26235"/>
    <w:rsid w:val="00A26266"/>
    <w:rsid w:val="00A26343"/>
    <w:rsid w:val="00A26379"/>
    <w:rsid w:val="00A26387"/>
    <w:rsid w:val="00A263B1"/>
    <w:rsid w:val="00A2642D"/>
    <w:rsid w:val="00A264AD"/>
    <w:rsid w:val="00A26582"/>
    <w:rsid w:val="00A266B0"/>
    <w:rsid w:val="00A26706"/>
    <w:rsid w:val="00A26780"/>
    <w:rsid w:val="00A26802"/>
    <w:rsid w:val="00A26898"/>
    <w:rsid w:val="00A26916"/>
    <w:rsid w:val="00A2694D"/>
    <w:rsid w:val="00A26992"/>
    <w:rsid w:val="00A26C32"/>
    <w:rsid w:val="00A26E56"/>
    <w:rsid w:val="00A26E73"/>
    <w:rsid w:val="00A26E74"/>
    <w:rsid w:val="00A26E8E"/>
    <w:rsid w:val="00A26EA1"/>
    <w:rsid w:val="00A26F04"/>
    <w:rsid w:val="00A26F6D"/>
    <w:rsid w:val="00A271BB"/>
    <w:rsid w:val="00A271D8"/>
    <w:rsid w:val="00A27285"/>
    <w:rsid w:val="00A2735C"/>
    <w:rsid w:val="00A2736E"/>
    <w:rsid w:val="00A27381"/>
    <w:rsid w:val="00A2739F"/>
    <w:rsid w:val="00A274BE"/>
    <w:rsid w:val="00A2770F"/>
    <w:rsid w:val="00A27736"/>
    <w:rsid w:val="00A2781B"/>
    <w:rsid w:val="00A2781C"/>
    <w:rsid w:val="00A278C3"/>
    <w:rsid w:val="00A278D1"/>
    <w:rsid w:val="00A2796D"/>
    <w:rsid w:val="00A27AC3"/>
    <w:rsid w:val="00A27CA7"/>
    <w:rsid w:val="00A27CC8"/>
    <w:rsid w:val="00A27F22"/>
    <w:rsid w:val="00A27F7E"/>
    <w:rsid w:val="00A3003A"/>
    <w:rsid w:val="00A30132"/>
    <w:rsid w:val="00A301E3"/>
    <w:rsid w:val="00A3035B"/>
    <w:rsid w:val="00A303D8"/>
    <w:rsid w:val="00A303F6"/>
    <w:rsid w:val="00A30424"/>
    <w:rsid w:val="00A30655"/>
    <w:rsid w:val="00A30683"/>
    <w:rsid w:val="00A306FA"/>
    <w:rsid w:val="00A30814"/>
    <w:rsid w:val="00A30841"/>
    <w:rsid w:val="00A30845"/>
    <w:rsid w:val="00A3085A"/>
    <w:rsid w:val="00A30885"/>
    <w:rsid w:val="00A308C0"/>
    <w:rsid w:val="00A30902"/>
    <w:rsid w:val="00A30976"/>
    <w:rsid w:val="00A30AB0"/>
    <w:rsid w:val="00A30ACE"/>
    <w:rsid w:val="00A30B56"/>
    <w:rsid w:val="00A30B92"/>
    <w:rsid w:val="00A30BF2"/>
    <w:rsid w:val="00A30D36"/>
    <w:rsid w:val="00A30E73"/>
    <w:rsid w:val="00A30ED6"/>
    <w:rsid w:val="00A30F6E"/>
    <w:rsid w:val="00A30FCD"/>
    <w:rsid w:val="00A30FD2"/>
    <w:rsid w:val="00A30FEB"/>
    <w:rsid w:val="00A31001"/>
    <w:rsid w:val="00A310CC"/>
    <w:rsid w:val="00A3113C"/>
    <w:rsid w:val="00A3115C"/>
    <w:rsid w:val="00A31255"/>
    <w:rsid w:val="00A31278"/>
    <w:rsid w:val="00A312A7"/>
    <w:rsid w:val="00A312B5"/>
    <w:rsid w:val="00A31336"/>
    <w:rsid w:val="00A31382"/>
    <w:rsid w:val="00A3139D"/>
    <w:rsid w:val="00A31435"/>
    <w:rsid w:val="00A314FD"/>
    <w:rsid w:val="00A31679"/>
    <w:rsid w:val="00A316ED"/>
    <w:rsid w:val="00A31717"/>
    <w:rsid w:val="00A31854"/>
    <w:rsid w:val="00A31875"/>
    <w:rsid w:val="00A31907"/>
    <w:rsid w:val="00A31A38"/>
    <w:rsid w:val="00A31AF3"/>
    <w:rsid w:val="00A31B33"/>
    <w:rsid w:val="00A31BF7"/>
    <w:rsid w:val="00A31D54"/>
    <w:rsid w:val="00A31DA1"/>
    <w:rsid w:val="00A31FC2"/>
    <w:rsid w:val="00A32026"/>
    <w:rsid w:val="00A320B9"/>
    <w:rsid w:val="00A320CB"/>
    <w:rsid w:val="00A32178"/>
    <w:rsid w:val="00A32179"/>
    <w:rsid w:val="00A3234E"/>
    <w:rsid w:val="00A3234F"/>
    <w:rsid w:val="00A323F0"/>
    <w:rsid w:val="00A32444"/>
    <w:rsid w:val="00A324AB"/>
    <w:rsid w:val="00A324CF"/>
    <w:rsid w:val="00A32555"/>
    <w:rsid w:val="00A32580"/>
    <w:rsid w:val="00A3264B"/>
    <w:rsid w:val="00A3268E"/>
    <w:rsid w:val="00A3279A"/>
    <w:rsid w:val="00A328C0"/>
    <w:rsid w:val="00A32A0D"/>
    <w:rsid w:val="00A32A18"/>
    <w:rsid w:val="00A32A68"/>
    <w:rsid w:val="00A32BE7"/>
    <w:rsid w:val="00A32C90"/>
    <w:rsid w:val="00A32CAF"/>
    <w:rsid w:val="00A32D25"/>
    <w:rsid w:val="00A32DAC"/>
    <w:rsid w:val="00A32F42"/>
    <w:rsid w:val="00A3318F"/>
    <w:rsid w:val="00A33226"/>
    <w:rsid w:val="00A3327B"/>
    <w:rsid w:val="00A332B5"/>
    <w:rsid w:val="00A33328"/>
    <w:rsid w:val="00A3338B"/>
    <w:rsid w:val="00A333BF"/>
    <w:rsid w:val="00A3349F"/>
    <w:rsid w:val="00A334EE"/>
    <w:rsid w:val="00A33510"/>
    <w:rsid w:val="00A3353E"/>
    <w:rsid w:val="00A3370F"/>
    <w:rsid w:val="00A337EE"/>
    <w:rsid w:val="00A3386E"/>
    <w:rsid w:val="00A3399E"/>
    <w:rsid w:val="00A33B19"/>
    <w:rsid w:val="00A33BBA"/>
    <w:rsid w:val="00A33BCC"/>
    <w:rsid w:val="00A33CA3"/>
    <w:rsid w:val="00A33D1E"/>
    <w:rsid w:val="00A33D9A"/>
    <w:rsid w:val="00A33DD4"/>
    <w:rsid w:val="00A33E00"/>
    <w:rsid w:val="00A33E10"/>
    <w:rsid w:val="00A33E95"/>
    <w:rsid w:val="00A340F5"/>
    <w:rsid w:val="00A341CB"/>
    <w:rsid w:val="00A341EE"/>
    <w:rsid w:val="00A342AA"/>
    <w:rsid w:val="00A3436C"/>
    <w:rsid w:val="00A343E8"/>
    <w:rsid w:val="00A34406"/>
    <w:rsid w:val="00A3446C"/>
    <w:rsid w:val="00A344A5"/>
    <w:rsid w:val="00A344E8"/>
    <w:rsid w:val="00A34567"/>
    <w:rsid w:val="00A345E9"/>
    <w:rsid w:val="00A346C5"/>
    <w:rsid w:val="00A3480D"/>
    <w:rsid w:val="00A34A15"/>
    <w:rsid w:val="00A34B95"/>
    <w:rsid w:val="00A34C84"/>
    <w:rsid w:val="00A34CA6"/>
    <w:rsid w:val="00A34D84"/>
    <w:rsid w:val="00A34E33"/>
    <w:rsid w:val="00A34E76"/>
    <w:rsid w:val="00A34EC2"/>
    <w:rsid w:val="00A34EDC"/>
    <w:rsid w:val="00A34F24"/>
    <w:rsid w:val="00A34F52"/>
    <w:rsid w:val="00A35033"/>
    <w:rsid w:val="00A3507D"/>
    <w:rsid w:val="00A3509D"/>
    <w:rsid w:val="00A3509E"/>
    <w:rsid w:val="00A35102"/>
    <w:rsid w:val="00A35171"/>
    <w:rsid w:val="00A351B3"/>
    <w:rsid w:val="00A35221"/>
    <w:rsid w:val="00A353E6"/>
    <w:rsid w:val="00A354DD"/>
    <w:rsid w:val="00A355B4"/>
    <w:rsid w:val="00A35709"/>
    <w:rsid w:val="00A3570B"/>
    <w:rsid w:val="00A35836"/>
    <w:rsid w:val="00A358FD"/>
    <w:rsid w:val="00A35911"/>
    <w:rsid w:val="00A35914"/>
    <w:rsid w:val="00A35925"/>
    <w:rsid w:val="00A359A2"/>
    <w:rsid w:val="00A35A54"/>
    <w:rsid w:val="00A35AA8"/>
    <w:rsid w:val="00A35AC7"/>
    <w:rsid w:val="00A35AD9"/>
    <w:rsid w:val="00A35DB4"/>
    <w:rsid w:val="00A35E79"/>
    <w:rsid w:val="00A35F7F"/>
    <w:rsid w:val="00A35F97"/>
    <w:rsid w:val="00A35F9A"/>
    <w:rsid w:val="00A361D2"/>
    <w:rsid w:val="00A36324"/>
    <w:rsid w:val="00A3638E"/>
    <w:rsid w:val="00A363ED"/>
    <w:rsid w:val="00A3643A"/>
    <w:rsid w:val="00A3646D"/>
    <w:rsid w:val="00A364AC"/>
    <w:rsid w:val="00A364FA"/>
    <w:rsid w:val="00A36584"/>
    <w:rsid w:val="00A36657"/>
    <w:rsid w:val="00A366CB"/>
    <w:rsid w:val="00A368A6"/>
    <w:rsid w:val="00A368D1"/>
    <w:rsid w:val="00A36906"/>
    <w:rsid w:val="00A369BF"/>
    <w:rsid w:val="00A36AAE"/>
    <w:rsid w:val="00A36C19"/>
    <w:rsid w:val="00A36C88"/>
    <w:rsid w:val="00A36D4C"/>
    <w:rsid w:val="00A36D51"/>
    <w:rsid w:val="00A36DA6"/>
    <w:rsid w:val="00A36E94"/>
    <w:rsid w:val="00A36FD9"/>
    <w:rsid w:val="00A36FDB"/>
    <w:rsid w:val="00A3703B"/>
    <w:rsid w:val="00A3707A"/>
    <w:rsid w:val="00A370A6"/>
    <w:rsid w:val="00A370BF"/>
    <w:rsid w:val="00A37103"/>
    <w:rsid w:val="00A37138"/>
    <w:rsid w:val="00A37149"/>
    <w:rsid w:val="00A3715D"/>
    <w:rsid w:val="00A37200"/>
    <w:rsid w:val="00A37211"/>
    <w:rsid w:val="00A372B6"/>
    <w:rsid w:val="00A37396"/>
    <w:rsid w:val="00A374A0"/>
    <w:rsid w:val="00A3770A"/>
    <w:rsid w:val="00A37769"/>
    <w:rsid w:val="00A37A31"/>
    <w:rsid w:val="00A37AE7"/>
    <w:rsid w:val="00A37AF9"/>
    <w:rsid w:val="00A37B25"/>
    <w:rsid w:val="00A37BBC"/>
    <w:rsid w:val="00A37BEE"/>
    <w:rsid w:val="00A37CAA"/>
    <w:rsid w:val="00A37CE6"/>
    <w:rsid w:val="00A37E1C"/>
    <w:rsid w:val="00A37E5D"/>
    <w:rsid w:val="00A37E71"/>
    <w:rsid w:val="00A37EDE"/>
    <w:rsid w:val="00A37F87"/>
    <w:rsid w:val="00A40021"/>
    <w:rsid w:val="00A40062"/>
    <w:rsid w:val="00A400FF"/>
    <w:rsid w:val="00A4018C"/>
    <w:rsid w:val="00A4019B"/>
    <w:rsid w:val="00A4026F"/>
    <w:rsid w:val="00A402E6"/>
    <w:rsid w:val="00A4038A"/>
    <w:rsid w:val="00A403EB"/>
    <w:rsid w:val="00A40456"/>
    <w:rsid w:val="00A40522"/>
    <w:rsid w:val="00A4052B"/>
    <w:rsid w:val="00A405D3"/>
    <w:rsid w:val="00A40653"/>
    <w:rsid w:val="00A40689"/>
    <w:rsid w:val="00A407C1"/>
    <w:rsid w:val="00A407C7"/>
    <w:rsid w:val="00A40869"/>
    <w:rsid w:val="00A40918"/>
    <w:rsid w:val="00A40A06"/>
    <w:rsid w:val="00A40A5F"/>
    <w:rsid w:val="00A40A7A"/>
    <w:rsid w:val="00A40B3C"/>
    <w:rsid w:val="00A40B57"/>
    <w:rsid w:val="00A40BDA"/>
    <w:rsid w:val="00A40BF1"/>
    <w:rsid w:val="00A40C59"/>
    <w:rsid w:val="00A40C5B"/>
    <w:rsid w:val="00A40C80"/>
    <w:rsid w:val="00A40CD4"/>
    <w:rsid w:val="00A40D16"/>
    <w:rsid w:val="00A40D18"/>
    <w:rsid w:val="00A40D53"/>
    <w:rsid w:val="00A40DAD"/>
    <w:rsid w:val="00A40E2C"/>
    <w:rsid w:val="00A40E2E"/>
    <w:rsid w:val="00A40E94"/>
    <w:rsid w:val="00A41022"/>
    <w:rsid w:val="00A41049"/>
    <w:rsid w:val="00A41077"/>
    <w:rsid w:val="00A410F5"/>
    <w:rsid w:val="00A4111A"/>
    <w:rsid w:val="00A41150"/>
    <w:rsid w:val="00A411BF"/>
    <w:rsid w:val="00A412D0"/>
    <w:rsid w:val="00A41370"/>
    <w:rsid w:val="00A413E0"/>
    <w:rsid w:val="00A41477"/>
    <w:rsid w:val="00A4157D"/>
    <w:rsid w:val="00A41611"/>
    <w:rsid w:val="00A416F2"/>
    <w:rsid w:val="00A417DA"/>
    <w:rsid w:val="00A41826"/>
    <w:rsid w:val="00A4183B"/>
    <w:rsid w:val="00A41970"/>
    <w:rsid w:val="00A4199D"/>
    <w:rsid w:val="00A41A38"/>
    <w:rsid w:val="00A41B52"/>
    <w:rsid w:val="00A41B54"/>
    <w:rsid w:val="00A41B69"/>
    <w:rsid w:val="00A41C4E"/>
    <w:rsid w:val="00A41C7E"/>
    <w:rsid w:val="00A41D1F"/>
    <w:rsid w:val="00A41DC2"/>
    <w:rsid w:val="00A41E37"/>
    <w:rsid w:val="00A41E87"/>
    <w:rsid w:val="00A41EB5"/>
    <w:rsid w:val="00A41F2E"/>
    <w:rsid w:val="00A41FD7"/>
    <w:rsid w:val="00A42145"/>
    <w:rsid w:val="00A421B5"/>
    <w:rsid w:val="00A42231"/>
    <w:rsid w:val="00A4228F"/>
    <w:rsid w:val="00A4230E"/>
    <w:rsid w:val="00A42317"/>
    <w:rsid w:val="00A4236A"/>
    <w:rsid w:val="00A42371"/>
    <w:rsid w:val="00A426E4"/>
    <w:rsid w:val="00A42857"/>
    <w:rsid w:val="00A429CC"/>
    <w:rsid w:val="00A429DA"/>
    <w:rsid w:val="00A42A0E"/>
    <w:rsid w:val="00A42A95"/>
    <w:rsid w:val="00A42AAD"/>
    <w:rsid w:val="00A42AE1"/>
    <w:rsid w:val="00A42B41"/>
    <w:rsid w:val="00A42B79"/>
    <w:rsid w:val="00A42BC9"/>
    <w:rsid w:val="00A42C7F"/>
    <w:rsid w:val="00A42CAB"/>
    <w:rsid w:val="00A42D2B"/>
    <w:rsid w:val="00A42D43"/>
    <w:rsid w:val="00A42D92"/>
    <w:rsid w:val="00A42DC9"/>
    <w:rsid w:val="00A42E57"/>
    <w:rsid w:val="00A42E5C"/>
    <w:rsid w:val="00A42EDF"/>
    <w:rsid w:val="00A4301C"/>
    <w:rsid w:val="00A4309C"/>
    <w:rsid w:val="00A430B5"/>
    <w:rsid w:val="00A43164"/>
    <w:rsid w:val="00A43193"/>
    <w:rsid w:val="00A431BD"/>
    <w:rsid w:val="00A43207"/>
    <w:rsid w:val="00A4324E"/>
    <w:rsid w:val="00A4328D"/>
    <w:rsid w:val="00A432BE"/>
    <w:rsid w:val="00A433AF"/>
    <w:rsid w:val="00A434B3"/>
    <w:rsid w:val="00A435B5"/>
    <w:rsid w:val="00A435FD"/>
    <w:rsid w:val="00A436A5"/>
    <w:rsid w:val="00A4374D"/>
    <w:rsid w:val="00A43764"/>
    <w:rsid w:val="00A43797"/>
    <w:rsid w:val="00A43851"/>
    <w:rsid w:val="00A4387C"/>
    <w:rsid w:val="00A43909"/>
    <w:rsid w:val="00A43ABD"/>
    <w:rsid w:val="00A43ACA"/>
    <w:rsid w:val="00A43B20"/>
    <w:rsid w:val="00A43B26"/>
    <w:rsid w:val="00A43BB8"/>
    <w:rsid w:val="00A43C34"/>
    <w:rsid w:val="00A43D3A"/>
    <w:rsid w:val="00A43D70"/>
    <w:rsid w:val="00A43DAE"/>
    <w:rsid w:val="00A43E28"/>
    <w:rsid w:val="00A43EDE"/>
    <w:rsid w:val="00A43F25"/>
    <w:rsid w:val="00A43F7F"/>
    <w:rsid w:val="00A43FD8"/>
    <w:rsid w:val="00A44030"/>
    <w:rsid w:val="00A4405B"/>
    <w:rsid w:val="00A44175"/>
    <w:rsid w:val="00A441D0"/>
    <w:rsid w:val="00A4420C"/>
    <w:rsid w:val="00A44239"/>
    <w:rsid w:val="00A442EB"/>
    <w:rsid w:val="00A44311"/>
    <w:rsid w:val="00A4437A"/>
    <w:rsid w:val="00A44487"/>
    <w:rsid w:val="00A444D1"/>
    <w:rsid w:val="00A44553"/>
    <w:rsid w:val="00A4456D"/>
    <w:rsid w:val="00A445E2"/>
    <w:rsid w:val="00A446CB"/>
    <w:rsid w:val="00A448A7"/>
    <w:rsid w:val="00A44977"/>
    <w:rsid w:val="00A449CD"/>
    <w:rsid w:val="00A44A85"/>
    <w:rsid w:val="00A44B62"/>
    <w:rsid w:val="00A44B91"/>
    <w:rsid w:val="00A44C08"/>
    <w:rsid w:val="00A44CEF"/>
    <w:rsid w:val="00A44D65"/>
    <w:rsid w:val="00A44DE0"/>
    <w:rsid w:val="00A44EC9"/>
    <w:rsid w:val="00A44FB8"/>
    <w:rsid w:val="00A45137"/>
    <w:rsid w:val="00A45244"/>
    <w:rsid w:val="00A452EA"/>
    <w:rsid w:val="00A452EE"/>
    <w:rsid w:val="00A4544D"/>
    <w:rsid w:val="00A454F9"/>
    <w:rsid w:val="00A45692"/>
    <w:rsid w:val="00A4570B"/>
    <w:rsid w:val="00A457A3"/>
    <w:rsid w:val="00A45868"/>
    <w:rsid w:val="00A458C8"/>
    <w:rsid w:val="00A45952"/>
    <w:rsid w:val="00A45996"/>
    <w:rsid w:val="00A45A44"/>
    <w:rsid w:val="00A45A4D"/>
    <w:rsid w:val="00A45BAD"/>
    <w:rsid w:val="00A45CD7"/>
    <w:rsid w:val="00A45DDD"/>
    <w:rsid w:val="00A45ECC"/>
    <w:rsid w:val="00A45F00"/>
    <w:rsid w:val="00A45F72"/>
    <w:rsid w:val="00A45F86"/>
    <w:rsid w:val="00A45FD9"/>
    <w:rsid w:val="00A46067"/>
    <w:rsid w:val="00A460F9"/>
    <w:rsid w:val="00A46164"/>
    <w:rsid w:val="00A46165"/>
    <w:rsid w:val="00A46195"/>
    <w:rsid w:val="00A46305"/>
    <w:rsid w:val="00A46310"/>
    <w:rsid w:val="00A4640C"/>
    <w:rsid w:val="00A46418"/>
    <w:rsid w:val="00A46469"/>
    <w:rsid w:val="00A46547"/>
    <w:rsid w:val="00A465A1"/>
    <w:rsid w:val="00A4664B"/>
    <w:rsid w:val="00A466A9"/>
    <w:rsid w:val="00A46718"/>
    <w:rsid w:val="00A46745"/>
    <w:rsid w:val="00A467A9"/>
    <w:rsid w:val="00A467B4"/>
    <w:rsid w:val="00A4681D"/>
    <w:rsid w:val="00A46937"/>
    <w:rsid w:val="00A46BCC"/>
    <w:rsid w:val="00A46C44"/>
    <w:rsid w:val="00A46CF7"/>
    <w:rsid w:val="00A46CFC"/>
    <w:rsid w:val="00A46D1F"/>
    <w:rsid w:val="00A46E7A"/>
    <w:rsid w:val="00A46EDD"/>
    <w:rsid w:val="00A46F17"/>
    <w:rsid w:val="00A46FE7"/>
    <w:rsid w:val="00A470B7"/>
    <w:rsid w:val="00A4719E"/>
    <w:rsid w:val="00A471F8"/>
    <w:rsid w:val="00A4720E"/>
    <w:rsid w:val="00A472D1"/>
    <w:rsid w:val="00A473A3"/>
    <w:rsid w:val="00A47409"/>
    <w:rsid w:val="00A474A4"/>
    <w:rsid w:val="00A474AE"/>
    <w:rsid w:val="00A47532"/>
    <w:rsid w:val="00A475A7"/>
    <w:rsid w:val="00A4777C"/>
    <w:rsid w:val="00A478F1"/>
    <w:rsid w:val="00A47987"/>
    <w:rsid w:val="00A47A3B"/>
    <w:rsid w:val="00A47A5A"/>
    <w:rsid w:val="00A47A92"/>
    <w:rsid w:val="00A47AD2"/>
    <w:rsid w:val="00A47B62"/>
    <w:rsid w:val="00A47B81"/>
    <w:rsid w:val="00A47BE0"/>
    <w:rsid w:val="00A47BF6"/>
    <w:rsid w:val="00A47D9D"/>
    <w:rsid w:val="00A47DD4"/>
    <w:rsid w:val="00A500DE"/>
    <w:rsid w:val="00A500F3"/>
    <w:rsid w:val="00A50122"/>
    <w:rsid w:val="00A50176"/>
    <w:rsid w:val="00A501AD"/>
    <w:rsid w:val="00A502FD"/>
    <w:rsid w:val="00A5035E"/>
    <w:rsid w:val="00A503EB"/>
    <w:rsid w:val="00A5042E"/>
    <w:rsid w:val="00A5050A"/>
    <w:rsid w:val="00A5052C"/>
    <w:rsid w:val="00A506D2"/>
    <w:rsid w:val="00A5073E"/>
    <w:rsid w:val="00A50761"/>
    <w:rsid w:val="00A507AE"/>
    <w:rsid w:val="00A508DE"/>
    <w:rsid w:val="00A5091D"/>
    <w:rsid w:val="00A509BD"/>
    <w:rsid w:val="00A509C6"/>
    <w:rsid w:val="00A50ACE"/>
    <w:rsid w:val="00A50BF7"/>
    <w:rsid w:val="00A50CA5"/>
    <w:rsid w:val="00A50D9E"/>
    <w:rsid w:val="00A50DBC"/>
    <w:rsid w:val="00A50DD2"/>
    <w:rsid w:val="00A50EFF"/>
    <w:rsid w:val="00A50F35"/>
    <w:rsid w:val="00A50F39"/>
    <w:rsid w:val="00A50F8F"/>
    <w:rsid w:val="00A50FBE"/>
    <w:rsid w:val="00A510B2"/>
    <w:rsid w:val="00A51134"/>
    <w:rsid w:val="00A51216"/>
    <w:rsid w:val="00A51288"/>
    <w:rsid w:val="00A512A0"/>
    <w:rsid w:val="00A512DC"/>
    <w:rsid w:val="00A51317"/>
    <w:rsid w:val="00A51372"/>
    <w:rsid w:val="00A51441"/>
    <w:rsid w:val="00A51470"/>
    <w:rsid w:val="00A515B0"/>
    <w:rsid w:val="00A516C7"/>
    <w:rsid w:val="00A516C9"/>
    <w:rsid w:val="00A516CD"/>
    <w:rsid w:val="00A516DC"/>
    <w:rsid w:val="00A5170F"/>
    <w:rsid w:val="00A51710"/>
    <w:rsid w:val="00A51773"/>
    <w:rsid w:val="00A51816"/>
    <w:rsid w:val="00A5183E"/>
    <w:rsid w:val="00A5184C"/>
    <w:rsid w:val="00A51893"/>
    <w:rsid w:val="00A51934"/>
    <w:rsid w:val="00A51978"/>
    <w:rsid w:val="00A5198E"/>
    <w:rsid w:val="00A519D0"/>
    <w:rsid w:val="00A51A92"/>
    <w:rsid w:val="00A51AB7"/>
    <w:rsid w:val="00A51C30"/>
    <w:rsid w:val="00A51C4D"/>
    <w:rsid w:val="00A51D45"/>
    <w:rsid w:val="00A51E90"/>
    <w:rsid w:val="00A51FE7"/>
    <w:rsid w:val="00A5204C"/>
    <w:rsid w:val="00A520CD"/>
    <w:rsid w:val="00A520D3"/>
    <w:rsid w:val="00A52160"/>
    <w:rsid w:val="00A5217A"/>
    <w:rsid w:val="00A521B7"/>
    <w:rsid w:val="00A521E9"/>
    <w:rsid w:val="00A522D5"/>
    <w:rsid w:val="00A52397"/>
    <w:rsid w:val="00A523E3"/>
    <w:rsid w:val="00A52403"/>
    <w:rsid w:val="00A5246D"/>
    <w:rsid w:val="00A52578"/>
    <w:rsid w:val="00A5268F"/>
    <w:rsid w:val="00A52871"/>
    <w:rsid w:val="00A52A0A"/>
    <w:rsid w:val="00A52A1A"/>
    <w:rsid w:val="00A52AF4"/>
    <w:rsid w:val="00A52B26"/>
    <w:rsid w:val="00A52D0F"/>
    <w:rsid w:val="00A52D6E"/>
    <w:rsid w:val="00A52E89"/>
    <w:rsid w:val="00A52F46"/>
    <w:rsid w:val="00A52FAE"/>
    <w:rsid w:val="00A530AF"/>
    <w:rsid w:val="00A53180"/>
    <w:rsid w:val="00A53258"/>
    <w:rsid w:val="00A53261"/>
    <w:rsid w:val="00A532FA"/>
    <w:rsid w:val="00A53384"/>
    <w:rsid w:val="00A533D6"/>
    <w:rsid w:val="00A53401"/>
    <w:rsid w:val="00A53418"/>
    <w:rsid w:val="00A5342A"/>
    <w:rsid w:val="00A5344D"/>
    <w:rsid w:val="00A534E7"/>
    <w:rsid w:val="00A53523"/>
    <w:rsid w:val="00A5357E"/>
    <w:rsid w:val="00A53645"/>
    <w:rsid w:val="00A53733"/>
    <w:rsid w:val="00A53750"/>
    <w:rsid w:val="00A537A2"/>
    <w:rsid w:val="00A537B6"/>
    <w:rsid w:val="00A53839"/>
    <w:rsid w:val="00A53875"/>
    <w:rsid w:val="00A53950"/>
    <w:rsid w:val="00A539E8"/>
    <w:rsid w:val="00A53A57"/>
    <w:rsid w:val="00A53B00"/>
    <w:rsid w:val="00A53B99"/>
    <w:rsid w:val="00A53C54"/>
    <w:rsid w:val="00A53D2E"/>
    <w:rsid w:val="00A53D62"/>
    <w:rsid w:val="00A53D7B"/>
    <w:rsid w:val="00A53D98"/>
    <w:rsid w:val="00A53DD2"/>
    <w:rsid w:val="00A53DD6"/>
    <w:rsid w:val="00A53E51"/>
    <w:rsid w:val="00A53E8A"/>
    <w:rsid w:val="00A53EE8"/>
    <w:rsid w:val="00A53EEB"/>
    <w:rsid w:val="00A53F00"/>
    <w:rsid w:val="00A53FAA"/>
    <w:rsid w:val="00A53FBF"/>
    <w:rsid w:val="00A53FE8"/>
    <w:rsid w:val="00A53FEE"/>
    <w:rsid w:val="00A540F7"/>
    <w:rsid w:val="00A5410E"/>
    <w:rsid w:val="00A54118"/>
    <w:rsid w:val="00A54166"/>
    <w:rsid w:val="00A541A7"/>
    <w:rsid w:val="00A541B5"/>
    <w:rsid w:val="00A54236"/>
    <w:rsid w:val="00A54249"/>
    <w:rsid w:val="00A54325"/>
    <w:rsid w:val="00A5432F"/>
    <w:rsid w:val="00A54420"/>
    <w:rsid w:val="00A544E1"/>
    <w:rsid w:val="00A54517"/>
    <w:rsid w:val="00A54537"/>
    <w:rsid w:val="00A54555"/>
    <w:rsid w:val="00A5463B"/>
    <w:rsid w:val="00A54740"/>
    <w:rsid w:val="00A54810"/>
    <w:rsid w:val="00A54841"/>
    <w:rsid w:val="00A5488F"/>
    <w:rsid w:val="00A548F2"/>
    <w:rsid w:val="00A549B2"/>
    <w:rsid w:val="00A549B7"/>
    <w:rsid w:val="00A54A08"/>
    <w:rsid w:val="00A54A57"/>
    <w:rsid w:val="00A54AE5"/>
    <w:rsid w:val="00A54B55"/>
    <w:rsid w:val="00A54B82"/>
    <w:rsid w:val="00A54BAB"/>
    <w:rsid w:val="00A54C20"/>
    <w:rsid w:val="00A54C36"/>
    <w:rsid w:val="00A54C96"/>
    <w:rsid w:val="00A54D9B"/>
    <w:rsid w:val="00A54DC3"/>
    <w:rsid w:val="00A54E28"/>
    <w:rsid w:val="00A55053"/>
    <w:rsid w:val="00A5518C"/>
    <w:rsid w:val="00A5545A"/>
    <w:rsid w:val="00A5547F"/>
    <w:rsid w:val="00A554D4"/>
    <w:rsid w:val="00A554EA"/>
    <w:rsid w:val="00A55575"/>
    <w:rsid w:val="00A555CE"/>
    <w:rsid w:val="00A555E1"/>
    <w:rsid w:val="00A556A3"/>
    <w:rsid w:val="00A556FE"/>
    <w:rsid w:val="00A5588E"/>
    <w:rsid w:val="00A55977"/>
    <w:rsid w:val="00A5598D"/>
    <w:rsid w:val="00A55A0D"/>
    <w:rsid w:val="00A55B54"/>
    <w:rsid w:val="00A55CA1"/>
    <w:rsid w:val="00A55CE7"/>
    <w:rsid w:val="00A55DBA"/>
    <w:rsid w:val="00A55DF3"/>
    <w:rsid w:val="00A55E88"/>
    <w:rsid w:val="00A55EBD"/>
    <w:rsid w:val="00A55F04"/>
    <w:rsid w:val="00A55F86"/>
    <w:rsid w:val="00A55FFA"/>
    <w:rsid w:val="00A560BB"/>
    <w:rsid w:val="00A56110"/>
    <w:rsid w:val="00A56163"/>
    <w:rsid w:val="00A561A4"/>
    <w:rsid w:val="00A56281"/>
    <w:rsid w:val="00A563C7"/>
    <w:rsid w:val="00A56468"/>
    <w:rsid w:val="00A5653E"/>
    <w:rsid w:val="00A56558"/>
    <w:rsid w:val="00A5656E"/>
    <w:rsid w:val="00A565DD"/>
    <w:rsid w:val="00A56658"/>
    <w:rsid w:val="00A566AE"/>
    <w:rsid w:val="00A56745"/>
    <w:rsid w:val="00A56772"/>
    <w:rsid w:val="00A567EC"/>
    <w:rsid w:val="00A5696B"/>
    <w:rsid w:val="00A56A10"/>
    <w:rsid w:val="00A56A87"/>
    <w:rsid w:val="00A56B8A"/>
    <w:rsid w:val="00A56C25"/>
    <w:rsid w:val="00A56C37"/>
    <w:rsid w:val="00A56C81"/>
    <w:rsid w:val="00A56D0B"/>
    <w:rsid w:val="00A56D17"/>
    <w:rsid w:val="00A56DC6"/>
    <w:rsid w:val="00A56DD7"/>
    <w:rsid w:val="00A56E15"/>
    <w:rsid w:val="00A56E94"/>
    <w:rsid w:val="00A56EC5"/>
    <w:rsid w:val="00A56F98"/>
    <w:rsid w:val="00A56FE1"/>
    <w:rsid w:val="00A57068"/>
    <w:rsid w:val="00A57105"/>
    <w:rsid w:val="00A5720C"/>
    <w:rsid w:val="00A57225"/>
    <w:rsid w:val="00A572C4"/>
    <w:rsid w:val="00A57387"/>
    <w:rsid w:val="00A57406"/>
    <w:rsid w:val="00A57464"/>
    <w:rsid w:val="00A57491"/>
    <w:rsid w:val="00A57495"/>
    <w:rsid w:val="00A57507"/>
    <w:rsid w:val="00A5753A"/>
    <w:rsid w:val="00A57556"/>
    <w:rsid w:val="00A5756A"/>
    <w:rsid w:val="00A5764A"/>
    <w:rsid w:val="00A57668"/>
    <w:rsid w:val="00A5767F"/>
    <w:rsid w:val="00A5771E"/>
    <w:rsid w:val="00A57770"/>
    <w:rsid w:val="00A577A7"/>
    <w:rsid w:val="00A577AC"/>
    <w:rsid w:val="00A577D9"/>
    <w:rsid w:val="00A577FC"/>
    <w:rsid w:val="00A5781F"/>
    <w:rsid w:val="00A579A7"/>
    <w:rsid w:val="00A57A5C"/>
    <w:rsid w:val="00A57BCD"/>
    <w:rsid w:val="00A57C1F"/>
    <w:rsid w:val="00A57C3A"/>
    <w:rsid w:val="00A57C60"/>
    <w:rsid w:val="00A57CBC"/>
    <w:rsid w:val="00A57CFE"/>
    <w:rsid w:val="00A57E05"/>
    <w:rsid w:val="00A57E6D"/>
    <w:rsid w:val="00A57F1A"/>
    <w:rsid w:val="00A57FE4"/>
    <w:rsid w:val="00A60098"/>
    <w:rsid w:val="00A60114"/>
    <w:rsid w:val="00A6015D"/>
    <w:rsid w:val="00A601D9"/>
    <w:rsid w:val="00A601FC"/>
    <w:rsid w:val="00A60217"/>
    <w:rsid w:val="00A60233"/>
    <w:rsid w:val="00A602D8"/>
    <w:rsid w:val="00A6046F"/>
    <w:rsid w:val="00A6056C"/>
    <w:rsid w:val="00A60755"/>
    <w:rsid w:val="00A60AEC"/>
    <w:rsid w:val="00A60B41"/>
    <w:rsid w:val="00A60C83"/>
    <w:rsid w:val="00A60CC7"/>
    <w:rsid w:val="00A60E48"/>
    <w:rsid w:val="00A60F17"/>
    <w:rsid w:val="00A60F42"/>
    <w:rsid w:val="00A60F76"/>
    <w:rsid w:val="00A60FB4"/>
    <w:rsid w:val="00A60FFA"/>
    <w:rsid w:val="00A61017"/>
    <w:rsid w:val="00A61083"/>
    <w:rsid w:val="00A6110E"/>
    <w:rsid w:val="00A611B2"/>
    <w:rsid w:val="00A61241"/>
    <w:rsid w:val="00A6124C"/>
    <w:rsid w:val="00A612B6"/>
    <w:rsid w:val="00A612D9"/>
    <w:rsid w:val="00A613B6"/>
    <w:rsid w:val="00A613D5"/>
    <w:rsid w:val="00A614E9"/>
    <w:rsid w:val="00A614FC"/>
    <w:rsid w:val="00A61528"/>
    <w:rsid w:val="00A615FA"/>
    <w:rsid w:val="00A6163A"/>
    <w:rsid w:val="00A61675"/>
    <w:rsid w:val="00A616D6"/>
    <w:rsid w:val="00A61723"/>
    <w:rsid w:val="00A61733"/>
    <w:rsid w:val="00A6190F"/>
    <w:rsid w:val="00A6191C"/>
    <w:rsid w:val="00A61A04"/>
    <w:rsid w:val="00A61A66"/>
    <w:rsid w:val="00A61A7C"/>
    <w:rsid w:val="00A61B34"/>
    <w:rsid w:val="00A61B9F"/>
    <w:rsid w:val="00A61BB1"/>
    <w:rsid w:val="00A61BE6"/>
    <w:rsid w:val="00A61C8A"/>
    <w:rsid w:val="00A61D52"/>
    <w:rsid w:val="00A61DDF"/>
    <w:rsid w:val="00A61DF8"/>
    <w:rsid w:val="00A61EA4"/>
    <w:rsid w:val="00A61F6A"/>
    <w:rsid w:val="00A62017"/>
    <w:rsid w:val="00A6202F"/>
    <w:rsid w:val="00A620D4"/>
    <w:rsid w:val="00A6214E"/>
    <w:rsid w:val="00A62159"/>
    <w:rsid w:val="00A622AD"/>
    <w:rsid w:val="00A622D8"/>
    <w:rsid w:val="00A622DC"/>
    <w:rsid w:val="00A62312"/>
    <w:rsid w:val="00A62327"/>
    <w:rsid w:val="00A623B8"/>
    <w:rsid w:val="00A623BA"/>
    <w:rsid w:val="00A623DA"/>
    <w:rsid w:val="00A623E7"/>
    <w:rsid w:val="00A624AB"/>
    <w:rsid w:val="00A62506"/>
    <w:rsid w:val="00A625D4"/>
    <w:rsid w:val="00A625FA"/>
    <w:rsid w:val="00A6262D"/>
    <w:rsid w:val="00A626BC"/>
    <w:rsid w:val="00A6273C"/>
    <w:rsid w:val="00A62789"/>
    <w:rsid w:val="00A627AB"/>
    <w:rsid w:val="00A627E8"/>
    <w:rsid w:val="00A628CE"/>
    <w:rsid w:val="00A628D2"/>
    <w:rsid w:val="00A629FE"/>
    <w:rsid w:val="00A62AC2"/>
    <w:rsid w:val="00A62BFD"/>
    <w:rsid w:val="00A62CBB"/>
    <w:rsid w:val="00A62D04"/>
    <w:rsid w:val="00A62D25"/>
    <w:rsid w:val="00A62DF0"/>
    <w:rsid w:val="00A62E56"/>
    <w:rsid w:val="00A62EFA"/>
    <w:rsid w:val="00A62F4F"/>
    <w:rsid w:val="00A630CF"/>
    <w:rsid w:val="00A6310A"/>
    <w:rsid w:val="00A63166"/>
    <w:rsid w:val="00A631A8"/>
    <w:rsid w:val="00A63212"/>
    <w:rsid w:val="00A6328B"/>
    <w:rsid w:val="00A63363"/>
    <w:rsid w:val="00A633C5"/>
    <w:rsid w:val="00A633D6"/>
    <w:rsid w:val="00A63413"/>
    <w:rsid w:val="00A63533"/>
    <w:rsid w:val="00A635BE"/>
    <w:rsid w:val="00A636EC"/>
    <w:rsid w:val="00A63885"/>
    <w:rsid w:val="00A638A8"/>
    <w:rsid w:val="00A638C7"/>
    <w:rsid w:val="00A639BE"/>
    <w:rsid w:val="00A639EC"/>
    <w:rsid w:val="00A63A0E"/>
    <w:rsid w:val="00A63A47"/>
    <w:rsid w:val="00A63A95"/>
    <w:rsid w:val="00A63AC7"/>
    <w:rsid w:val="00A63B50"/>
    <w:rsid w:val="00A63B5A"/>
    <w:rsid w:val="00A63BDC"/>
    <w:rsid w:val="00A63CCB"/>
    <w:rsid w:val="00A63DBB"/>
    <w:rsid w:val="00A63DDA"/>
    <w:rsid w:val="00A63E11"/>
    <w:rsid w:val="00A63E46"/>
    <w:rsid w:val="00A63F42"/>
    <w:rsid w:val="00A6410D"/>
    <w:rsid w:val="00A6417F"/>
    <w:rsid w:val="00A64180"/>
    <w:rsid w:val="00A641EA"/>
    <w:rsid w:val="00A641F2"/>
    <w:rsid w:val="00A641F7"/>
    <w:rsid w:val="00A6421F"/>
    <w:rsid w:val="00A642D8"/>
    <w:rsid w:val="00A644C2"/>
    <w:rsid w:val="00A644E5"/>
    <w:rsid w:val="00A64571"/>
    <w:rsid w:val="00A64572"/>
    <w:rsid w:val="00A646B2"/>
    <w:rsid w:val="00A64776"/>
    <w:rsid w:val="00A647B6"/>
    <w:rsid w:val="00A647F1"/>
    <w:rsid w:val="00A64868"/>
    <w:rsid w:val="00A648BD"/>
    <w:rsid w:val="00A64948"/>
    <w:rsid w:val="00A64973"/>
    <w:rsid w:val="00A64A1F"/>
    <w:rsid w:val="00A64B31"/>
    <w:rsid w:val="00A64B9B"/>
    <w:rsid w:val="00A64BDF"/>
    <w:rsid w:val="00A64C10"/>
    <w:rsid w:val="00A64D21"/>
    <w:rsid w:val="00A64DB0"/>
    <w:rsid w:val="00A64DC4"/>
    <w:rsid w:val="00A64DE2"/>
    <w:rsid w:val="00A64EC1"/>
    <w:rsid w:val="00A64EED"/>
    <w:rsid w:val="00A64FB8"/>
    <w:rsid w:val="00A64FBF"/>
    <w:rsid w:val="00A64FC8"/>
    <w:rsid w:val="00A651BD"/>
    <w:rsid w:val="00A652D9"/>
    <w:rsid w:val="00A6533B"/>
    <w:rsid w:val="00A65365"/>
    <w:rsid w:val="00A653D4"/>
    <w:rsid w:val="00A65418"/>
    <w:rsid w:val="00A65548"/>
    <w:rsid w:val="00A655C4"/>
    <w:rsid w:val="00A655E0"/>
    <w:rsid w:val="00A65674"/>
    <w:rsid w:val="00A656A7"/>
    <w:rsid w:val="00A656B2"/>
    <w:rsid w:val="00A656D9"/>
    <w:rsid w:val="00A657E2"/>
    <w:rsid w:val="00A65868"/>
    <w:rsid w:val="00A658FB"/>
    <w:rsid w:val="00A65909"/>
    <w:rsid w:val="00A65A88"/>
    <w:rsid w:val="00A65A8C"/>
    <w:rsid w:val="00A65CDF"/>
    <w:rsid w:val="00A65D45"/>
    <w:rsid w:val="00A65DC8"/>
    <w:rsid w:val="00A65E1C"/>
    <w:rsid w:val="00A65E44"/>
    <w:rsid w:val="00A65E6C"/>
    <w:rsid w:val="00A65FD2"/>
    <w:rsid w:val="00A65FF8"/>
    <w:rsid w:val="00A66242"/>
    <w:rsid w:val="00A662E9"/>
    <w:rsid w:val="00A663DF"/>
    <w:rsid w:val="00A66664"/>
    <w:rsid w:val="00A66736"/>
    <w:rsid w:val="00A667A2"/>
    <w:rsid w:val="00A66C9D"/>
    <w:rsid w:val="00A66CFA"/>
    <w:rsid w:val="00A66D69"/>
    <w:rsid w:val="00A66D7E"/>
    <w:rsid w:val="00A66E4A"/>
    <w:rsid w:val="00A66F86"/>
    <w:rsid w:val="00A67060"/>
    <w:rsid w:val="00A6708A"/>
    <w:rsid w:val="00A670BF"/>
    <w:rsid w:val="00A670E1"/>
    <w:rsid w:val="00A671EF"/>
    <w:rsid w:val="00A67254"/>
    <w:rsid w:val="00A6732D"/>
    <w:rsid w:val="00A67415"/>
    <w:rsid w:val="00A67422"/>
    <w:rsid w:val="00A67430"/>
    <w:rsid w:val="00A675AA"/>
    <w:rsid w:val="00A675EB"/>
    <w:rsid w:val="00A6765F"/>
    <w:rsid w:val="00A676D6"/>
    <w:rsid w:val="00A67798"/>
    <w:rsid w:val="00A677DC"/>
    <w:rsid w:val="00A6781D"/>
    <w:rsid w:val="00A6782D"/>
    <w:rsid w:val="00A67886"/>
    <w:rsid w:val="00A67B0F"/>
    <w:rsid w:val="00A67BA0"/>
    <w:rsid w:val="00A67BDB"/>
    <w:rsid w:val="00A67C5D"/>
    <w:rsid w:val="00A67DB9"/>
    <w:rsid w:val="00A67F33"/>
    <w:rsid w:val="00A67FEF"/>
    <w:rsid w:val="00A70001"/>
    <w:rsid w:val="00A7000B"/>
    <w:rsid w:val="00A70065"/>
    <w:rsid w:val="00A70078"/>
    <w:rsid w:val="00A700B3"/>
    <w:rsid w:val="00A700BF"/>
    <w:rsid w:val="00A700CD"/>
    <w:rsid w:val="00A701FA"/>
    <w:rsid w:val="00A701FC"/>
    <w:rsid w:val="00A7020B"/>
    <w:rsid w:val="00A702A8"/>
    <w:rsid w:val="00A70322"/>
    <w:rsid w:val="00A70354"/>
    <w:rsid w:val="00A704CA"/>
    <w:rsid w:val="00A70542"/>
    <w:rsid w:val="00A7069B"/>
    <w:rsid w:val="00A706D6"/>
    <w:rsid w:val="00A707DC"/>
    <w:rsid w:val="00A7089A"/>
    <w:rsid w:val="00A70A81"/>
    <w:rsid w:val="00A70AEC"/>
    <w:rsid w:val="00A70B57"/>
    <w:rsid w:val="00A70B68"/>
    <w:rsid w:val="00A70B6C"/>
    <w:rsid w:val="00A70C35"/>
    <w:rsid w:val="00A70CB8"/>
    <w:rsid w:val="00A70ECF"/>
    <w:rsid w:val="00A70EF6"/>
    <w:rsid w:val="00A70F67"/>
    <w:rsid w:val="00A70F97"/>
    <w:rsid w:val="00A70FA0"/>
    <w:rsid w:val="00A70FAA"/>
    <w:rsid w:val="00A7100D"/>
    <w:rsid w:val="00A71010"/>
    <w:rsid w:val="00A71160"/>
    <w:rsid w:val="00A7118A"/>
    <w:rsid w:val="00A711A6"/>
    <w:rsid w:val="00A711BA"/>
    <w:rsid w:val="00A712B0"/>
    <w:rsid w:val="00A71389"/>
    <w:rsid w:val="00A7141B"/>
    <w:rsid w:val="00A7144F"/>
    <w:rsid w:val="00A7146F"/>
    <w:rsid w:val="00A714AD"/>
    <w:rsid w:val="00A71544"/>
    <w:rsid w:val="00A715DA"/>
    <w:rsid w:val="00A7167B"/>
    <w:rsid w:val="00A7170B"/>
    <w:rsid w:val="00A717B9"/>
    <w:rsid w:val="00A7184E"/>
    <w:rsid w:val="00A71913"/>
    <w:rsid w:val="00A71978"/>
    <w:rsid w:val="00A719D1"/>
    <w:rsid w:val="00A71A63"/>
    <w:rsid w:val="00A71B8C"/>
    <w:rsid w:val="00A71C17"/>
    <w:rsid w:val="00A71CCA"/>
    <w:rsid w:val="00A71D17"/>
    <w:rsid w:val="00A71DA5"/>
    <w:rsid w:val="00A71F8D"/>
    <w:rsid w:val="00A72065"/>
    <w:rsid w:val="00A72185"/>
    <w:rsid w:val="00A7220B"/>
    <w:rsid w:val="00A72287"/>
    <w:rsid w:val="00A7230F"/>
    <w:rsid w:val="00A72335"/>
    <w:rsid w:val="00A72446"/>
    <w:rsid w:val="00A7251F"/>
    <w:rsid w:val="00A7256C"/>
    <w:rsid w:val="00A725C6"/>
    <w:rsid w:val="00A72607"/>
    <w:rsid w:val="00A72667"/>
    <w:rsid w:val="00A727D6"/>
    <w:rsid w:val="00A728F0"/>
    <w:rsid w:val="00A728FD"/>
    <w:rsid w:val="00A72955"/>
    <w:rsid w:val="00A72A02"/>
    <w:rsid w:val="00A72A1F"/>
    <w:rsid w:val="00A72A40"/>
    <w:rsid w:val="00A72B6E"/>
    <w:rsid w:val="00A72C07"/>
    <w:rsid w:val="00A72C68"/>
    <w:rsid w:val="00A72D48"/>
    <w:rsid w:val="00A72DD5"/>
    <w:rsid w:val="00A72E20"/>
    <w:rsid w:val="00A72EAE"/>
    <w:rsid w:val="00A72F8A"/>
    <w:rsid w:val="00A72F8D"/>
    <w:rsid w:val="00A73019"/>
    <w:rsid w:val="00A73033"/>
    <w:rsid w:val="00A730B3"/>
    <w:rsid w:val="00A73152"/>
    <w:rsid w:val="00A7315F"/>
    <w:rsid w:val="00A73166"/>
    <w:rsid w:val="00A731B2"/>
    <w:rsid w:val="00A731C2"/>
    <w:rsid w:val="00A731F8"/>
    <w:rsid w:val="00A7323A"/>
    <w:rsid w:val="00A732BD"/>
    <w:rsid w:val="00A732E7"/>
    <w:rsid w:val="00A73369"/>
    <w:rsid w:val="00A73514"/>
    <w:rsid w:val="00A7361C"/>
    <w:rsid w:val="00A73637"/>
    <w:rsid w:val="00A73647"/>
    <w:rsid w:val="00A736BB"/>
    <w:rsid w:val="00A7371B"/>
    <w:rsid w:val="00A73721"/>
    <w:rsid w:val="00A737D7"/>
    <w:rsid w:val="00A73804"/>
    <w:rsid w:val="00A73870"/>
    <w:rsid w:val="00A73883"/>
    <w:rsid w:val="00A73976"/>
    <w:rsid w:val="00A739AA"/>
    <w:rsid w:val="00A739C8"/>
    <w:rsid w:val="00A73C6F"/>
    <w:rsid w:val="00A73E28"/>
    <w:rsid w:val="00A73F0B"/>
    <w:rsid w:val="00A74031"/>
    <w:rsid w:val="00A74060"/>
    <w:rsid w:val="00A741D5"/>
    <w:rsid w:val="00A741E0"/>
    <w:rsid w:val="00A74236"/>
    <w:rsid w:val="00A74259"/>
    <w:rsid w:val="00A74429"/>
    <w:rsid w:val="00A7448B"/>
    <w:rsid w:val="00A7450B"/>
    <w:rsid w:val="00A74515"/>
    <w:rsid w:val="00A745EA"/>
    <w:rsid w:val="00A7468D"/>
    <w:rsid w:val="00A746D0"/>
    <w:rsid w:val="00A74885"/>
    <w:rsid w:val="00A749EB"/>
    <w:rsid w:val="00A74A3F"/>
    <w:rsid w:val="00A74B21"/>
    <w:rsid w:val="00A74B32"/>
    <w:rsid w:val="00A74B3F"/>
    <w:rsid w:val="00A74B65"/>
    <w:rsid w:val="00A74B73"/>
    <w:rsid w:val="00A74B94"/>
    <w:rsid w:val="00A74C1D"/>
    <w:rsid w:val="00A74CE3"/>
    <w:rsid w:val="00A74DBD"/>
    <w:rsid w:val="00A74F13"/>
    <w:rsid w:val="00A75035"/>
    <w:rsid w:val="00A7515B"/>
    <w:rsid w:val="00A75167"/>
    <w:rsid w:val="00A751F4"/>
    <w:rsid w:val="00A75214"/>
    <w:rsid w:val="00A75242"/>
    <w:rsid w:val="00A75329"/>
    <w:rsid w:val="00A753E9"/>
    <w:rsid w:val="00A7545E"/>
    <w:rsid w:val="00A7546E"/>
    <w:rsid w:val="00A754F1"/>
    <w:rsid w:val="00A75548"/>
    <w:rsid w:val="00A7558E"/>
    <w:rsid w:val="00A755BF"/>
    <w:rsid w:val="00A75697"/>
    <w:rsid w:val="00A757A2"/>
    <w:rsid w:val="00A75ADC"/>
    <w:rsid w:val="00A75B08"/>
    <w:rsid w:val="00A75B3D"/>
    <w:rsid w:val="00A75B6F"/>
    <w:rsid w:val="00A75B83"/>
    <w:rsid w:val="00A75C18"/>
    <w:rsid w:val="00A75CB5"/>
    <w:rsid w:val="00A75D2F"/>
    <w:rsid w:val="00A75E2E"/>
    <w:rsid w:val="00A75E44"/>
    <w:rsid w:val="00A75EA1"/>
    <w:rsid w:val="00A75EB9"/>
    <w:rsid w:val="00A75ED1"/>
    <w:rsid w:val="00A75F9A"/>
    <w:rsid w:val="00A75FDD"/>
    <w:rsid w:val="00A760D0"/>
    <w:rsid w:val="00A760D9"/>
    <w:rsid w:val="00A760E3"/>
    <w:rsid w:val="00A76150"/>
    <w:rsid w:val="00A76223"/>
    <w:rsid w:val="00A7623D"/>
    <w:rsid w:val="00A76252"/>
    <w:rsid w:val="00A762BA"/>
    <w:rsid w:val="00A76440"/>
    <w:rsid w:val="00A76570"/>
    <w:rsid w:val="00A765B9"/>
    <w:rsid w:val="00A765F1"/>
    <w:rsid w:val="00A7661F"/>
    <w:rsid w:val="00A76630"/>
    <w:rsid w:val="00A7668F"/>
    <w:rsid w:val="00A766A5"/>
    <w:rsid w:val="00A76741"/>
    <w:rsid w:val="00A76959"/>
    <w:rsid w:val="00A76A0D"/>
    <w:rsid w:val="00A76A4A"/>
    <w:rsid w:val="00A76A56"/>
    <w:rsid w:val="00A76AE0"/>
    <w:rsid w:val="00A76AEA"/>
    <w:rsid w:val="00A76B15"/>
    <w:rsid w:val="00A76B2B"/>
    <w:rsid w:val="00A76B31"/>
    <w:rsid w:val="00A76B88"/>
    <w:rsid w:val="00A76B8B"/>
    <w:rsid w:val="00A76E1E"/>
    <w:rsid w:val="00A76FA2"/>
    <w:rsid w:val="00A77090"/>
    <w:rsid w:val="00A77091"/>
    <w:rsid w:val="00A770EB"/>
    <w:rsid w:val="00A7731B"/>
    <w:rsid w:val="00A773B4"/>
    <w:rsid w:val="00A773EA"/>
    <w:rsid w:val="00A7740D"/>
    <w:rsid w:val="00A7749E"/>
    <w:rsid w:val="00A774AC"/>
    <w:rsid w:val="00A775BF"/>
    <w:rsid w:val="00A775D0"/>
    <w:rsid w:val="00A77637"/>
    <w:rsid w:val="00A776A7"/>
    <w:rsid w:val="00A776C2"/>
    <w:rsid w:val="00A77755"/>
    <w:rsid w:val="00A7777E"/>
    <w:rsid w:val="00A777FF"/>
    <w:rsid w:val="00A77834"/>
    <w:rsid w:val="00A77884"/>
    <w:rsid w:val="00A778F2"/>
    <w:rsid w:val="00A7798B"/>
    <w:rsid w:val="00A77A29"/>
    <w:rsid w:val="00A77A3D"/>
    <w:rsid w:val="00A77CDA"/>
    <w:rsid w:val="00A77D0F"/>
    <w:rsid w:val="00A77D5A"/>
    <w:rsid w:val="00A77DD9"/>
    <w:rsid w:val="00A77E3B"/>
    <w:rsid w:val="00A77E6B"/>
    <w:rsid w:val="00A77EE6"/>
    <w:rsid w:val="00A77F7A"/>
    <w:rsid w:val="00A77FF3"/>
    <w:rsid w:val="00A80070"/>
    <w:rsid w:val="00A8016D"/>
    <w:rsid w:val="00A80203"/>
    <w:rsid w:val="00A802D4"/>
    <w:rsid w:val="00A802DA"/>
    <w:rsid w:val="00A80355"/>
    <w:rsid w:val="00A80379"/>
    <w:rsid w:val="00A803D4"/>
    <w:rsid w:val="00A80426"/>
    <w:rsid w:val="00A80560"/>
    <w:rsid w:val="00A80588"/>
    <w:rsid w:val="00A805F8"/>
    <w:rsid w:val="00A8074F"/>
    <w:rsid w:val="00A8076F"/>
    <w:rsid w:val="00A80977"/>
    <w:rsid w:val="00A80ACF"/>
    <w:rsid w:val="00A80CCC"/>
    <w:rsid w:val="00A80D7B"/>
    <w:rsid w:val="00A80DA0"/>
    <w:rsid w:val="00A80DA1"/>
    <w:rsid w:val="00A80F50"/>
    <w:rsid w:val="00A81047"/>
    <w:rsid w:val="00A81138"/>
    <w:rsid w:val="00A811D6"/>
    <w:rsid w:val="00A8136E"/>
    <w:rsid w:val="00A81909"/>
    <w:rsid w:val="00A8191B"/>
    <w:rsid w:val="00A8197A"/>
    <w:rsid w:val="00A8198C"/>
    <w:rsid w:val="00A81C7E"/>
    <w:rsid w:val="00A81D5C"/>
    <w:rsid w:val="00A81D61"/>
    <w:rsid w:val="00A81E08"/>
    <w:rsid w:val="00A81E47"/>
    <w:rsid w:val="00A81E57"/>
    <w:rsid w:val="00A81EF1"/>
    <w:rsid w:val="00A81FB5"/>
    <w:rsid w:val="00A81FCA"/>
    <w:rsid w:val="00A820F2"/>
    <w:rsid w:val="00A8215E"/>
    <w:rsid w:val="00A8238B"/>
    <w:rsid w:val="00A82521"/>
    <w:rsid w:val="00A825CA"/>
    <w:rsid w:val="00A8265C"/>
    <w:rsid w:val="00A828A0"/>
    <w:rsid w:val="00A8290A"/>
    <w:rsid w:val="00A82A1E"/>
    <w:rsid w:val="00A82A58"/>
    <w:rsid w:val="00A82A9B"/>
    <w:rsid w:val="00A82AFA"/>
    <w:rsid w:val="00A82B66"/>
    <w:rsid w:val="00A82B68"/>
    <w:rsid w:val="00A82C73"/>
    <w:rsid w:val="00A82CCF"/>
    <w:rsid w:val="00A82D21"/>
    <w:rsid w:val="00A82DB3"/>
    <w:rsid w:val="00A82DBA"/>
    <w:rsid w:val="00A82DE8"/>
    <w:rsid w:val="00A82E2D"/>
    <w:rsid w:val="00A82ECD"/>
    <w:rsid w:val="00A82F01"/>
    <w:rsid w:val="00A82F7C"/>
    <w:rsid w:val="00A83080"/>
    <w:rsid w:val="00A830AE"/>
    <w:rsid w:val="00A830DD"/>
    <w:rsid w:val="00A83255"/>
    <w:rsid w:val="00A832D4"/>
    <w:rsid w:val="00A8333F"/>
    <w:rsid w:val="00A83442"/>
    <w:rsid w:val="00A834CC"/>
    <w:rsid w:val="00A8352E"/>
    <w:rsid w:val="00A83566"/>
    <w:rsid w:val="00A83632"/>
    <w:rsid w:val="00A83690"/>
    <w:rsid w:val="00A837AC"/>
    <w:rsid w:val="00A838B7"/>
    <w:rsid w:val="00A838DE"/>
    <w:rsid w:val="00A839B7"/>
    <w:rsid w:val="00A83A00"/>
    <w:rsid w:val="00A83A18"/>
    <w:rsid w:val="00A83B33"/>
    <w:rsid w:val="00A83B45"/>
    <w:rsid w:val="00A83C09"/>
    <w:rsid w:val="00A83EC5"/>
    <w:rsid w:val="00A83FE4"/>
    <w:rsid w:val="00A84027"/>
    <w:rsid w:val="00A84103"/>
    <w:rsid w:val="00A841F6"/>
    <w:rsid w:val="00A841FF"/>
    <w:rsid w:val="00A84212"/>
    <w:rsid w:val="00A8422C"/>
    <w:rsid w:val="00A842B0"/>
    <w:rsid w:val="00A84334"/>
    <w:rsid w:val="00A843C9"/>
    <w:rsid w:val="00A843FC"/>
    <w:rsid w:val="00A84414"/>
    <w:rsid w:val="00A84439"/>
    <w:rsid w:val="00A84454"/>
    <w:rsid w:val="00A84463"/>
    <w:rsid w:val="00A844A7"/>
    <w:rsid w:val="00A84659"/>
    <w:rsid w:val="00A8465A"/>
    <w:rsid w:val="00A847CC"/>
    <w:rsid w:val="00A84804"/>
    <w:rsid w:val="00A84813"/>
    <w:rsid w:val="00A84814"/>
    <w:rsid w:val="00A84875"/>
    <w:rsid w:val="00A8499A"/>
    <w:rsid w:val="00A84A5E"/>
    <w:rsid w:val="00A84B0D"/>
    <w:rsid w:val="00A84B87"/>
    <w:rsid w:val="00A84BBF"/>
    <w:rsid w:val="00A84C22"/>
    <w:rsid w:val="00A84C2F"/>
    <w:rsid w:val="00A84C7E"/>
    <w:rsid w:val="00A84D1C"/>
    <w:rsid w:val="00A84EEC"/>
    <w:rsid w:val="00A84F23"/>
    <w:rsid w:val="00A85143"/>
    <w:rsid w:val="00A8514E"/>
    <w:rsid w:val="00A85290"/>
    <w:rsid w:val="00A85322"/>
    <w:rsid w:val="00A85379"/>
    <w:rsid w:val="00A853CC"/>
    <w:rsid w:val="00A853FE"/>
    <w:rsid w:val="00A8546B"/>
    <w:rsid w:val="00A85486"/>
    <w:rsid w:val="00A855B2"/>
    <w:rsid w:val="00A855F6"/>
    <w:rsid w:val="00A85616"/>
    <w:rsid w:val="00A85708"/>
    <w:rsid w:val="00A85715"/>
    <w:rsid w:val="00A8574F"/>
    <w:rsid w:val="00A85791"/>
    <w:rsid w:val="00A857C4"/>
    <w:rsid w:val="00A857C7"/>
    <w:rsid w:val="00A858C2"/>
    <w:rsid w:val="00A85A1E"/>
    <w:rsid w:val="00A85A41"/>
    <w:rsid w:val="00A85A7E"/>
    <w:rsid w:val="00A85B0F"/>
    <w:rsid w:val="00A85B23"/>
    <w:rsid w:val="00A85B4F"/>
    <w:rsid w:val="00A85D97"/>
    <w:rsid w:val="00A85E2C"/>
    <w:rsid w:val="00A85EA7"/>
    <w:rsid w:val="00A85FAC"/>
    <w:rsid w:val="00A85FFB"/>
    <w:rsid w:val="00A8602F"/>
    <w:rsid w:val="00A860AF"/>
    <w:rsid w:val="00A860CF"/>
    <w:rsid w:val="00A8611C"/>
    <w:rsid w:val="00A861CF"/>
    <w:rsid w:val="00A861FB"/>
    <w:rsid w:val="00A861FE"/>
    <w:rsid w:val="00A863E1"/>
    <w:rsid w:val="00A86446"/>
    <w:rsid w:val="00A8646C"/>
    <w:rsid w:val="00A864B8"/>
    <w:rsid w:val="00A86524"/>
    <w:rsid w:val="00A865B2"/>
    <w:rsid w:val="00A865CB"/>
    <w:rsid w:val="00A868E3"/>
    <w:rsid w:val="00A8694A"/>
    <w:rsid w:val="00A86993"/>
    <w:rsid w:val="00A86A2E"/>
    <w:rsid w:val="00A86A92"/>
    <w:rsid w:val="00A86AC8"/>
    <w:rsid w:val="00A86B2E"/>
    <w:rsid w:val="00A86B39"/>
    <w:rsid w:val="00A86D02"/>
    <w:rsid w:val="00A86EA5"/>
    <w:rsid w:val="00A86EAC"/>
    <w:rsid w:val="00A86EE9"/>
    <w:rsid w:val="00A86EF3"/>
    <w:rsid w:val="00A86F74"/>
    <w:rsid w:val="00A86FB8"/>
    <w:rsid w:val="00A86FEB"/>
    <w:rsid w:val="00A87225"/>
    <w:rsid w:val="00A872D0"/>
    <w:rsid w:val="00A87334"/>
    <w:rsid w:val="00A87460"/>
    <w:rsid w:val="00A8748C"/>
    <w:rsid w:val="00A874DB"/>
    <w:rsid w:val="00A87554"/>
    <w:rsid w:val="00A87584"/>
    <w:rsid w:val="00A875BB"/>
    <w:rsid w:val="00A87684"/>
    <w:rsid w:val="00A87780"/>
    <w:rsid w:val="00A87781"/>
    <w:rsid w:val="00A8782F"/>
    <w:rsid w:val="00A8786E"/>
    <w:rsid w:val="00A8792A"/>
    <w:rsid w:val="00A87A4E"/>
    <w:rsid w:val="00A87BAF"/>
    <w:rsid w:val="00A87D89"/>
    <w:rsid w:val="00A87DF1"/>
    <w:rsid w:val="00A87E8A"/>
    <w:rsid w:val="00A900DE"/>
    <w:rsid w:val="00A901C3"/>
    <w:rsid w:val="00A90209"/>
    <w:rsid w:val="00A90246"/>
    <w:rsid w:val="00A902A4"/>
    <w:rsid w:val="00A902E4"/>
    <w:rsid w:val="00A903E2"/>
    <w:rsid w:val="00A90586"/>
    <w:rsid w:val="00A905F1"/>
    <w:rsid w:val="00A9061C"/>
    <w:rsid w:val="00A90714"/>
    <w:rsid w:val="00A907CD"/>
    <w:rsid w:val="00A90804"/>
    <w:rsid w:val="00A9090B"/>
    <w:rsid w:val="00A90A3B"/>
    <w:rsid w:val="00A90A8C"/>
    <w:rsid w:val="00A90B0A"/>
    <w:rsid w:val="00A90B14"/>
    <w:rsid w:val="00A90B6E"/>
    <w:rsid w:val="00A90BF7"/>
    <w:rsid w:val="00A90BFC"/>
    <w:rsid w:val="00A90C04"/>
    <w:rsid w:val="00A90C13"/>
    <w:rsid w:val="00A90D85"/>
    <w:rsid w:val="00A90DBD"/>
    <w:rsid w:val="00A90DF8"/>
    <w:rsid w:val="00A90E53"/>
    <w:rsid w:val="00A90EB4"/>
    <w:rsid w:val="00A90EEC"/>
    <w:rsid w:val="00A90F22"/>
    <w:rsid w:val="00A90F84"/>
    <w:rsid w:val="00A91058"/>
    <w:rsid w:val="00A91156"/>
    <w:rsid w:val="00A911EF"/>
    <w:rsid w:val="00A911FC"/>
    <w:rsid w:val="00A913CC"/>
    <w:rsid w:val="00A91410"/>
    <w:rsid w:val="00A91421"/>
    <w:rsid w:val="00A9142C"/>
    <w:rsid w:val="00A91456"/>
    <w:rsid w:val="00A9147D"/>
    <w:rsid w:val="00A914A3"/>
    <w:rsid w:val="00A914AD"/>
    <w:rsid w:val="00A915BF"/>
    <w:rsid w:val="00A91632"/>
    <w:rsid w:val="00A9164F"/>
    <w:rsid w:val="00A916E3"/>
    <w:rsid w:val="00A9176F"/>
    <w:rsid w:val="00A91770"/>
    <w:rsid w:val="00A917C3"/>
    <w:rsid w:val="00A918AC"/>
    <w:rsid w:val="00A91A0E"/>
    <w:rsid w:val="00A91AE6"/>
    <w:rsid w:val="00A91AF5"/>
    <w:rsid w:val="00A91B2A"/>
    <w:rsid w:val="00A91BEE"/>
    <w:rsid w:val="00A91C14"/>
    <w:rsid w:val="00A91CFC"/>
    <w:rsid w:val="00A91F6D"/>
    <w:rsid w:val="00A91F94"/>
    <w:rsid w:val="00A91FD6"/>
    <w:rsid w:val="00A9200C"/>
    <w:rsid w:val="00A9201A"/>
    <w:rsid w:val="00A92036"/>
    <w:rsid w:val="00A9208A"/>
    <w:rsid w:val="00A921F5"/>
    <w:rsid w:val="00A9226D"/>
    <w:rsid w:val="00A92270"/>
    <w:rsid w:val="00A9232F"/>
    <w:rsid w:val="00A92385"/>
    <w:rsid w:val="00A923DC"/>
    <w:rsid w:val="00A924F6"/>
    <w:rsid w:val="00A925EA"/>
    <w:rsid w:val="00A92821"/>
    <w:rsid w:val="00A92834"/>
    <w:rsid w:val="00A928C9"/>
    <w:rsid w:val="00A92960"/>
    <w:rsid w:val="00A92971"/>
    <w:rsid w:val="00A929DC"/>
    <w:rsid w:val="00A92B0E"/>
    <w:rsid w:val="00A92B4A"/>
    <w:rsid w:val="00A92B9A"/>
    <w:rsid w:val="00A92BB4"/>
    <w:rsid w:val="00A92F05"/>
    <w:rsid w:val="00A92F28"/>
    <w:rsid w:val="00A92F9E"/>
    <w:rsid w:val="00A92FC0"/>
    <w:rsid w:val="00A93021"/>
    <w:rsid w:val="00A930CE"/>
    <w:rsid w:val="00A930D1"/>
    <w:rsid w:val="00A930EC"/>
    <w:rsid w:val="00A931DC"/>
    <w:rsid w:val="00A931EF"/>
    <w:rsid w:val="00A931FD"/>
    <w:rsid w:val="00A93204"/>
    <w:rsid w:val="00A93284"/>
    <w:rsid w:val="00A932EA"/>
    <w:rsid w:val="00A93305"/>
    <w:rsid w:val="00A93388"/>
    <w:rsid w:val="00A93416"/>
    <w:rsid w:val="00A934C5"/>
    <w:rsid w:val="00A934F2"/>
    <w:rsid w:val="00A935B8"/>
    <w:rsid w:val="00A93629"/>
    <w:rsid w:val="00A93723"/>
    <w:rsid w:val="00A93759"/>
    <w:rsid w:val="00A93778"/>
    <w:rsid w:val="00A93779"/>
    <w:rsid w:val="00A9382E"/>
    <w:rsid w:val="00A939C1"/>
    <w:rsid w:val="00A939FD"/>
    <w:rsid w:val="00A93AD8"/>
    <w:rsid w:val="00A93B12"/>
    <w:rsid w:val="00A93B60"/>
    <w:rsid w:val="00A93CE8"/>
    <w:rsid w:val="00A93D10"/>
    <w:rsid w:val="00A93D92"/>
    <w:rsid w:val="00A93E1A"/>
    <w:rsid w:val="00A93F1C"/>
    <w:rsid w:val="00A93FEF"/>
    <w:rsid w:val="00A94044"/>
    <w:rsid w:val="00A940B3"/>
    <w:rsid w:val="00A941F1"/>
    <w:rsid w:val="00A941F5"/>
    <w:rsid w:val="00A942A2"/>
    <w:rsid w:val="00A942CD"/>
    <w:rsid w:val="00A9434E"/>
    <w:rsid w:val="00A943AF"/>
    <w:rsid w:val="00A943FC"/>
    <w:rsid w:val="00A9442E"/>
    <w:rsid w:val="00A9442F"/>
    <w:rsid w:val="00A944A1"/>
    <w:rsid w:val="00A944F8"/>
    <w:rsid w:val="00A945D4"/>
    <w:rsid w:val="00A9463C"/>
    <w:rsid w:val="00A94641"/>
    <w:rsid w:val="00A946F6"/>
    <w:rsid w:val="00A94739"/>
    <w:rsid w:val="00A947E1"/>
    <w:rsid w:val="00A947F4"/>
    <w:rsid w:val="00A94898"/>
    <w:rsid w:val="00A948D8"/>
    <w:rsid w:val="00A948EF"/>
    <w:rsid w:val="00A9493F"/>
    <w:rsid w:val="00A94968"/>
    <w:rsid w:val="00A94987"/>
    <w:rsid w:val="00A94A60"/>
    <w:rsid w:val="00A94B76"/>
    <w:rsid w:val="00A94C3E"/>
    <w:rsid w:val="00A94D77"/>
    <w:rsid w:val="00A94DD8"/>
    <w:rsid w:val="00A94F45"/>
    <w:rsid w:val="00A95063"/>
    <w:rsid w:val="00A95091"/>
    <w:rsid w:val="00A9509C"/>
    <w:rsid w:val="00A9514A"/>
    <w:rsid w:val="00A9519A"/>
    <w:rsid w:val="00A951E7"/>
    <w:rsid w:val="00A9530B"/>
    <w:rsid w:val="00A9540A"/>
    <w:rsid w:val="00A95468"/>
    <w:rsid w:val="00A9546F"/>
    <w:rsid w:val="00A954DC"/>
    <w:rsid w:val="00A9557F"/>
    <w:rsid w:val="00A955BC"/>
    <w:rsid w:val="00A9560E"/>
    <w:rsid w:val="00A9563E"/>
    <w:rsid w:val="00A956B3"/>
    <w:rsid w:val="00A9571B"/>
    <w:rsid w:val="00A95752"/>
    <w:rsid w:val="00A957E4"/>
    <w:rsid w:val="00A9584C"/>
    <w:rsid w:val="00A958CF"/>
    <w:rsid w:val="00A959D5"/>
    <w:rsid w:val="00A95A27"/>
    <w:rsid w:val="00A95A68"/>
    <w:rsid w:val="00A95A8D"/>
    <w:rsid w:val="00A95B0E"/>
    <w:rsid w:val="00A95C77"/>
    <w:rsid w:val="00A95C83"/>
    <w:rsid w:val="00A95CD0"/>
    <w:rsid w:val="00A95CF5"/>
    <w:rsid w:val="00A95D52"/>
    <w:rsid w:val="00A95DCE"/>
    <w:rsid w:val="00A95DE8"/>
    <w:rsid w:val="00A95E28"/>
    <w:rsid w:val="00A95E34"/>
    <w:rsid w:val="00A95E9B"/>
    <w:rsid w:val="00A95ED4"/>
    <w:rsid w:val="00A96004"/>
    <w:rsid w:val="00A961B1"/>
    <w:rsid w:val="00A961BF"/>
    <w:rsid w:val="00A961E5"/>
    <w:rsid w:val="00A96204"/>
    <w:rsid w:val="00A9625C"/>
    <w:rsid w:val="00A96267"/>
    <w:rsid w:val="00A962BE"/>
    <w:rsid w:val="00A962E0"/>
    <w:rsid w:val="00A962EF"/>
    <w:rsid w:val="00A9633C"/>
    <w:rsid w:val="00A96525"/>
    <w:rsid w:val="00A96543"/>
    <w:rsid w:val="00A96564"/>
    <w:rsid w:val="00A96632"/>
    <w:rsid w:val="00A966AC"/>
    <w:rsid w:val="00A966AF"/>
    <w:rsid w:val="00A9673C"/>
    <w:rsid w:val="00A9681A"/>
    <w:rsid w:val="00A9699F"/>
    <w:rsid w:val="00A96A2D"/>
    <w:rsid w:val="00A96B20"/>
    <w:rsid w:val="00A96BD1"/>
    <w:rsid w:val="00A96CAB"/>
    <w:rsid w:val="00A96D1B"/>
    <w:rsid w:val="00A96D4C"/>
    <w:rsid w:val="00A96D55"/>
    <w:rsid w:val="00A96DC1"/>
    <w:rsid w:val="00A96DD3"/>
    <w:rsid w:val="00A96F35"/>
    <w:rsid w:val="00A96F3F"/>
    <w:rsid w:val="00A96FA8"/>
    <w:rsid w:val="00A96FB6"/>
    <w:rsid w:val="00A96FFF"/>
    <w:rsid w:val="00A97063"/>
    <w:rsid w:val="00A9719E"/>
    <w:rsid w:val="00A9722F"/>
    <w:rsid w:val="00A972AF"/>
    <w:rsid w:val="00A972F4"/>
    <w:rsid w:val="00A97391"/>
    <w:rsid w:val="00A973AB"/>
    <w:rsid w:val="00A973F3"/>
    <w:rsid w:val="00A97402"/>
    <w:rsid w:val="00A97491"/>
    <w:rsid w:val="00A974D8"/>
    <w:rsid w:val="00A97532"/>
    <w:rsid w:val="00A97544"/>
    <w:rsid w:val="00A97561"/>
    <w:rsid w:val="00A975F1"/>
    <w:rsid w:val="00A976BC"/>
    <w:rsid w:val="00A976C2"/>
    <w:rsid w:val="00A976F0"/>
    <w:rsid w:val="00A97701"/>
    <w:rsid w:val="00A977E4"/>
    <w:rsid w:val="00A977F6"/>
    <w:rsid w:val="00A9786F"/>
    <w:rsid w:val="00A978F5"/>
    <w:rsid w:val="00A979E9"/>
    <w:rsid w:val="00A97B6D"/>
    <w:rsid w:val="00A97B95"/>
    <w:rsid w:val="00A97CA2"/>
    <w:rsid w:val="00A97D20"/>
    <w:rsid w:val="00A97D29"/>
    <w:rsid w:val="00A97D8D"/>
    <w:rsid w:val="00A97E24"/>
    <w:rsid w:val="00A97E8A"/>
    <w:rsid w:val="00A97EC2"/>
    <w:rsid w:val="00A97F94"/>
    <w:rsid w:val="00AA00D9"/>
    <w:rsid w:val="00AA01E2"/>
    <w:rsid w:val="00AA01EB"/>
    <w:rsid w:val="00AA0289"/>
    <w:rsid w:val="00AA0298"/>
    <w:rsid w:val="00AA02A3"/>
    <w:rsid w:val="00AA02AB"/>
    <w:rsid w:val="00AA046D"/>
    <w:rsid w:val="00AA0474"/>
    <w:rsid w:val="00AA04FE"/>
    <w:rsid w:val="00AA0510"/>
    <w:rsid w:val="00AA05D0"/>
    <w:rsid w:val="00AA06E8"/>
    <w:rsid w:val="00AA0713"/>
    <w:rsid w:val="00AA07FA"/>
    <w:rsid w:val="00AA08C3"/>
    <w:rsid w:val="00AA0A2A"/>
    <w:rsid w:val="00AA0A35"/>
    <w:rsid w:val="00AA0A46"/>
    <w:rsid w:val="00AA0B31"/>
    <w:rsid w:val="00AA0C1A"/>
    <w:rsid w:val="00AA0C38"/>
    <w:rsid w:val="00AA0D10"/>
    <w:rsid w:val="00AA0E0B"/>
    <w:rsid w:val="00AA0F07"/>
    <w:rsid w:val="00AA0F0A"/>
    <w:rsid w:val="00AA0F20"/>
    <w:rsid w:val="00AA0FEA"/>
    <w:rsid w:val="00AA102E"/>
    <w:rsid w:val="00AA1053"/>
    <w:rsid w:val="00AA105F"/>
    <w:rsid w:val="00AA10A4"/>
    <w:rsid w:val="00AA10F2"/>
    <w:rsid w:val="00AA116B"/>
    <w:rsid w:val="00AA123C"/>
    <w:rsid w:val="00AA123D"/>
    <w:rsid w:val="00AA126E"/>
    <w:rsid w:val="00AA131E"/>
    <w:rsid w:val="00AA13B2"/>
    <w:rsid w:val="00AA1413"/>
    <w:rsid w:val="00AA1469"/>
    <w:rsid w:val="00AA1482"/>
    <w:rsid w:val="00AA1486"/>
    <w:rsid w:val="00AA16BB"/>
    <w:rsid w:val="00AA16F5"/>
    <w:rsid w:val="00AA17F7"/>
    <w:rsid w:val="00AA17F8"/>
    <w:rsid w:val="00AA1938"/>
    <w:rsid w:val="00AA195D"/>
    <w:rsid w:val="00AA1A0E"/>
    <w:rsid w:val="00AA1AD8"/>
    <w:rsid w:val="00AA1AE8"/>
    <w:rsid w:val="00AA1B1A"/>
    <w:rsid w:val="00AA1B8E"/>
    <w:rsid w:val="00AA1C06"/>
    <w:rsid w:val="00AA1C77"/>
    <w:rsid w:val="00AA1C78"/>
    <w:rsid w:val="00AA1D15"/>
    <w:rsid w:val="00AA1EF4"/>
    <w:rsid w:val="00AA1F60"/>
    <w:rsid w:val="00AA1FAA"/>
    <w:rsid w:val="00AA201D"/>
    <w:rsid w:val="00AA2065"/>
    <w:rsid w:val="00AA20E8"/>
    <w:rsid w:val="00AA2146"/>
    <w:rsid w:val="00AA2163"/>
    <w:rsid w:val="00AA220D"/>
    <w:rsid w:val="00AA2223"/>
    <w:rsid w:val="00AA238C"/>
    <w:rsid w:val="00AA2459"/>
    <w:rsid w:val="00AA2493"/>
    <w:rsid w:val="00AA24AB"/>
    <w:rsid w:val="00AA24D6"/>
    <w:rsid w:val="00AA251A"/>
    <w:rsid w:val="00AA26A9"/>
    <w:rsid w:val="00AA27AF"/>
    <w:rsid w:val="00AA280D"/>
    <w:rsid w:val="00AA2822"/>
    <w:rsid w:val="00AA2828"/>
    <w:rsid w:val="00AA28D7"/>
    <w:rsid w:val="00AA2A90"/>
    <w:rsid w:val="00AA2AEE"/>
    <w:rsid w:val="00AA2B1B"/>
    <w:rsid w:val="00AA2B2E"/>
    <w:rsid w:val="00AA2B6C"/>
    <w:rsid w:val="00AA2B8A"/>
    <w:rsid w:val="00AA2C77"/>
    <w:rsid w:val="00AA2C89"/>
    <w:rsid w:val="00AA2D00"/>
    <w:rsid w:val="00AA2D22"/>
    <w:rsid w:val="00AA2D5F"/>
    <w:rsid w:val="00AA2FA6"/>
    <w:rsid w:val="00AA2FB3"/>
    <w:rsid w:val="00AA30AA"/>
    <w:rsid w:val="00AA30BA"/>
    <w:rsid w:val="00AA30C1"/>
    <w:rsid w:val="00AA3105"/>
    <w:rsid w:val="00AA317C"/>
    <w:rsid w:val="00AA31DB"/>
    <w:rsid w:val="00AA322C"/>
    <w:rsid w:val="00AA32E9"/>
    <w:rsid w:val="00AA330C"/>
    <w:rsid w:val="00AA337B"/>
    <w:rsid w:val="00AA33AE"/>
    <w:rsid w:val="00AA33B6"/>
    <w:rsid w:val="00AA3492"/>
    <w:rsid w:val="00AA34B5"/>
    <w:rsid w:val="00AA34C8"/>
    <w:rsid w:val="00AA3568"/>
    <w:rsid w:val="00AA35F7"/>
    <w:rsid w:val="00AA366C"/>
    <w:rsid w:val="00AA378A"/>
    <w:rsid w:val="00AA37B8"/>
    <w:rsid w:val="00AA37DA"/>
    <w:rsid w:val="00AA38FC"/>
    <w:rsid w:val="00AA391A"/>
    <w:rsid w:val="00AA3951"/>
    <w:rsid w:val="00AA39A1"/>
    <w:rsid w:val="00AA39F0"/>
    <w:rsid w:val="00AA3A0D"/>
    <w:rsid w:val="00AA3B00"/>
    <w:rsid w:val="00AA3B77"/>
    <w:rsid w:val="00AA3C26"/>
    <w:rsid w:val="00AA3C92"/>
    <w:rsid w:val="00AA3DE2"/>
    <w:rsid w:val="00AA3EAE"/>
    <w:rsid w:val="00AA3ED4"/>
    <w:rsid w:val="00AA3FD3"/>
    <w:rsid w:val="00AA4011"/>
    <w:rsid w:val="00AA425C"/>
    <w:rsid w:val="00AA43E0"/>
    <w:rsid w:val="00AA4410"/>
    <w:rsid w:val="00AA4525"/>
    <w:rsid w:val="00AA453E"/>
    <w:rsid w:val="00AA454B"/>
    <w:rsid w:val="00AA46C0"/>
    <w:rsid w:val="00AA4745"/>
    <w:rsid w:val="00AA4769"/>
    <w:rsid w:val="00AA477D"/>
    <w:rsid w:val="00AA4820"/>
    <w:rsid w:val="00AA4A28"/>
    <w:rsid w:val="00AA4AA1"/>
    <w:rsid w:val="00AA4B1A"/>
    <w:rsid w:val="00AA4B2E"/>
    <w:rsid w:val="00AA4C2E"/>
    <w:rsid w:val="00AA4C9C"/>
    <w:rsid w:val="00AA4CC5"/>
    <w:rsid w:val="00AA4D03"/>
    <w:rsid w:val="00AA4D68"/>
    <w:rsid w:val="00AA4DBD"/>
    <w:rsid w:val="00AA4E3A"/>
    <w:rsid w:val="00AA4EDC"/>
    <w:rsid w:val="00AA4FA1"/>
    <w:rsid w:val="00AA4FBA"/>
    <w:rsid w:val="00AA5086"/>
    <w:rsid w:val="00AA50CF"/>
    <w:rsid w:val="00AA5194"/>
    <w:rsid w:val="00AA51DE"/>
    <w:rsid w:val="00AA5215"/>
    <w:rsid w:val="00AA523D"/>
    <w:rsid w:val="00AA53A9"/>
    <w:rsid w:val="00AA53C6"/>
    <w:rsid w:val="00AA53D3"/>
    <w:rsid w:val="00AA53E5"/>
    <w:rsid w:val="00AA53FA"/>
    <w:rsid w:val="00AA5410"/>
    <w:rsid w:val="00AA541E"/>
    <w:rsid w:val="00AA5429"/>
    <w:rsid w:val="00AA54B2"/>
    <w:rsid w:val="00AA5521"/>
    <w:rsid w:val="00AA55A6"/>
    <w:rsid w:val="00AA55DF"/>
    <w:rsid w:val="00AA5642"/>
    <w:rsid w:val="00AA568C"/>
    <w:rsid w:val="00AA5696"/>
    <w:rsid w:val="00AA576C"/>
    <w:rsid w:val="00AA57C5"/>
    <w:rsid w:val="00AA57DA"/>
    <w:rsid w:val="00AA5811"/>
    <w:rsid w:val="00AA5817"/>
    <w:rsid w:val="00AA5819"/>
    <w:rsid w:val="00AA586B"/>
    <w:rsid w:val="00AA58C4"/>
    <w:rsid w:val="00AA59C2"/>
    <w:rsid w:val="00AA5A01"/>
    <w:rsid w:val="00AA5A15"/>
    <w:rsid w:val="00AA5A7C"/>
    <w:rsid w:val="00AA5B1A"/>
    <w:rsid w:val="00AA5B37"/>
    <w:rsid w:val="00AA5B4E"/>
    <w:rsid w:val="00AA5B6F"/>
    <w:rsid w:val="00AA5C7E"/>
    <w:rsid w:val="00AA5D1A"/>
    <w:rsid w:val="00AA5E04"/>
    <w:rsid w:val="00AA5EBA"/>
    <w:rsid w:val="00AA6127"/>
    <w:rsid w:val="00AA61D7"/>
    <w:rsid w:val="00AA621F"/>
    <w:rsid w:val="00AA629B"/>
    <w:rsid w:val="00AA63AA"/>
    <w:rsid w:val="00AA6416"/>
    <w:rsid w:val="00AA64B9"/>
    <w:rsid w:val="00AA650A"/>
    <w:rsid w:val="00AA6573"/>
    <w:rsid w:val="00AA6597"/>
    <w:rsid w:val="00AA65AD"/>
    <w:rsid w:val="00AA65FF"/>
    <w:rsid w:val="00AA6775"/>
    <w:rsid w:val="00AA6868"/>
    <w:rsid w:val="00AA68CA"/>
    <w:rsid w:val="00AA69BF"/>
    <w:rsid w:val="00AA6A6A"/>
    <w:rsid w:val="00AA6A97"/>
    <w:rsid w:val="00AA6BCC"/>
    <w:rsid w:val="00AA6C4B"/>
    <w:rsid w:val="00AA6D0A"/>
    <w:rsid w:val="00AA6D3D"/>
    <w:rsid w:val="00AA6D52"/>
    <w:rsid w:val="00AA6D75"/>
    <w:rsid w:val="00AA6E2E"/>
    <w:rsid w:val="00AA7144"/>
    <w:rsid w:val="00AA7188"/>
    <w:rsid w:val="00AA7196"/>
    <w:rsid w:val="00AA71F5"/>
    <w:rsid w:val="00AA72D6"/>
    <w:rsid w:val="00AA72EC"/>
    <w:rsid w:val="00AA739B"/>
    <w:rsid w:val="00AA73B5"/>
    <w:rsid w:val="00AA745F"/>
    <w:rsid w:val="00AA74B7"/>
    <w:rsid w:val="00AA752E"/>
    <w:rsid w:val="00AA7647"/>
    <w:rsid w:val="00AA7689"/>
    <w:rsid w:val="00AA76D2"/>
    <w:rsid w:val="00AA7713"/>
    <w:rsid w:val="00AA7851"/>
    <w:rsid w:val="00AA78D6"/>
    <w:rsid w:val="00AA795F"/>
    <w:rsid w:val="00AA7967"/>
    <w:rsid w:val="00AA7A07"/>
    <w:rsid w:val="00AA7A1C"/>
    <w:rsid w:val="00AA7A96"/>
    <w:rsid w:val="00AA7AF9"/>
    <w:rsid w:val="00AA7B0F"/>
    <w:rsid w:val="00AA7B6D"/>
    <w:rsid w:val="00AA7CD0"/>
    <w:rsid w:val="00AA7DC6"/>
    <w:rsid w:val="00AA7DC7"/>
    <w:rsid w:val="00AA7E4D"/>
    <w:rsid w:val="00AA7EB0"/>
    <w:rsid w:val="00AA7EFA"/>
    <w:rsid w:val="00AA7F04"/>
    <w:rsid w:val="00AA7F61"/>
    <w:rsid w:val="00AB0041"/>
    <w:rsid w:val="00AB0088"/>
    <w:rsid w:val="00AB0148"/>
    <w:rsid w:val="00AB0160"/>
    <w:rsid w:val="00AB0179"/>
    <w:rsid w:val="00AB0189"/>
    <w:rsid w:val="00AB01A8"/>
    <w:rsid w:val="00AB03AC"/>
    <w:rsid w:val="00AB041C"/>
    <w:rsid w:val="00AB0490"/>
    <w:rsid w:val="00AB04AF"/>
    <w:rsid w:val="00AB0588"/>
    <w:rsid w:val="00AB05A4"/>
    <w:rsid w:val="00AB05AD"/>
    <w:rsid w:val="00AB06AE"/>
    <w:rsid w:val="00AB08FA"/>
    <w:rsid w:val="00AB0977"/>
    <w:rsid w:val="00AB097D"/>
    <w:rsid w:val="00AB09C5"/>
    <w:rsid w:val="00AB0AD9"/>
    <w:rsid w:val="00AB0B4B"/>
    <w:rsid w:val="00AB0BE9"/>
    <w:rsid w:val="00AB0BFA"/>
    <w:rsid w:val="00AB0C6E"/>
    <w:rsid w:val="00AB0CA6"/>
    <w:rsid w:val="00AB0D1D"/>
    <w:rsid w:val="00AB0D41"/>
    <w:rsid w:val="00AB0DC8"/>
    <w:rsid w:val="00AB0E5F"/>
    <w:rsid w:val="00AB0E62"/>
    <w:rsid w:val="00AB0F3B"/>
    <w:rsid w:val="00AB1079"/>
    <w:rsid w:val="00AB1114"/>
    <w:rsid w:val="00AB11BE"/>
    <w:rsid w:val="00AB1249"/>
    <w:rsid w:val="00AB12B1"/>
    <w:rsid w:val="00AB133D"/>
    <w:rsid w:val="00AB1361"/>
    <w:rsid w:val="00AB13A8"/>
    <w:rsid w:val="00AB13ED"/>
    <w:rsid w:val="00AB141D"/>
    <w:rsid w:val="00AB143E"/>
    <w:rsid w:val="00AB1481"/>
    <w:rsid w:val="00AB14F6"/>
    <w:rsid w:val="00AB153D"/>
    <w:rsid w:val="00AB15A1"/>
    <w:rsid w:val="00AB166E"/>
    <w:rsid w:val="00AB167A"/>
    <w:rsid w:val="00AB1703"/>
    <w:rsid w:val="00AB178A"/>
    <w:rsid w:val="00AB181D"/>
    <w:rsid w:val="00AB18EA"/>
    <w:rsid w:val="00AB1BCD"/>
    <w:rsid w:val="00AB1C28"/>
    <w:rsid w:val="00AB1C67"/>
    <w:rsid w:val="00AB1D10"/>
    <w:rsid w:val="00AB1DEC"/>
    <w:rsid w:val="00AB1E80"/>
    <w:rsid w:val="00AB1E8A"/>
    <w:rsid w:val="00AB1F61"/>
    <w:rsid w:val="00AB21D6"/>
    <w:rsid w:val="00AB220E"/>
    <w:rsid w:val="00AB22C8"/>
    <w:rsid w:val="00AB22CB"/>
    <w:rsid w:val="00AB232D"/>
    <w:rsid w:val="00AB235C"/>
    <w:rsid w:val="00AB2437"/>
    <w:rsid w:val="00AB2466"/>
    <w:rsid w:val="00AB2499"/>
    <w:rsid w:val="00AB24BE"/>
    <w:rsid w:val="00AB252F"/>
    <w:rsid w:val="00AB25E0"/>
    <w:rsid w:val="00AB2624"/>
    <w:rsid w:val="00AB2784"/>
    <w:rsid w:val="00AB279A"/>
    <w:rsid w:val="00AB2832"/>
    <w:rsid w:val="00AB28FA"/>
    <w:rsid w:val="00AB2927"/>
    <w:rsid w:val="00AB296D"/>
    <w:rsid w:val="00AB2A13"/>
    <w:rsid w:val="00AB2B68"/>
    <w:rsid w:val="00AB2BF5"/>
    <w:rsid w:val="00AB2C9C"/>
    <w:rsid w:val="00AB2EBB"/>
    <w:rsid w:val="00AB2F0B"/>
    <w:rsid w:val="00AB30AB"/>
    <w:rsid w:val="00AB311F"/>
    <w:rsid w:val="00AB3289"/>
    <w:rsid w:val="00AB3299"/>
    <w:rsid w:val="00AB33AF"/>
    <w:rsid w:val="00AB3419"/>
    <w:rsid w:val="00AB34EE"/>
    <w:rsid w:val="00AB35D8"/>
    <w:rsid w:val="00AB3633"/>
    <w:rsid w:val="00AB36E0"/>
    <w:rsid w:val="00AB3704"/>
    <w:rsid w:val="00AB3739"/>
    <w:rsid w:val="00AB373A"/>
    <w:rsid w:val="00AB37B7"/>
    <w:rsid w:val="00AB3818"/>
    <w:rsid w:val="00AB38D3"/>
    <w:rsid w:val="00AB38E5"/>
    <w:rsid w:val="00AB3976"/>
    <w:rsid w:val="00AB3B2A"/>
    <w:rsid w:val="00AB3B8A"/>
    <w:rsid w:val="00AB3BD1"/>
    <w:rsid w:val="00AB3BEC"/>
    <w:rsid w:val="00AB3BF0"/>
    <w:rsid w:val="00AB3C75"/>
    <w:rsid w:val="00AB3C87"/>
    <w:rsid w:val="00AB3C93"/>
    <w:rsid w:val="00AB3CC1"/>
    <w:rsid w:val="00AB3CF5"/>
    <w:rsid w:val="00AB3D3B"/>
    <w:rsid w:val="00AB3FCC"/>
    <w:rsid w:val="00AB3FF6"/>
    <w:rsid w:val="00AB40F4"/>
    <w:rsid w:val="00AB4147"/>
    <w:rsid w:val="00AB41DF"/>
    <w:rsid w:val="00AB4266"/>
    <w:rsid w:val="00AB4290"/>
    <w:rsid w:val="00AB44FC"/>
    <w:rsid w:val="00AB45C1"/>
    <w:rsid w:val="00AB477B"/>
    <w:rsid w:val="00AB47BE"/>
    <w:rsid w:val="00AB4875"/>
    <w:rsid w:val="00AB487C"/>
    <w:rsid w:val="00AB48D9"/>
    <w:rsid w:val="00AB49C1"/>
    <w:rsid w:val="00AB49CB"/>
    <w:rsid w:val="00AB49D5"/>
    <w:rsid w:val="00AB4A45"/>
    <w:rsid w:val="00AB4B4A"/>
    <w:rsid w:val="00AB4C0F"/>
    <w:rsid w:val="00AB4C62"/>
    <w:rsid w:val="00AB4CB3"/>
    <w:rsid w:val="00AB4D5A"/>
    <w:rsid w:val="00AB4D89"/>
    <w:rsid w:val="00AB4EF8"/>
    <w:rsid w:val="00AB4F01"/>
    <w:rsid w:val="00AB50B3"/>
    <w:rsid w:val="00AB50CA"/>
    <w:rsid w:val="00AB511B"/>
    <w:rsid w:val="00AB51E5"/>
    <w:rsid w:val="00AB5233"/>
    <w:rsid w:val="00AB52A9"/>
    <w:rsid w:val="00AB52BA"/>
    <w:rsid w:val="00AB5312"/>
    <w:rsid w:val="00AB535A"/>
    <w:rsid w:val="00AB5376"/>
    <w:rsid w:val="00AB53B9"/>
    <w:rsid w:val="00AB5425"/>
    <w:rsid w:val="00AB546E"/>
    <w:rsid w:val="00AB5493"/>
    <w:rsid w:val="00AB54B6"/>
    <w:rsid w:val="00AB5698"/>
    <w:rsid w:val="00AB56BB"/>
    <w:rsid w:val="00AB57E3"/>
    <w:rsid w:val="00AB57F6"/>
    <w:rsid w:val="00AB580D"/>
    <w:rsid w:val="00AB58EB"/>
    <w:rsid w:val="00AB58FE"/>
    <w:rsid w:val="00AB5A5D"/>
    <w:rsid w:val="00AB5B78"/>
    <w:rsid w:val="00AB5BA7"/>
    <w:rsid w:val="00AB5C4E"/>
    <w:rsid w:val="00AB5C5E"/>
    <w:rsid w:val="00AB5E1B"/>
    <w:rsid w:val="00AB5E3D"/>
    <w:rsid w:val="00AB5E83"/>
    <w:rsid w:val="00AB5F5E"/>
    <w:rsid w:val="00AB606D"/>
    <w:rsid w:val="00AB60D6"/>
    <w:rsid w:val="00AB6184"/>
    <w:rsid w:val="00AB61B8"/>
    <w:rsid w:val="00AB61D3"/>
    <w:rsid w:val="00AB620D"/>
    <w:rsid w:val="00AB6244"/>
    <w:rsid w:val="00AB643E"/>
    <w:rsid w:val="00AB65D7"/>
    <w:rsid w:val="00AB6776"/>
    <w:rsid w:val="00AB694F"/>
    <w:rsid w:val="00AB6A3E"/>
    <w:rsid w:val="00AB6B3C"/>
    <w:rsid w:val="00AB6B43"/>
    <w:rsid w:val="00AB6B47"/>
    <w:rsid w:val="00AB6BAC"/>
    <w:rsid w:val="00AB6DAF"/>
    <w:rsid w:val="00AB6DB6"/>
    <w:rsid w:val="00AB6E3F"/>
    <w:rsid w:val="00AB6E40"/>
    <w:rsid w:val="00AB6E5D"/>
    <w:rsid w:val="00AB6EB0"/>
    <w:rsid w:val="00AB6F40"/>
    <w:rsid w:val="00AB6FDA"/>
    <w:rsid w:val="00AB7062"/>
    <w:rsid w:val="00AB714F"/>
    <w:rsid w:val="00AB718C"/>
    <w:rsid w:val="00AB7287"/>
    <w:rsid w:val="00AB7315"/>
    <w:rsid w:val="00AB7382"/>
    <w:rsid w:val="00AB7557"/>
    <w:rsid w:val="00AB766A"/>
    <w:rsid w:val="00AB7675"/>
    <w:rsid w:val="00AB7902"/>
    <w:rsid w:val="00AB79BE"/>
    <w:rsid w:val="00AB79EE"/>
    <w:rsid w:val="00AB7A27"/>
    <w:rsid w:val="00AB7AEE"/>
    <w:rsid w:val="00AB7BB9"/>
    <w:rsid w:val="00AB7C42"/>
    <w:rsid w:val="00AB7C54"/>
    <w:rsid w:val="00AB7CA7"/>
    <w:rsid w:val="00AB7CF3"/>
    <w:rsid w:val="00AB7DB9"/>
    <w:rsid w:val="00AB7DC7"/>
    <w:rsid w:val="00AB7E6A"/>
    <w:rsid w:val="00AB7EC8"/>
    <w:rsid w:val="00AB7F0C"/>
    <w:rsid w:val="00AB7F27"/>
    <w:rsid w:val="00AB7F63"/>
    <w:rsid w:val="00AC0061"/>
    <w:rsid w:val="00AC00F3"/>
    <w:rsid w:val="00AC01C2"/>
    <w:rsid w:val="00AC01FA"/>
    <w:rsid w:val="00AC028E"/>
    <w:rsid w:val="00AC02C9"/>
    <w:rsid w:val="00AC0339"/>
    <w:rsid w:val="00AC0374"/>
    <w:rsid w:val="00AC0496"/>
    <w:rsid w:val="00AC04C4"/>
    <w:rsid w:val="00AC04F4"/>
    <w:rsid w:val="00AC059A"/>
    <w:rsid w:val="00AC05C8"/>
    <w:rsid w:val="00AC05F5"/>
    <w:rsid w:val="00AC062B"/>
    <w:rsid w:val="00AC062F"/>
    <w:rsid w:val="00AC071E"/>
    <w:rsid w:val="00AC07CC"/>
    <w:rsid w:val="00AC07DD"/>
    <w:rsid w:val="00AC093C"/>
    <w:rsid w:val="00AC0A57"/>
    <w:rsid w:val="00AC0B2F"/>
    <w:rsid w:val="00AC0C2A"/>
    <w:rsid w:val="00AC0CD1"/>
    <w:rsid w:val="00AC0CDA"/>
    <w:rsid w:val="00AC0CF9"/>
    <w:rsid w:val="00AC0DB0"/>
    <w:rsid w:val="00AC0F0E"/>
    <w:rsid w:val="00AC0F5C"/>
    <w:rsid w:val="00AC1010"/>
    <w:rsid w:val="00AC11DF"/>
    <w:rsid w:val="00AC11F5"/>
    <w:rsid w:val="00AC129F"/>
    <w:rsid w:val="00AC12A8"/>
    <w:rsid w:val="00AC12ED"/>
    <w:rsid w:val="00AC1361"/>
    <w:rsid w:val="00AC15E3"/>
    <w:rsid w:val="00AC16A3"/>
    <w:rsid w:val="00AC16D9"/>
    <w:rsid w:val="00AC1708"/>
    <w:rsid w:val="00AC187E"/>
    <w:rsid w:val="00AC19E5"/>
    <w:rsid w:val="00AC1CDA"/>
    <w:rsid w:val="00AC1D16"/>
    <w:rsid w:val="00AC1D2B"/>
    <w:rsid w:val="00AC1D72"/>
    <w:rsid w:val="00AC1EF2"/>
    <w:rsid w:val="00AC1F8E"/>
    <w:rsid w:val="00AC1FC2"/>
    <w:rsid w:val="00AC1FD2"/>
    <w:rsid w:val="00AC20D6"/>
    <w:rsid w:val="00AC20E9"/>
    <w:rsid w:val="00AC21B7"/>
    <w:rsid w:val="00AC223B"/>
    <w:rsid w:val="00AC226B"/>
    <w:rsid w:val="00AC2289"/>
    <w:rsid w:val="00AC23B5"/>
    <w:rsid w:val="00AC2497"/>
    <w:rsid w:val="00AC24AA"/>
    <w:rsid w:val="00AC25DA"/>
    <w:rsid w:val="00AC2642"/>
    <w:rsid w:val="00AC27E2"/>
    <w:rsid w:val="00AC285F"/>
    <w:rsid w:val="00AC287F"/>
    <w:rsid w:val="00AC28C2"/>
    <w:rsid w:val="00AC296C"/>
    <w:rsid w:val="00AC2A26"/>
    <w:rsid w:val="00AC2B69"/>
    <w:rsid w:val="00AC2BBA"/>
    <w:rsid w:val="00AC2C56"/>
    <w:rsid w:val="00AC2D0A"/>
    <w:rsid w:val="00AC2D36"/>
    <w:rsid w:val="00AC2DB2"/>
    <w:rsid w:val="00AC2F50"/>
    <w:rsid w:val="00AC2F63"/>
    <w:rsid w:val="00AC2FB7"/>
    <w:rsid w:val="00AC303C"/>
    <w:rsid w:val="00AC3064"/>
    <w:rsid w:val="00AC3146"/>
    <w:rsid w:val="00AC3154"/>
    <w:rsid w:val="00AC325D"/>
    <w:rsid w:val="00AC3398"/>
    <w:rsid w:val="00AC33A2"/>
    <w:rsid w:val="00AC33BD"/>
    <w:rsid w:val="00AC3450"/>
    <w:rsid w:val="00AC34FC"/>
    <w:rsid w:val="00AC36CE"/>
    <w:rsid w:val="00AC36D6"/>
    <w:rsid w:val="00AC37A5"/>
    <w:rsid w:val="00AC37F3"/>
    <w:rsid w:val="00AC37FB"/>
    <w:rsid w:val="00AC37FE"/>
    <w:rsid w:val="00AC39A6"/>
    <w:rsid w:val="00AC39B5"/>
    <w:rsid w:val="00AC3A30"/>
    <w:rsid w:val="00AC3AF2"/>
    <w:rsid w:val="00AC3B98"/>
    <w:rsid w:val="00AC3BBA"/>
    <w:rsid w:val="00AC3BE3"/>
    <w:rsid w:val="00AC3C89"/>
    <w:rsid w:val="00AC3CD1"/>
    <w:rsid w:val="00AC3D29"/>
    <w:rsid w:val="00AC3D8C"/>
    <w:rsid w:val="00AC3E39"/>
    <w:rsid w:val="00AC3E8B"/>
    <w:rsid w:val="00AC3F60"/>
    <w:rsid w:val="00AC3F86"/>
    <w:rsid w:val="00AC3FCA"/>
    <w:rsid w:val="00AC41F5"/>
    <w:rsid w:val="00AC4249"/>
    <w:rsid w:val="00AC4254"/>
    <w:rsid w:val="00AC42F7"/>
    <w:rsid w:val="00AC432E"/>
    <w:rsid w:val="00AC4334"/>
    <w:rsid w:val="00AC4354"/>
    <w:rsid w:val="00AC43B4"/>
    <w:rsid w:val="00AC44AE"/>
    <w:rsid w:val="00AC4508"/>
    <w:rsid w:val="00AC4527"/>
    <w:rsid w:val="00AC478E"/>
    <w:rsid w:val="00AC495C"/>
    <w:rsid w:val="00AC49B6"/>
    <w:rsid w:val="00AC49EC"/>
    <w:rsid w:val="00AC4A06"/>
    <w:rsid w:val="00AC4A52"/>
    <w:rsid w:val="00AC4A5D"/>
    <w:rsid w:val="00AC4A62"/>
    <w:rsid w:val="00AC4C6A"/>
    <w:rsid w:val="00AC4D5A"/>
    <w:rsid w:val="00AC4DF7"/>
    <w:rsid w:val="00AC4E16"/>
    <w:rsid w:val="00AC4E6D"/>
    <w:rsid w:val="00AC4F12"/>
    <w:rsid w:val="00AC4F2A"/>
    <w:rsid w:val="00AC4F2E"/>
    <w:rsid w:val="00AC4FD2"/>
    <w:rsid w:val="00AC4FD4"/>
    <w:rsid w:val="00AC516A"/>
    <w:rsid w:val="00AC51B0"/>
    <w:rsid w:val="00AC51D7"/>
    <w:rsid w:val="00AC5247"/>
    <w:rsid w:val="00AC53AB"/>
    <w:rsid w:val="00AC542B"/>
    <w:rsid w:val="00AC54A6"/>
    <w:rsid w:val="00AC54D0"/>
    <w:rsid w:val="00AC5508"/>
    <w:rsid w:val="00AC552C"/>
    <w:rsid w:val="00AC55B1"/>
    <w:rsid w:val="00AC56F3"/>
    <w:rsid w:val="00AC5728"/>
    <w:rsid w:val="00AC577C"/>
    <w:rsid w:val="00AC59A6"/>
    <w:rsid w:val="00AC59E4"/>
    <w:rsid w:val="00AC5A92"/>
    <w:rsid w:val="00AC5AC0"/>
    <w:rsid w:val="00AC5AC4"/>
    <w:rsid w:val="00AC5B18"/>
    <w:rsid w:val="00AC5B2E"/>
    <w:rsid w:val="00AC5C62"/>
    <w:rsid w:val="00AC5CAD"/>
    <w:rsid w:val="00AC5CE5"/>
    <w:rsid w:val="00AC5E73"/>
    <w:rsid w:val="00AC5EC2"/>
    <w:rsid w:val="00AC5F1C"/>
    <w:rsid w:val="00AC5F31"/>
    <w:rsid w:val="00AC60F2"/>
    <w:rsid w:val="00AC611A"/>
    <w:rsid w:val="00AC631B"/>
    <w:rsid w:val="00AC6378"/>
    <w:rsid w:val="00AC6465"/>
    <w:rsid w:val="00AC646E"/>
    <w:rsid w:val="00AC651D"/>
    <w:rsid w:val="00AC6521"/>
    <w:rsid w:val="00AC65C8"/>
    <w:rsid w:val="00AC6842"/>
    <w:rsid w:val="00AC6844"/>
    <w:rsid w:val="00AC6878"/>
    <w:rsid w:val="00AC694D"/>
    <w:rsid w:val="00AC699E"/>
    <w:rsid w:val="00AC69EE"/>
    <w:rsid w:val="00AC6A50"/>
    <w:rsid w:val="00AC6A67"/>
    <w:rsid w:val="00AC6AA8"/>
    <w:rsid w:val="00AC6BA2"/>
    <w:rsid w:val="00AC6D41"/>
    <w:rsid w:val="00AC6DCB"/>
    <w:rsid w:val="00AC6DEE"/>
    <w:rsid w:val="00AC6E4A"/>
    <w:rsid w:val="00AC6EF9"/>
    <w:rsid w:val="00AC6F5C"/>
    <w:rsid w:val="00AC6FC6"/>
    <w:rsid w:val="00AC702D"/>
    <w:rsid w:val="00AC7099"/>
    <w:rsid w:val="00AC70BD"/>
    <w:rsid w:val="00AC7180"/>
    <w:rsid w:val="00AC718C"/>
    <w:rsid w:val="00AC7199"/>
    <w:rsid w:val="00AC724D"/>
    <w:rsid w:val="00AC726C"/>
    <w:rsid w:val="00AC72AC"/>
    <w:rsid w:val="00AC733D"/>
    <w:rsid w:val="00AC738F"/>
    <w:rsid w:val="00AC73B3"/>
    <w:rsid w:val="00AC7410"/>
    <w:rsid w:val="00AC7412"/>
    <w:rsid w:val="00AC753E"/>
    <w:rsid w:val="00AC754A"/>
    <w:rsid w:val="00AC76A8"/>
    <w:rsid w:val="00AC76AF"/>
    <w:rsid w:val="00AC76EA"/>
    <w:rsid w:val="00AC7718"/>
    <w:rsid w:val="00AC7775"/>
    <w:rsid w:val="00AC788A"/>
    <w:rsid w:val="00AC78E4"/>
    <w:rsid w:val="00AC79D2"/>
    <w:rsid w:val="00AC79DD"/>
    <w:rsid w:val="00AC7A2C"/>
    <w:rsid w:val="00AC7A2F"/>
    <w:rsid w:val="00AC7ACB"/>
    <w:rsid w:val="00AC7B5F"/>
    <w:rsid w:val="00AC7C0D"/>
    <w:rsid w:val="00AC7C76"/>
    <w:rsid w:val="00AC7D14"/>
    <w:rsid w:val="00AC7E45"/>
    <w:rsid w:val="00AC7E71"/>
    <w:rsid w:val="00AC7EE5"/>
    <w:rsid w:val="00AC7FAF"/>
    <w:rsid w:val="00AC7FEB"/>
    <w:rsid w:val="00AD007E"/>
    <w:rsid w:val="00AD0085"/>
    <w:rsid w:val="00AD01F7"/>
    <w:rsid w:val="00AD043E"/>
    <w:rsid w:val="00AD0464"/>
    <w:rsid w:val="00AD0478"/>
    <w:rsid w:val="00AD0502"/>
    <w:rsid w:val="00AD0524"/>
    <w:rsid w:val="00AD05B9"/>
    <w:rsid w:val="00AD061E"/>
    <w:rsid w:val="00AD0766"/>
    <w:rsid w:val="00AD07AF"/>
    <w:rsid w:val="00AD0847"/>
    <w:rsid w:val="00AD0893"/>
    <w:rsid w:val="00AD0905"/>
    <w:rsid w:val="00AD0931"/>
    <w:rsid w:val="00AD093D"/>
    <w:rsid w:val="00AD096E"/>
    <w:rsid w:val="00AD09CD"/>
    <w:rsid w:val="00AD0BF8"/>
    <w:rsid w:val="00AD0C06"/>
    <w:rsid w:val="00AD0C11"/>
    <w:rsid w:val="00AD0CC4"/>
    <w:rsid w:val="00AD0D10"/>
    <w:rsid w:val="00AD0D54"/>
    <w:rsid w:val="00AD0E3E"/>
    <w:rsid w:val="00AD0F78"/>
    <w:rsid w:val="00AD0FCA"/>
    <w:rsid w:val="00AD1047"/>
    <w:rsid w:val="00AD106B"/>
    <w:rsid w:val="00AD1088"/>
    <w:rsid w:val="00AD136B"/>
    <w:rsid w:val="00AD1430"/>
    <w:rsid w:val="00AD144B"/>
    <w:rsid w:val="00AD1603"/>
    <w:rsid w:val="00AD16C0"/>
    <w:rsid w:val="00AD1762"/>
    <w:rsid w:val="00AD1859"/>
    <w:rsid w:val="00AD187B"/>
    <w:rsid w:val="00AD19CD"/>
    <w:rsid w:val="00AD19E6"/>
    <w:rsid w:val="00AD1A00"/>
    <w:rsid w:val="00AD1A6B"/>
    <w:rsid w:val="00AD1BB2"/>
    <w:rsid w:val="00AD1C73"/>
    <w:rsid w:val="00AD1D60"/>
    <w:rsid w:val="00AD1E80"/>
    <w:rsid w:val="00AD1E81"/>
    <w:rsid w:val="00AD1F60"/>
    <w:rsid w:val="00AD210C"/>
    <w:rsid w:val="00AD22F3"/>
    <w:rsid w:val="00AD23E8"/>
    <w:rsid w:val="00AD247F"/>
    <w:rsid w:val="00AD2500"/>
    <w:rsid w:val="00AD2678"/>
    <w:rsid w:val="00AD2871"/>
    <w:rsid w:val="00AD2946"/>
    <w:rsid w:val="00AD2AE5"/>
    <w:rsid w:val="00AD2AFF"/>
    <w:rsid w:val="00AD2BD3"/>
    <w:rsid w:val="00AD2C86"/>
    <w:rsid w:val="00AD2CEF"/>
    <w:rsid w:val="00AD2E00"/>
    <w:rsid w:val="00AD2E5B"/>
    <w:rsid w:val="00AD2EDE"/>
    <w:rsid w:val="00AD2FAD"/>
    <w:rsid w:val="00AD2FD2"/>
    <w:rsid w:val="00AD2FD5"/>
    <w:rsid w:val="00AD328D"/>
    <w:rsid w:val="00AD3311"/>
    <w:rsid w:val="00AD3346"/>
    <w:rsid w:val="00AD3388"/>
    <w:rsid w:val="00AD33CD"/>
    <w:rsid w:val="00AD3496"/>
    <w:rsid w:val="00AD34DC"/>
    <w:rsid w:val="00AD355E"/>
    <w:rsid w:val="00AD3570"/>
    <w:rsid w:val="00AD36A1"/>
    <w:rsid w:val="00AD386D"/>
    <w:rsid w:val="00AD38D4"/>
    <w:rsid w:val="00AD3905"/>
    <w:rsid w:val="00AD3930"/>
    <w:rsid w:val="00AD3933"/>
    <w:rsid w:val="00AD3ABD"/>
    <w:rsid w:val="00AD3B00"/>
    <w:rsid w:val="00AD3B02"/>
    <w:rsid w:val="00AD3BA3"/>
    <w:rsid w:val="00AD3C30"/>
    <w:rsid w:val="00AD3C3C"/>
    <w:rsid w:val="00AD3DF6"/>
    <w:rsid w:val="00AD3E06"/>
    <w:rsid w:val="00AD3E76"/>
    <w:rsid w:val="00AD3F68"/>
    <w:rsid w:val="00AD3FF6"/>
    <w:rsid w:val="00AD4009"/>
    <w:rsid w:val="00AD4017"/>
    <w:rsid w:val="00AD4043"/>
    <w:rsid w:val="00AD407B"/>
    <w:rsid w:val="00AD40A2"/>
    <w:rsid w:val="00AD4164"/>
    <w:rsid w:val="00AD41A9"/>
    <w:rsid w:val="00AD41AB"/>
    <w:rsid w:val="00AD4333"/>
    <w:rsid w:val="00AD4489"/>
    <w:rsid w:val="00AD4522"/>
    <w:rsid w:val="00AD45A5"/>
    <w:rsid w:val="00AD4674"/>
    <w:rsid w:val="00AD46AD"/>
    <w:rsid w:val="00AD476E"/>
    <w:rsid w:val="00AD4796"/>
    <w:rsid w:val="00AD48A4"/>
    <w:rsid w:val="00AD48D5"/>
    <w:rsid w:val="00AD4A04"/>
    <w:rsid w:val="00AD4B6A"/>
    <w:rsid w:val="00AD4C02"/>
    <w:rsid w:val="00AD4C2A"/>
    <w:rsid w:val="00AD4D0E"/>
    <w:rsid w:val="00AD4E8D"/>
    <w:rsid w:val="00AD4EDB"/>
    <w:rsid w:val="00AD4F24"/>
    <w:rsid w:val="00AD4F7A"/>
    <w:rsid w:val="00AD4FFC"/>
    <w:rsid w:val="00AD5141"/>
    <w:rsid w:val="00AD5169"/>
    <w:rsid w:val="00AD5176"/>
    <w:rsid w:val="00AD51E2"/>
    <w:rsid w:val="00AD51E5"/>
    <w:rsid w:val="00AD521C"/>
    <w:rsid w:val="00AD524F"/>
    <w:rsid w:val="00AD5289"/>
    <w:rsid w:val="00AD52DD"/>
    <w:rsid w:val="00AD52F3"/>
    <w:rsid w:val="00AD5371"/>
    <w:rsid w:val="00AD553A"/>
    <w:rsid w:val="00AD555F"/>
    <w:rsid w:val="00AD5572"/>
    <w:rsid w:val="00AD55CC"/>
    <w:rsid w:val="00AD5859"/>
    <w:rsid w:val="00AD5992"/>
    <w:rsid w:val="00AD5A61"/>
    <w:rsid w:val="00AD5B99"/>
    <w:rsid w:val="00AD5C20"/>
    <w:rsid w:val="00AD5C50"/>
    <w:rsid w:val="00AD5CF0"/>
    <w:rsid w:val="00AD5DBA"/>
    <w:rsid w:val="00AD5E74"/>
    <w:rsid w:val="00AD5EB7"/>
    <w:rsid w:val="00AD5F85"/>
    <w:rsid w:val="00AD5FC7"/>
    <w:rsid w:val="00AD60F8"/>
    <w:rsid w:val="00AD6128"/>
    <w:rsid w:val="00AD6179"/>
    <w:rsid w:val="00AD621F"/>
    <w:rsid w:val="00AD62EF"/>
    <w:rsid w:val="00AD6313"/>
    <w:rsid w:val="00AD652C"/>
    <w:rsid w:val="00AD6559"/>
    <w:rsid w:val="00AD6656"/>
    <w:rsid w:val="00AD668C"/>
    <w:rsid w:val="00AD683A"/>
    <w:rsid w:val="00AD68D9"/>
    <w:rsid w:val="00AD68E8"/>
    <w:rsid w:val="00AD69B4"/>
    <w:rsid w:val="00AD69CC"/>
    <w:rsid w:val="00AD69CE"/>
    <w:rsid w:val="00AD6A5C"/>
    <w:rsid w:val="00AD6DF3"/>
    <w:rsid w:val="00AD6E08"/>
    <w:rsid w:val="00AD6E1A"/>
    <w:rsid w:val="00AD6E28"/>
    <w:rsid w:val="00AD6EB6"/>
    <w:rsid w:val="00AD7003"/>
    <w:rsid w:val="00AD704D"/>
    <w:rsid w:val="00AD7065"/>
    <w:rsid w:val="00AD70C2"/>
    <w:rsid w:val="00AD710F"/>
    <w:rsid w:val="00AD7278"/>
    <w:rsid w:val="00AD7315"/>
    <w:rsid w:val="00AD73CC"/>
    <w:rsid w:val="00AD7401"/>
    <w:rsid w:val="00AD740E"/>
    <w:rsid w:val="00AD74D8"/>
    <w:rsid w:val="00AD7541"/>
    <w:rsid w:val="00AD7581"/>
    <w:rsid w:val="00AD75B1"/>
    <w:rsid w:val="00AD75F4"/>
    <w:rsid w:val="00AD76A6"/>
    <w:rsid w:val="00AD76E3"/>
    <w:rsid w:val="00AD76EF"/>
    <w:rsid w:val="00AD76F1"/>
    <w:rsid w:val="00AD781F"/>
    <w:rsid w:val="00AD78D1"/>
    <w:rsid w:val="00AD795E"/>
    <w:rsid w:val="00AD79C0"/>
    <w:rsid w:val="00AD7B30"/>
    <w:rsid w:val="00AD7B43"/>
    <w:rsid w:val="00AD7B8E"/>
    <w:rsid w:val="00AD7BC3"/>
    <w:rsid w:val="00AD7C79"/>
    <w:rsid w:val="00AD7CFA"/>
    <w:rsid w:val="00AD7D8A"/>
    <w:rsid w:val="00AD7DF5"/>
    <w:rsid w:val="00AD7F5D"/>
    <w:rsid w:val="00AD7FA8"/>
    <w:rsid w:val="00AE0045"/>
    <w:rsid w:val="00AE01AE"/>
    <w:rsid w:val="00AE02AA"/>
    <w:rsid w:val="00AE02B7"/>
    <w:rsid w:val="00AE04E8"/>
    <w:rsid w:val="00AE0602"/>
    <w:rsid w:val="00AE064D"/>
    <w:rsid w:val="00AE06C1"/>
    <w:rsid w:val="00AE06EE"/>
    <w:rsid w:val="00AE0770"/>
    <w:rsid w:val="00AE08FE"/>
    <w:rsid w:val="00AE0921"/>
    <w:rsid w:val="00AE09F2"/>
    <w:rsid w:val="00AE0A0C"/>
    <w:rsid w:val="00AE0A43"/>
    <w:rsid w:val="00AE0B3E"/>
    <w:rsid w:val="00AE0B7F"/>
    <w:rsid w:val="00AE0C33"/>
    <w:rsid w:val="00AE0D19"/>
    <w:rsid w:val="00AE0D4A"/>
    <w:rsid w:val="00AE0D5E"/>
    <w:rsid w:val="00AE0DAC"/>
    <w:rsid w:val="00AE0DFB"/>
    <w:rsid w:val="00AE0EB4"/>
    <w:rsid w:val="00AE0EF3"/>
    <w:rsid w:val="00AE0F5E"/>
    <w:rsid w:val="00AE1035"/>
    <w:rsid w:val="00AE1036"/>
    <w:rsid w:val="00AE10B4"/>
    <w:rsid w:val="00AE116F"/>
    <w:rsid w:val="00AE11AC"/>
    <w:rsid w:val="00AE1264"/>
    <w:rsid w:val="00AE130C"/>
    <w:rsid w:val="00AE150C"/>
    <w:rsid w:val="00AE15BB"/>
    <w:rsid w:val="00AE1786"/>
    <w:rsid w:val="00AE185D"/>
    <w:rsid w:val="00AE19BD"/>
    <w:rsid w:val="00AE19C4"/>
    <w:rsid w:val="00AE1A71"/>
    <w:rsid w:val="00AE1AD6"/>
    <w:rsid w:val="00AE1B0D"/>
    <w:rsid w:val="00AE1BE4"/>
    <w:rsid w:val="00AE1D37"/>
    <w:rsid w:val="00AE1D70"/>
    <w:rsid w:val="00AE1D76"/>
    <w:rsid w:val="00AE1E21"/>
    <w:rsid w:val="00AE1E30"/>
    <w:rsid w:val="00AE1E4F"/>
    <w:rsid w:val="00AE1FF2"/>
    <w:rsid w:val="00AE1FF8"/>
    <w:rsid w:val="00AE200F"/>
    <w:rsid w:val="00AE21D6"/>
    <w:rsid w:val="00AE23A9"/>
    <w:rsid w:val="00AE2445"/>
    <w:rsid w:val="00AE2485"/>
    <w:rsid w:val="00AE24AB"/>
    <w:rsid w:val="00AE25BB"/>
    <w:rsid w:val="00AE25FD"/>
    <w:rsid w:val="00AE26B5"/>
    <w:rsid w:val="00AE2734"/>
    <w:rsid w:val="00AE2917"/>
    <w:rsid w:val="00AE2B83"/>
    <w:rsid w:val="00AE2B87"/>
    <w:rsid w:val="00AE2C91"/>
    <w:rsid w:val="00AE2C9C"/>
    <w:rsid w:val="00AE2D7B"/>
    <w:rsid w:val="00AE2DFF"/>
    <w:rsid w:val="00AE2E62"/>
    <w:rsid w:val="00AE2FF5"/>
    <w:rsid w:val="00AE316A"/>
    <w:rsid w:val="00AE3204"/>
    <w:rsid w:val="00AE3221"/>
    <w:rsid w:val="00AE322F"/>
    <w:rsid w:val="00AE326C"/>
    <w:rsid w:val="00AE330C"/>
    <w:rsid w:val="00AE361B"/>
    <w:rsid w:val="00AE362D"/>
    <w:rsid w:val="00AE3740"/>
    <w:rsid w:val="00AE37D8"/>
    <w:rsid w:val="00AE3880"/>
    <w:rsid w:val="00AE3981"/>
    <w:rsid w:val="00AE39A3"/>
    <w:rsid w:val="00AE39E1"/>
    <w:rsid w:val="00AE39EC"/>
    <w:rsid w:val="00AE39F5"/>
    <w:rsid w:val="00AE3B6D"/>
    <w:rsid w:val="00AE3C28"/>
    <w:rsid w:val="00AE3DEB"/>
    <w:rsid w:val="00AE3E18"/>
    <w:rsid w:val="00AE3E1C"/>
    <w:rsid w:val="00AE3E90"/>
    <w:rsid w:val="00AE3E99"/>
    <w:rsid w:val="00AE3F75"/>
    <w:rsid w:val="00AE3F8D"/>
    <w:rsid w:val="00AE3FBC"/>
    <w:rsid w:val="00AE3FDE"/>
    <w:rsid w:val="00AE4017"/>
    <w:rsid w:val="00AE40B2"/>
    <w:rsid w:val="00AE4160"/>
    <w:rsid w:val="00AE41EE"/>
    <w:rsid w:val="00AE427B"/>
    <w:rsid w:val="00AE44F7"/>
    <w:rsid w:val="00AE4515"/>
    <w:rsid w:val="00AE451F"/>
    <w:rsid w:val="00AE452B"/>
    <w:rsid w:val="00AE45AA"/>
    <w:rsid w:val="00AE45B6"/>
    <w:rsid w:val="00AE4630"/>
    <w:rsid w:val="00AE4657"/>
    <w:rsid w:val="00AE4668"/>
    <w:rsid w:val="00AE4784"/>
    <w:rsid w:val="00AE47E6"/>
    <w:rsid w:val="00AE47FE"/>
    <w:rsid w:val="00AE49BA"/>
    <w:rsid w:val="00AE49F0"/>
    <w:rsid w:val="00AE49FD"/>
    <w:rsid w:val="00AE4A0D"/>
    <w:rsid w:val="00AE4AD0"/>
    <w:rsid w:val="00AE4C55"/>
    <w:rsid w:val="00AE4E0C"/>
    <w:rsid w:val="00AE4E53"/>
    <w:rsid w:val="00AE4E74"/>
    <w:rsid w:val="00AE4E9F"/>
    <w:rsid w:val="00AE4FC5"/>
    <w:rsid w:val="00AE50DA"/>
    <w:rsid w:val="00AE514A"/>
    <w:rsid w:val="00AE51C2"/>
    <w:rsid w:val="00AE51E0"/>
    <w:rsid w:val="00AE525E"/>
    <w:rsid w:val="00AE52BF"/>
    <w:rsid w:val="00AE53FA"/>
    <w:rsid w:val="00AE5430"/>
    <w:rsid w:val="00AE55CE"/>
    <w:rsid w:val="00AE5728"/>
    <w:rsid w:val="00AE5778"/>
    <w:rsid w:val="00AE58AB"/>
    <w:rsid w:val="00AE58DD"/>
    <w:rsid w:val="00AE58E4"/>
    <w:rsid w:val="00AE5937"/>
    <w:rsid w:val="00AE594E"/>
    <w:rsid w:val="00AE5990"/>
    <w:rsid w:val="00AE59FE"/>
    <w:rsid w:val="00AE5B25"/>
    <w:rsid w:val="00AE5B64"/>
    <w:rsid w:val="00AE5B8C"/>
    <w:rsid w:val="00AE5E84"/>
    <w:rsid w:val="00AE5EB1"/>
    <w:rsid w:val="00AE5F2F"/>
    <w:rsid w:val="00AE5F3D"/>
    <w:rsid w:val="00AE5F81"/>
    <w:rsid w:val="00AE5FFF"/>
    <w:rsid w:val="00AE601E"/>
    <w:rsid w:val="00AE6069"/>
    <w:rsid w:val="00AE6206"/>
    <w:rsid w:val="00AE6281"/>
    <w:rsid w:val="00AE62AB"/>
    <w:rsid w:val="00AE6356"/>
    <w:rsid w:val="00AE643A"/>
    <w:rsid w:val="00AE64B3"/>
    <w:rsid w:val="00AE64CD"/>
    <w:rsid w:val="00AE6580"/>
    <w:rsid w:val="00AE6596"/>
    <w:rsid w:val="00AE65F3"/>
    <w:rsid w:val="00AE661A"/>
    <w:rsid w:val="00AE66BE"/>
    <w:rsid w:val="00AE6829"/>
    <w:rsid w:val="00AE6850"/>
    <w:rsid w:val="00AE69C3"/>
    <w:rsid w:val="00AE6A4F"/>
    <w:rsid w:val="00AE6A90"/>
    <w:rsid w:val="00AE6B05"/>
    <w:rsid w:val="00AE6B11"/>
    <w:rsid w:val="00AE6B82"/>
    <w:rsid w:val="00AE6BF6"/>
    <w:rsid w:val="00AE6CE8"/>
    <w:rsid w:val="00AE6CEA"/>
    <w:rsid w:val="00AE6D9C"/>
    <w:rsid w:val="00AE6E77"/>
    <w:rsid w:val="00AE6EE1"/>
    <w:rsid w:val="00AE704E"/>
    <w:rsid w:val="00AE70E6"/>
    <w:rsid w:val="00AE70F0"/>
    <w:rsid w:val="00AE7113"/>
    <w:rsid w:val="00AE7139"/>
    <w:rsid w:val="00AE71AE"/>
    <w:rsid w:val="00AE724B"/>
    <w:rsid w:val="00AE724C"/>
    <w:rsid w:val="00AE7276"/>
    <w:rsid w:val="00AE72B7"/>
    <w:rsid w:val="00AE72C0"/>
    <w:rsid w:val="00AE7302"/>
    <w:rsid w:val="00AE733E"/>
    <w:rsid w:val="00AE7422"/>
    <w:rsid w:val="00AE748F"/>
    <w:rsid w:val="00AE7563"/>
    <w:rsid w:val="00AE7566"/>
    <w:rsid w:val="00AE75AC"/>
    <w:rsid w:val="00AE763C"/>
    <w:rsid w:val="00AE76EF"/>
    <w:rsid w:val="00AE776D"/>
    <w:rsid w:val="00AE77B5"/>
    <w:rsid w:val="00AE782C"/>
    <w:rsid w:val="00AE783E"/>
    <w:rsid w:val="00AE78A5"/>
    <w:rsid w:val="00AE795C"/>
    <w:rsid w:val="00AE7AB3"/>
    <w:rsid w:val="00AE7BF5"/>
    <w:rsid w:val="00AE7C6A"/>
    <w:rsid w:val="00AE7C70"/>
    <w:rsid w:val="00AE7D00"/>
    <w:rsid w:val="00AE7D09"/>
    <w:rsid w:val="00AE7D0F"/>
    <w:rsid w:val="00AE7D78"/>
    <w:rsid w:val="00AE7DB0"/>
    <w:rsid w:val="00AE7F1F"/>
    <w:rsid w:val="00AE7F66"/>
    <w:rsid w:val="00AF0036"/>
    <w:rsid w:val="00AF00C3"/>
    <w:rsid w:val="00AF0168"/>
    <w:rsid w:val="00AF0239"/>
    <w:rsid w:val="00AF036F"/>
    <w:rsid w:val="00AF0406"/>
    <w:rsid w:val="00AF0467"/>
    <w:rsid w:val="00AF0471"/>
    <w:rsid w:val="00AF04C2"/>
    <w:rsid w:val="00AF050D"/>
    <w:rsid w:val="00AF05B4"/>
    <w:rsid w:val="00AF0780"/>
    <w:rsid w:val="00AF081E"/>
    <w:rsid w:val="00AF08A0"/>
    <w:rsid w:val="00AF093D"/>
    <w:rsid w:val="00AF095B"/>
    <w:rsid w:val="00AF099A"/>
    <w:rsid w:val="00AF0A63"/>
    <w:rsid w:val="00AF0A74"/>
    <w:rsid w:val="00AF0ADD"/>
    <w:rsid w:val="00AF0C3E"/>
    <w:rsid w:val="00AF0C8B"/>
    <w:rsid w:val="00AF0C9C"/>
    <w:rsid w:val="00AF0CF9"/>
    <w:rsid w:val="00AF0D58"/>
    <w:rsid w:val="00AF0F65"/>
    <w:rsid w:val="00AF0F82"/>
    <w:rsid w:val="00AF0FE1"/>
    <w:rsid w:val="00AF1048"/>
    <w:rsid w:val="00AF1100"/>
    <w:rsid w:val="00AF116C"/>
    <w:rsid w:val="00AF117D"/>
    <w:rsid w:val="00AF13DB"/>
    <w:rsid w:val="00AF13F8"/>
    <w:rsid w:val="00AF1449"/>
    <w:rsid w:val="00AF1503"/>
    <w:rsid w:val="00AF153F"/>
    <w:rsid w:val="00AF16F6"/>
    <w:rsid w:val="00AF187F"/>
    <w:rsid w:val="00AF18C0"/>
    <w:rsid w:val="00AF194B"/>
    <w:rsid w:val="00AF1A54"/>
    <w:rsid w:val="00AF1AA1"/>
    <w:rsid w:val="00AF1AFF"/>
    <w:rsid w:val="00AF1B3D"/>
    <w:rsid w:val="00AF1B9B"/>
    <w:rsid w:val="00AF1BAE"/>
    <w:rsid w:val="00AF1C21"/>
    <w:rsid w:val="00AF1CAC"/>
    <w:rsid w:val="00AF1E68"/>
    <w:rsid w:val="00AF1EE6"/>
    <w:rsid w:val="00AF1FD8"/>
    <w:rsid w:val="00AF2015"/>
    <w:rsid w:val="00AF208B"/>
    <w:rsid w:val="00AF20B5"/>
    <w:rsid w:val="00AF20CF"/>
    <w:rsid w:val="00AF20D4"/>
    <w:rsid w:val="00AF20F5"/>
    <w:rsid w:val="00AF2121"/>
    <w:rsid w:val="00AF221D"/>
    <w:rsid w:val="00AF224A"/>
    <w:rsid w:val="00AF227A"/>
    <w:rsid w:val="00AF22FA"/>
    <w:rsid w:val="00AF2309"/>
    <w:rsid w:val="00AF23E5"/>
    <w:rsid w:val="00AF2424"/>
    <w:rsid w:val="00AF2434"/>
    <w:rsid w:val="00AF24CF"/>
    <w:rsid w:val="00AF24DA"/>
    <w:rsid w:val="00AF24E3"/>
    <w:rsid w:val="00AF2565"/>
    <w:rsid w:val="00AF2581"/>
    <w:rsid w:val="00AF26B8"/>
    <w:rsid w:val="00AF2704"/>
    <w:rsid w:val="00AF2736"/>
    <w:rsid w:val="00AF27DE"/>
    <w:rsid w:val="00AF2878"/>
    <w:rsid w:val="00AF2886"/>
    <w:rsid w:val="00AF28EB"/>
    <w:rsid w:val="00AF28FE"/>
    <w:rsid w:val="00AF299A"/>
    <w:rsid w:val="00AF29C4"/>
    <w:rsid w:val="00AF2AE3"/>
    <w:rsid w:val="00AF2AEF"/>
    <w:rsid w:val="00AF2B3F"/>
    <w:rsid w:val="00AF2D29"/>
    <w:rsid w:val="00AF2D4E"/>
    <w:rsid w:val="00AF2DF6"/>
    <w:rsid w:val="00AF2E5B"/>
    <w:rsid w:val="00AF2E64"/>
    <w:rsid w:val="00AF2E7E"/>
    <w:rsid w:val="00AF2F86"/>
    <w:rsid w:val="00AF3013"/>
    <w:rsid w:val="00AF302E"/>
    <w:rsid w:val="00AF30B3"/>
    <w:rsid w:val="00AF3215"/>
    <w:rsid w:val="00AF3229"/>
    <w:rsid w:val="00AF323A"/>
    <w:rsid w:val="00AF323F"/>
    <w:rsid w:val="00AF3278"/>
    <w:rsid w:val="00AF3286"/>
    <w:rsid w:val="00AF3373"/>
    <w:rsid w:val="00AF34F0"/>
    <w:rsid w:val="00AF352F"/>
    <w:rsid w:val="00AF37E6"/>
    <w:rsid w:val="00AF389D"/>
    <w:rsid w:val="00AF38D1"/>
    <w:rsid w:val="00AF3930"/>
    <w:rsid w:val="00AF3A47"/>
    <w:rsid w:val="00AF3A62"/>
    <w:rsid w:val="00AF3CBF"/>
    <w:rsid w:val="00AF3D11"/>
    <w:rsid w:val="00AF3D44"/>
    <w:rsid w:val="00AF3D52"/>
    <w:rsid w:val="00AF3D7C"/>
    <w:rsid w:val="00AF3ECF"/>
    <w:rsid w:val="00AF3FDA"/>
    <w:rsid w:val="00AF409D"/>
    <w:rsid w:val="00AF40A6"/>
    <w:rsid w:val="00AF40AF"/>
    <w:rsid w:val="00AF40B3"/>
    <w:rsid w:val="00AF4101"/>
    <w:rsid w:val="00AF4119"/>
    <w:rsid w:val="00AF418C"/>
    <w:rsid w:val="00AF41E8"/>
    <w:rsid w:val="00AF42AA"/>
    <w:rsid w:val="00AF42C1"/>
    <w:rsid w:val="00AF437A"/>
    <w:rsid w:val="00AF45A0"/>
    <w:rsid w:val="00AF45C5"/>
    <w:rsid w:val="00AF45D8"/>
    <w:rsid w:val="00AF45E9"/>
    <w:rsid w:val="00AF460D"/>
    <w:rsid w:val="00AF4731"/>
    <w:rsid w:val="00AF4765"/>
    <w:rsid w:val="00AF477D"/>
    <w:rsid w:val="00AF49DC"/>
    <w:rsid w:val="00AF4A75"/>
    <w:rsid w:val="00AF4B42"/>
    <w:rsid w:val="00AF4B68"/>
    <w:rsid w:val="00AF4BD6"/>
    <w:rsid w:val="00AF4BDA"/>
    <w:rsid w:val="00AF4C2C"/>
    <w:rsid w:val="00AF4C78"/>
    <w:rsid w:val="00AF4C79"/>
    <w:rsid w:val="00AF4D2A"/>
    <w:rsid w:val="00AF4D9B"/>
    <w:rsid w:val="00AF4E0B"/>
    <w:rsid w:val="00AF4F84"/>
    <w:rsid w:val="00AF4FCD"/>
    <w:rsid w:val="00AF5091"/>
    <w:rsid w:val="00AF50CF"/>
    <w:rsid w:val="00AF5194"/>
    <w:rsid w:val="00AF5305"/>
    <w:rsid w:val="00AF5364"/>
    <w:rsid w:val="00AF53DE"/>
    <w:rsid w:val="00AF545E"/>
    <w:rsid w:val="00AF5590"/>
    <w:rsid w:val="00AF5592"/>
    <w:rsid w:val="00AF55F2"/>
    <w:rsid w:val="00AF566D"/>
    <w:rsid w:val="00AF568F"/>
    <w:rsid w:val="00AF56C7"/>
    <w:rsid w:val="00AF5747"/>
    <w:rsid w:val="00AF576B"/>
    <w:rsid w:val="00AF57A7"/>
    <w:rsid w:val="00AF57F7"/>
    <w:rsid w:val="00AF58A8"/>
    <w:rsid w:val="00AF592A"/>
    <w:rsid w:val="00AF5976"/>
    <w:rsid w:val="00AF5D77"/>
    <w:rsid w:val="00AF5E83"/>
    <w:rsid w:val="00AF5F24"/>
    <w:rsid w:val="00AF5F5D"/>
    <w:rsid w:val="00AF5FC5"/>
    <w:rsid w:val="00AF5FD0"/>
    <w:rsid w:val="00AF5FE5"/>
    <w:rsid w:val="00AF5FFC"/>
    <w:rsid w:val="00AF606F"/>
    <w:rsid w:val="00AF60C8"/>
    <w:rsid w:val="00AF6157"/>
    <w:rsid w:val="00AF61E8"/>
    <w:rsid w:val="00AF62D9"/>
    <w:rsid w:val="00AF63AE"/>
    <w:rsid w:val="00AF63DC"/>
    <w:rsid w:val="00AF641D"/>
    <w:rsid w:val="00AF6492"/>
    <w:rsid w:val="00AF64D3"/>
    <w:rsid w:val="00AF6512"/>
    <w:rsid w:val="00AF6521"/>
    <w:rsid w:val="00AF65E1"/>
    <w:rsid w:val="00AF65F4"/>
    <w:rsid w:val="00AF661C"/>
    <w:rsid w:val="00AF6631"/>
    <w:rsid w:val="00AF6646"/>
    <w:rsid w:val="00AF6689"/>
    <w:rsid w:val="00AF6702"/>
    <w:rsid w:val="00AF6714"/>
    <w:rsid w:val="00AF679E"/>
    <w:rsid w:val="00AF67D9"/>
    <w:rsid w:val="00AF67DF"/>
    <w:rsid w:val="00AF681A"/>
    <w:rsid w:val="00AF689F"/>
    <w:rsid w:val="00AF691F"/>
    <w:rsid w:val="00AF6A8E"/>
    <w:rsid w:val="00AF6C25"/>
    <w:rsid w:val="00AF6C41"/>
    <w:rsid w:val="00AF6D64"/>
    <w:rsid w:val="00AF6D82"/>
    <w:rsid w:val="00AF6EDA"/>
    <w:rsid w:val="00AF6F86"/>
    <w:rsid w:val="00AF701B"/>
    <w:rsid w:val="00AF7051"/>
    <w:rsid w:val="00AF7094"/>
    <w:rsid w:val="00AF71F7"/>
    <w:rsid w:val="00AF721E"/>
    <w:rsid w:val="00AF722F"/>
    <w:rsid w:val="00AF7240"/>
    <w:rsid w:val="00AF72AE"/>
    <w:rsid w:val="00AF72BC"/>
    <w:rsid w:val="00AF72D5"/>
    <w:rsid w:val="00AF72FE"/>
    <w:rsid w:val="00AF737E"/>
    <w:rsid w:val="00AF73B6"/>
    <w:rsid w:val="00AF73D7"/>
    <w:rsid w:val="00AF73F7"/>
    <w:rsid w:val="00AF73FD"/>
    <w:rsid w:val="00AF747B"/>
    <w:rsid w:val="00AF74C0"/>
    <w:rsid w:val="00AF74E7"/>
    <w:rsid w:val="00AF7699"/>
    <w:rsid w:val="00AF76F0"/>
    <w:rsid w:val="00AF798B"/>
    <w:rsid w:val="00AF79E9"/>
    <w:rsid w:val="00AF79F8"/>
    <w:rsid w:val="00AF7A30"/>
    <w:rsid w:val="00AF7A60"/>
    <w:rsid w:val="00AF7AB0"/>
    <w:rsid w:val="00AF7B15"/>
    <w:rsid w:val="00AF7B1F"/>
    <w:rsid w:val="00AF7C17"/>
    <w:rsid w:val="00AF7CF9"/>
    <w:rsid w:val="00AF7D6F"/>
    <w:rsid w:val="00AF7D7A"/>
    <w:rsid w:val="00AF7D9E"/>
    <w:rsid w:val="00AF7E5D"/>
    <w:rsid w:val="00AF7F11"/>
    <w:rsid w:val="00AF7F3A"/>
    <w:rsid w:val="00AF7FB7"/>
    <w:rsid w:val="00B00001"/>
    <w:rsid w:val="00B00020"/>
    <w:rsid w:val="00B00125"/>
    <w:rsid w:val="00B00178"/>
    <w:rsid w:val="00B00189"/>
    <w:rsid w:val="00B001DF"/>
    <w:rsid w:val="00B0024B"/>
    <w:rsid w:val="00B00262"/>
    <w:rsid w:val="00B002BD"/>
    <w:rsid w:val="00B00336"/>
    <w:rsid w:val="00B00506"/>
    <w:rsid w:val="00B00514"/>
    <w:rsid w:val="00B0078E"/>
    <w:rsid w:val="00B00841"/>
    <w:rsid w:val="00B00852"/>
    <w:rsid w:val="00B008EA"/>
    <w:rsid w:val="00B00920"/>
    <w:rsid w:val="00B00AFA"/>
    <w:rsid w:val="00B00C24"/>
    <w:rsid w:val="00B00C81"/>
    <w:rsid w:val="00B00CB8"/>
    <w:rsid w:val="00B00CDB"/>
    <w:rsid w:val="00B00F98"/>
    <w:rsid w:val="00B00FE7"/>
    <w:rsid w:val="00B010C7"/>
    <w:rsid w:val="00B01124"/>
    <w:rsid w:val="00B0115D"/>
    <w:rsid w:val="00B0117E"/>
    <w:rsid w:val="00B0119D"/>
    <w:rsid w:val="00B011B6"/>
    <w:rsid w:val="00B011B7"/>
    <w:rsid w:val="00B0124A"/>
    <w:rsid w:val="00B012CB"/>
    <w:rsid w:val="00B01310"/>
    <w:rsid w:val="00B01333"/>
    <w:rsid w:val="00B0137D"/>
    <w:rsid w:val="00B013A7"/>
    <w:rsid w:val="00B0144A"/>
    <w:rsid w:val="00B014AE"/>
    <w:rsid w:val="00B01593"/>
    <w:rsid w:val="00B015AA"/>
    <w:rsid w:val="00B01633"/>
    <w:rsid w:val="00B0166B"/>
    <w:rsid w:val="00B01672"/>
    <w:rsid w:val="00B01796"/>
    <w:rsid w:val="00B017BA"/>
    <w:rsid w:val="00B0184A"/>
    <w:rsid w:val="00B01874"/>
    <w:rsid w:val="00B0188B"/>
    <w:rsid w:val="00B01922"/>
    <w:rsid w:val="00B01A20"/>
    <w:rsid w:val="00B01AAA"/>
    <w:rsid w:val="00B01B10"/>
    <w:rsid w:val="00B01B52"/>
    <w:rsid w:val="00B01B7D"/>
    <w:rsid w:val="00B01C09"/>
    <w:rsid w:val="00B01C51"/>
    <w:rsid w:val="00B01D67"/>
    <w:rsid w:val="00B01DDD"/>
    <w:rsid w:val="00B01EEC"/>
    <w:rsid w:val="00B01F6E"/>
    <w:rsid w:val="00B02143"/>
    <w:rsid w:val="00B0234E"/>
    <w:rsid w:val="00B02508"/>
    <w:rsid w:val="00B0252E"/>
    <w:rsid w:val="00B02565"/>
    <w:rsid w:val="00B025E7"/>
    <w:rsid w:val="00B02619"/>
    <w:rsid w:val="00B02664"/>
    <w:rsid w:val="00B027C9"/>
    <w:rsid w:val="00B02914"/>
    <w:rsid w:val="00B02973"/>
    <w:rsid w:val="00B02BE5"/>
    <w:rsid w:val="00B02C08"/>
    <w:rsid w:val="00B02D28"/>
    <w:rsid w:val="00B02D89"/>
    <w:rsid w:val="00B031BD"/>
    <w:rsid w:val="00B03285"/>
    <w:rsid w:val="00B03293"/>
    <w:rsid w:val="00B032A5"/>
    <w:rsid w:val="00B032D6"/>
    <w:rsid w:val="00B03395"/>
    <w:rsid w:val="00B033B2"/>
    <w:rsid w:val="00B033CD"/>
    <w:rsid w:val="00B03487"/>
    <w:rsid w:val="00B034B0"/>
    <w:rsid w:val="00B034B5"/>
    <w:rsid w:val="00B0354C"/>
    <w:rsid w:val="00B03680"/>
    <w:rsid w:val="00B03701"/>
    <w:rsid w:val="00B0382B"/>
    <w:rsid w:val="00B03835"/>
    <w:rsid w:val="00B03914"/>
    <w:rsid w:val="00B03B19"/>
    <w:rsid w:val="00B03B7D"/>
    <w:rsid w:val="00B03BB9"/>
    <w:rsid w:val="00B03BED"/>
    <w:rsid w:val="00B03C82"/>
    <w:rsid w:val="00B03D36"/>
    <w:rsid w:val="00B03DE3"/>
    <w:rsid w:val="00B03E23"/>
    <w:rsid w:val="00B03E2D"/>
    <w:rsid w:val="00B04005"/>
    <w:rsid w:val="00B04038"/>
    <w:rsid w:val="00B0407E"/>
    <w:rsid w:val="00B0408B"/>
    <w:rsid w:val="00B0417F"/>
    <w:rsid w:val="00B04194"/>
    <w:rsid w:val="00B04199"/>
    <w:rsid w:val="00B041B6"/>
    <w:rsid w:val="00B04262"/>
    <w:rsid w:val="00B042BC"/>
    <w:rsid w:val="00B04431"/>
    <w:rsid w:val="00B04492"/>
    <w:rsid w:val="00B044A1"/>
    <w:rsid w:val="00B0462F"/>
    <w:rsid w:val="00B04726"/>
    <w:rsid w:val="00B0489C"/>
    <w:rsid w:val="00B04980"/>
    <w:rsid w:val="00B049B8"/>
    <w:rsid w:val="00B049BB"/>
    <w:rsid w:val="00B049D1"/>
    <w:rsid w:val="00B04A93"/>
    <w:rsid w:val="00B04B11"/>
    <w:rsid w:val="00B04B46"/>
    <w:rsid w:val="00B04BC8"/>
    <w:rsid w:val="00B04C88"/>
    <w:rsid w:val="00B04D1C"/>
    <w:rsid w:val="00B04D2D"/>
    <w:rsid w:val="00B04D96"/>
    <w:rsid w:val="00B04DB4"/>
    <w:rsid w:val="00B04E57"/>
    <w:rsid w:val="00B04E6B"/>
    <w:rsid w:val="00B04F26"/>
    <w:rsid w:val="00B04F93"/>
    <w:rsid w:val="00B04FD3"/>
    <w:rsid w:val="00B050AB"/>
    <w:rsid w:val="00B05103"/>
    <w:rsid w:val="00B0513E"/>
    <w:rsid w:val="00B05215"/>
    <w:rsid w:val="00B0523F"/>
    <w:rsid w:val="00B052B6"/>
    <w:rsid w:val="00B0531B"/>
    <w:rsid w:val="00B0532B"/>
    <w:rsid w:val="00B05413"/>
    <w:rsid w:val="00B05545"/>
    <w:rsid w:val="00B05664"/>
    <w:rsid w:val="00B0584A"/>
    <w:rsid w:val="00B05889"/>
    <w:rsid w:val="00B058B3"/>
    <w:rsid w:val="00B058C9"/>
    <w:rsid w:val="00B05919"/>
    <w:rsid w:val="00B05962"/>
    <w:rsid w:val="00B0597A"/>
    <w:rsid w:val="00B05A03"/>
    <w:rsid w:val="00B05B56"/>
    <w:rsid w:val="00B05B68"/>
    <w:rsid w:val="00B05B87"/>
    <w:rsid w:val="00B05BAD"/>
    <w:rsid w:val="00B05C01"/>
    <w:rsid w:val="00B05CFB"/>
    <w:rsid w:val="00B05E37"/>
    <w:rsid w:val="00B05E82"/>
    <w:rsid w:val="00B05FA8"/>
    <w:rsid w:val="00B060F6"/>
    <w:rsid w:val="00B0610E"/>
    <w:rsid w:val="00B061D7"/>
    <w:rsid w:val="00B061DA"/>
    <w:rsid w:val="00B061F4"/>
    <w:rsid w:val="00B061FC"/>
    <w:rsid w:val="00B06270"/>
    <w:rsid w:val="00B0628C"/>
    <w:rsid w:val="00B062E1"/>
    <w:rsid w:val="00B063B6"/>
    <w:rsid w:val="00B063DD"/>
    <w:rsid w:val="00B06406"/>
    <w:rsid w:val="00B06502"/>
    <w:rsid w:val="00B06555"/>
    <w:rsid w:val="00B065DD"/>
    <w:rsid w:val="00B06768"/>
    <w:rsid w:val="00B0676B"/>
    <w:rsid w:val="00B067AE"/>
    <w:rsid w:val="00B067AF"/>
    <w:rsid w:val="00B067D9"/>
    <w:rsid w:val="00B068A3"/>
    <w:rsid w:val="00B06A53"/>
    <w:rsid w:val="00B06B24"/>
    <w:rsid w:val="00B06BB6"/>
    <w:rsid w:val="00B06C21"/>
    <w:rsid w:val="00B06C46"/>
    <w:rsid w:val="00B06C75"/>
    <w:rsid w:val="00B06CE8"/>
    <w:rsid w:val="00B06DCB"/>
    <w:rsid w:val="00B06E72"/>
    <w:rsid w:val="00B06F17"/>
    <w:rsid w:val="00B06F6C"/>
    <w:rsid w:val="00B06F8D"/>
    <w:rsid w:val="00B06FB4"/>
    <w:rsid w:val="00B06FF3"/>
    <w:rsid w:val="00B070BB"/>
    <w:rsid w:val="00B07106"/>
    <w:rsid w:val="00B07187"/>
    <w:rsid w:val="00B07355"/>
    <w:rsid w:val="00B0737B"/>
    <w:rsid w:val="00B073F9"/>
    <w:rsid w:val="00B07461"/>
    <w:rsid w:val="00B075A2"/>
    <w:rsid w:val="00B0764A"/>
    <w:rsid w:val="00B07684"/>
    <w:rsid w:val="00B076A5"/>
    <w:rsid w:val="00B0771B"/>
    <w:rsid w:val="00B0779A"/>
    <w:rsid w:val="00B0782B"/>
    <w:rsid w:val="00B0785F"/>
    <w:rsid w:val="00B078BE"/>
    <w:rsid w:val="00B07905"/>
    <w:rsid w:val="00B07916"/>
    <w:rsid w:val="00B07927"/>
    <w:rsid w:val="00B07A9D"/>
    <w:rsid w:val="00B07AA4"/>
    <w:rsid w:val="00B07AB6"/>
    <w:rsid w:val="00B07AD4"/>
    <w:rsid w:val="00B07B49"/>
    <w:rsid w:val="00B07B5C"/>
    <w:rsid w:val="00B07B9C"/>
    <w:rsid w:val="00B07CA5"/>
    <w:rsid w:val="00B07CE7"/>
    <w:rsid w:val="00B07DC1"/>
    <w:rsid w:val="00B07EB5"/>
    <w:rsid w:val="00B07F1C"/>
    <w:rsid w:val="00B07F1F"/>
    <w:rsid w:val="00B07FE6"/>
    <w:rsid w:val="00B10069"/>
    <w:rsid w:val="00B100C4"/>
    <w:rsid w:val="00B10166"/>
    <w:rsid w:val="00B10189"/>
    <w:rsid w:val="00B10323"/>
    <w:rsid w:val="00B103FF"/>
    <w:rsid w:val="00B1044E"/>
    <w:rsid w:val="00B10497"/>
    <w:rsid w:val="00B104A9"/>
    <w:rsid w:val="00B1060B"/>
    <w:rsid w:val="00B106F1"/>
    <w:rsid w:val="00B107E3"/>
    <w:rsid w:val="00B1082C"/>
    <w:rsid w:val="00B10841"/>
    <w:rsid w:val="00B109B5"/>
    <w:rsid w:val="00B109D3"/>
    <w:rsid w:val="00B109DF"/>
    <w:rsid w:val="00B10A05"/>
    <w:rsid w:val="00B10A10"/>
    <w:rsid w:val="00B10A17"/>
    <w:rsid w:val="00B10BD9"/>
    <w:rsid w:val="00B10C25"/>
    <w:rsid w:val="00B10CE9"/>
    <w:rsid w:val="00B10D8A"/>
    <w:rsid w:val="00B10E1D"/>
    <w:rsid w:val="00B10E5B"/>
    <w:rsid w:val="00B10F77"/>
    <w:rsid w:val="00B11021"/>
    <w:rsid w:val="00B110A2"/>
    <w:rsid w:val="00B1113B"/>
    <w:rsid w:val="00B111DF"/>
    <w:rsid w:val="00B111E3"/>
    <w:rsid w:val="00B1132C"/>
    <w:rsid w:val="00B114A7"/>
    <w:rsid w:val="00B1156A"/>
    <w:rsid w:val="00B115A2"/>
    <w:rsid w:val="00B1161A"/>
    <w:rsid w:val="00B116E7"/>
    <w:rsid w:val="00B116F9"/>
    <w:rsid w:val="00B11742"/>
    <w:rsid w:val="00B117E5"/>
    <w:rsid w:val="00B11843"/>
    <w:rsid w:val="00B1191B"/>
    <w:rsid w:val="00B11B19"/>
    <w:rsid w:val="00B11C02"/>
    <w:rsid w:val="00B11CB1"/>
    <w:rsid w:val="00B11D45"/>
    <w:rsid w:val="00B11DD5"/>
    <w:rsid w:val="00B11DFF"/>
    <w:rsid w:val="00B11E17"/>
    <w:rsid w:val="00B11E3F"/>
    <w:rsid w:val="00B12080"/>
    <w:rsid w:val="00B120A8"/>
    <w:rsid w:val="00B12101"/>
    <w:rsid w:val="00B1212F"/>
    <w:rsid w:val="00B12371"/>
    <w:rsid w:val="00B12452"/>
    <w:rsid w:val="00B12532"/>
    <w:rsid w:val="00B126C3"/>
    <w:rsid w:val="00B127CC"/>
    <w:rsid w:val="00B12830"/>
    <w:rsid w:val="00B1285C"/>
    <w:rsid w:val="00B128BB"/>
    <w:rsid w:val="00B128D8"/>
    <w:rsid w:val="00B128F8"/>
    <w:rsid w:val="00B12A0D"/>
    <w:rsid w:val="00B12A32"/>
    <w:rsid w:val="00B12A83"/>
    <w:rsid w:val="00B12BC2"/>
    <w:rsid w:val="00B12C7A"/>
    <w:rsid w:val="00B12CCC"/>
    <w:rsid w:val="00B12F78"/>
    <w:rsid w:val="00B13011"/>
    <w:rsid w:val="00B13216"/>
    <w:rsid w:val="00B1324A"/>
    <w:rsid w:val="00B1325B"/>
    <w:rsid w:val="00B133A3"/>
    <w:rsid w:val="00B133C1"/>
    <w:rsid w:val="00B133F6"/>
    <w:rsid w:val="00B133FF"/>
    <w:rsid w:val="00B13463"/>
    <w:rsid w:val="00B13479"/>
    <w:rsid w:val="00B1355A"/>
    <w:rsid w:val="00B1355C"/>
    <w:rsid w:val="00B13560"/>
    <w:rsid w:val="00B135DC"/>
    <w:rsid w:val="00B1373D"/>
    <w:rsid w:val="00B137B9"/>
    <w:rsid w:val="00B137E4"/>
    <w:rsid w:val="00B138BD"/>
    <w:rsid w:val="00B138D5"/>
    <w:rsid w:val="00B1399F"/>
    <w:rsid w:val="00B13A52"/>
    <w:rsid w:val="00B13AF1"/>
    <w:rsid w:val="00B13B38"/>
    <w:rsid w:val="00B13B52"/>
    <w:rsid w:val="00B13B8F"/>
    <w:rsid w:val="00B13C33"/>
    <w:rsid w:val="00B13C75"/>
    <w:rsid w:val="00B13CDC"/>
    <w:rsid w:val="00B13D0A"/>
    <w:rsid w:val="00B13D30"/>
    <w:rsid w:val="00B13D6F"/>
    <w:rsid w:val="00B13DAB"/>
    <w:rsid w:val="00B13DB4"/>
    <w:rsid w:val="00B13DC7"/>
    <w:rsid w:val="00B13F28"/>
    <w:rsid w:val="00B14098"/>
    <w:rsid w:val="00B14112"/>
    <w:rsid w:val="00B142E8"/>
    <w:rsid w:val="00B14324"/>
    <w:rsid w:val="00B1433F"/>
    <w:rsid w:val="00B143D4"/>
    <w:rsid w:val="00B14576"/>
    <w:rsid w:val="00B145CA"/>
    <w:rsid w:val="00B1463C"/>
    <w:rsid w:val="00B14644"/>
    <w:rsid w:val="00B1471A"/>
    <w:rsid w:val="00B147B4"/>
    <w:rsid w:val="00B147EA"/>
    <w:rsid w:val="00B148E3"/>
    <w:rsid w:val="00B14A7B"/>
    <w:rsid w:val="00B14B5A"/>
    <w:rsid w:val="00B14B61"/>
    <w:rsid w:val="00B14BA7"/>
    <w:rsid w:val="00B14C0D"/>
    <w:rsid w:val="00B14C1B"/>
    <w:rsid w:val="00B14C90"/>
    <w:rsid w:val="00B14CBF"/>
    <w:rsid w:val="00B14DC7"/>
    <w:rsid w:val="00B14E23"/>
    <w:rsid w:val="00B14EB7"/>
    <w:rsid w:val="00B14EBB"/>
    <w:rsid w:val="00B14ECC"/>
    <w:rsid w:val="00B14F06"/>
    <w:rsid w:val="00B14F41"/>
    <w:rsid w:val="00B15044"/>
    <w:rsid w:val="00B1504E"/>
    <w:rsid w:val="00B150DF"/>
    <w:rsid w:val="00B15148"/>
    <w:rsid w:val="00B151FA"/>
    <w:rsid w:val="00B1528E"/>
    <w:rsid w:val="00B153DD"/>
    <w:rsid w:val="00B15467"/>
    <w:rsid w:val="00B154C0"/>
    <w:rsid w:val="00B154DE"/>
    <w:rsid w:val="00B15518"/>
    <w:rsid w:val="00B1556D"/>
    <w:rsid w:val="00B155CF"/>
    <w:rsid w:val="00B15668"/>
    <w:rsid w:val="00B15696"/>
    <w:rsid w:val="00B156AB"/>
    <w:rsid w:val="00B157A5"/>
    <w:rsid w:val="00B1582C"/>
    <w:rsid w:val="00B1590A"/>
    <w:rsid w:val="00B159DC"/>
    <w:rsid w:val="00B15A0D"/>
    <w:rsid w:val="00B15AD3"/>
    <w:rsid w:val="00B15BBA"/>
    <w:rsid w:val="00B15C38"/>
    <w:rsid w:val="00B15CC5"/>
    <w:rsid w:val="00B15D37"/>
    <w:rsid w:val="00B15E0F"/>
    <w:rsid w:val="00B15E45"/>
    <w:rsid w:val="00B15ECA"/>
    <w:rsid w:val="00B15ED3"/>
    <w:rsid w:val="00B15ED8"/>
    <w:rsid w:val="00B15F19"/>
    <w:rsid w:val="00B15F6F"/>
    <w:rsid w:val="00B15F7E"/>
    <w:rsid w:val="00B1604F"/>
    <w:rsid w:val="00B1605B"/>
    <w:rsid w:val="00B16131"/>
    <w:rsid w:val="00B16133"/>
    <w:rsid w:val="00B16221"/>
    <w:rsid w:val="00B16466"/>
    <w:rsid w:val="00B164ED"/>
    <w:rsid w:val="00B164F8"/>
    <w:rsid w:val="00B16515"/>
    <w:rsid w:val="00B16530"/>
    <w:rsid w:val="00B1654C"/>
    <w:rsid w:val="00B1669D"/>
    <w:rsid w:val="00B166B5"/>
    <w:rsid w:val="00B1679E"/>
    <w:rsid w:val="00B167AD"/>
    <w:rsid w:val="00B16808"/>
    <w:rsid w:val="00B1683A"/>
    <w:rsid w:val="00B1684F"/>
    <w:rsid w:val="00B168EB"/>
    <w:rsid w:val="00B16998"/>
    <w:rsid w:val="00B1699D"/>
    <w:rsid w:val="00B169E6"/>
    <w:rsid w:val="00B16A6E"/>
    <w:rsid w:val="00B16ABC"/>
    <w:rsid w:val="00B16AFF"/>
    <w:rsid w:val="00B16B10"/>
    <w:rsid w:val="00B16B35"/>
    <w:rsid w:val="00B16BDD"/>
    <w:rsid w:val="00B16BDF"/>
    <w:rsid w:val="00B16C44"/>
    <w:rsid w:val="00B16D25"/>
    <w:rsid w:val="00B16D29"/>
    <w:rsid w:val="00B16DA3"/>
    <w:rsid w:val="00B16F59"/>
    <w:rsid w:val="00B16F66"/>
    <w:rsid w:val="00B16F6C"/>
    <w:rsid w:val="00B16FF9"/>
    <w:rsid w:val="00B1715E"/>
    <w:rsid w:val="00B17192"/>
    <w:rsid w:val="00B171BF"/>
    <w:rsid w:val="00B17223"/>
    <w:rsid w:val="00B172C3"/>
    <w:rsid w:val="00B172CA"/>
    <w:rsid w:val="00B172ED"/>
    <w:rsid w:val="00B172F4"/>
    <w:rsid w:val="00B17319"/>
    <w:rsid w:val="00B173D6"/>
    <w:rsid w:val="00B174CD"/>
    <w:rsid w:val="00B174E0"/>
    <w:rsid w:val="00B174FA"/>
    <w:rsid w:val="00B17506"/>
    <w:rsid w:val="00B1750A"/>
    <w:rsid w:val="00B1750F"/>
    <w:rsid w:val="00B17555"/>
    <w:rsid w:val="00B1757C"/>
    <w:rsid w:val="00B1767D"/>
    <w:rsid w:val="00B17777"/>
    <w:rsid w:val="00B179F2"/>
    <w:rsid w:val="00B17A0F"/>
    <w:rsid w:val="00B17B97"/>
    <w:rsid w:val="00B17BA6"/>
    <w:rsid w:val="00B17BE7"/>
    <w:rsid w:val="00B17BF2"/>
    <w:rsid w:val="00B17C0F"/>
    <w:rsid w:val="00B17CDA"/>
    <w:rsid w:val="00B17CF9"/>
    <w:rsid w:val="00B17D31"/>
    <w:rsid w:val="00B17D4F"/>
    <w:rsid w:val="00B17E11"/>
    <w:rsid w:val="00B17E15"/>
    <w:rsid w:val="00B17E86"/>
    <w:rsid w:val="00B17EF3"/>
    <w:rsid w:val="00B17F5D"/>
    <w:rsid w:val="00B17FC4"/>
    <w:rsid w:val="00B20112"/>
    <w:rsid w:val="00B20115"/>
    <w:rsid w:val="00B20119"/>
    <w:rsid w:val="00B20193"/>
    <w:rsid w:val="00B201F5"/>
    <w:rsid w:val="00B20290"/>
    <w:rsid w:val="00B202F5"/>
    <w:rsid w:val="00B2035E"/>
    <w:rsid w:val="00B2047E"/>
    <w:rsid w:val="00B20628"/>
    <w:rsid w:val="00B206AE"/>
    <w:rsid w:val="00B206E6"/>
    <w:rsid w:val="00B20722"/>
    <w:rsid w:val="00B20752"/>
    <w:rsid w:val="00B207FC"/>
    <w:rsid w:val="00B20877"/>
    <w:rsid w:val="00B2087E"/>
    <w:rsid w:val="00B2087F"/>
    <w:rsid w:val="00B20A01"/>
    <w:rsid w:val="00B20B42"/>
    <w:rsid w:val="00B20B85"/>
    <w:rsid w:val="00B20E67"/>
    <w:rsid w:val="00B20F0C"/>
    <w:rsid w:val="00B20F55"/>
    <w:rsid w:val="00B20F79"/>
    <w:rsid w:val="00B20F84"/>
    <w:rsid w:val="00B20FF7"/>
    <w:rsid w:val="00B21022"/>
    <w:rsid w:val="00B21064"/>
    <w:rsid w:val="00B21156"/>
    <w:rsid w:val="00B211F4"/>
    <w:rsid w:val="00B21225"/>
    <w:rsid w:val="00B212E6"/>
    <w:rsid w:val="00B21315"/>
    <w:rsid w:val="00B213E3"/>
    <w:rsid w:val="00B21494"/>
    <w:rsid w:val="00B21555"/>
    <w:rsid w:val="00B21566"/>
    <w:rsid w:val="00B216F6"/>
    <w:rsid w:val="00B21721"/>
    <w:rsid w:val="00B21760"/>
    <w:rsid w:val="00B217CA"/>
    <w:rsid w:val="00B217E3"/>
    <w:rsid w:val="00B218D3"/>
    <w:rsid w:val="00B218D8"/>
    <w:rsid w:val="00B21AAB"/>
    <w:rsid w:val="00B21B53"/>
    <w:rsid w:val="00B21B6C"/>
    <w:rsid w:val="00B21BAA"/>
    <w:rsid w:val="00B21BE9"/>
    <w:rsid w:val="00B21BF0"/>
    <w:rsid w:val="00B21C6E"/>
    <w:rsid w:val="00B21CAF"/>
    <w:rsid w:val="00B21DAC"/>
    <w:rsid w:val="00B21E17"/>
    <w:rsid w:val="00B21F21"/>
    <w:rsid w:val="00B21F49"/>
    <w:rsid w:val="00B21FC8"/>
    <w:rsid w:val="00B2207B"/>
    <w:rsid w:val="00B2207D"/>
    <w:rsid w:val="00B220A8"/>
    <w:rsid w:val="00B220CD"/>
    <w:rsid w:val="00B22147"/>
    <w:rsid w:val="00B2230B"/>
    <w:rsid w:val="00B22321"/>
    <w:rsid w:val="00B22324"/>
    <w:rsid w:val="00B2248B"/>
    <w:rsid w:val="00B2248C"/>
    <w:rsid w:val="00B224A6"/>
    <w:rsid w:val="00B224F3"/>
    <w:rsid w:val="00B22584"/>
    <w:rsid w:val="00B2259A"/>
    <w:rsid w:val="00B2264C"/>
    <w:rsid w:val="00B22687"/>
    <w:rsid w:val="00B22720"/>
    <w:rsid w:val="00B2288B"/>
    <w:rsid w:val="00B22900"/>
    <w:rsid w:val="00B22912"/>
    <w:rsid w:val="00B229F0"/>
    <w:rsid w:val="00B22ABA"/>
    <w:rsid w:val="00B22BAF"/>
    <w:rsid w:val="00B22C7E"/>
    <w:rsid w:val="00B22CBC"/>
    <w:rsid w:val="00B22CED"/>
    <w:rsid w:val="00B22E6F"/>
    <w:rsid w:val="00B22E93"/>
    <w:rsid w:val="00B22FAF"/>
    <w:rsid w:val="00B22FB6"/>
    <w:rsid w:val="00B22FD3"/>
    <w:rsid w:val="00B23072"/>
    <w:rsid w:val="00B23278"/>
    <w:rsid w:val="00B23286"/>
    <w:rsid w:val="00B232A3"/>
    <w:rsid w:val="00B232AB"/>
    <w:rsid w:val="00B233BA"/>
    <w:rsid w:val="00B233F5"/>
    <w:rsid w:val="00B23432"/>
    <w:rsid w:val="00B23433"/>
    <w:rsid w:val="00B234D3"/>
    <w:rsid w:val="00B23511"/>
    <w:rsid w:val="00B23695"/>
    <w:rsid w:val="00B236CB"/>
    <w:rsid w:val="00B23706"/>
    <w:rsid w:val="00B2386F"/>
    <w:rsid w:val="00B238A4"/>
    <w:rsid w:val="00B23A1A"/>
    <w:rsid w:val="00B23AAA"/>
    <w:rsid w:val="00B23ADB"/>
    <w:rsid w:val="00B23B2F"/>
    <w:rsid w:val="00B23BBF"/>
    <w:rsid w:val="00B23C25"/>
    <w:rsid w:val="00B23D71"/>
    <w:rsid w:val="00B23F39"/>
    <w:rsid w:val="00B2413A"/>
    <w:rsid w:val="00B241DD"/>
    <w:rsid w:val="00B242DB"/>
    <w:rsid w:val="00B2433C"/>
    <w:rsid w:val="00B2436B"/>
    <w:rsid w:val="00B2440D"/>
    <w:rsid w:val="00B2442D"/>
    <w:rsid w:val="00B24473"/>
    <w:rsid w:val="00B24483"/>
    <w:rsid w:val="00B24562"/>
    <w:rsid w:val="00B246FC"/>
    <w:rsid w:val="00B2470D"/>
    <w:rsid w:val="00B2472C"/>
    <w:rsid w:val="00B24917"/>
    <w:rsid w:val="00B24929"/>
    <w:rsid w:val="00B2498B"/>
    <w:rsid w:val="00B249C9"/>
    <w:rsid w:val="00B24A14"/>
    <w:rsid w:val="00B24A6E"/>
    <w:rsid w:val="00B24AA5"/>
    <w:rsid w:val="00B24AD1"/>
    <w:rsid w:val="00B24ADF"/>
    <w:rsid w:val="00B24B12"/>
    <w:rsid w:val="00B24B5F"/>
    <w:rsid w:val="00B24BC8"/>
    <w:rsid w:val="00B24BF8"/>
    <w:rsid w:val="00B24E02"/>
    <w:rsid w:val="00B24E81"/>
    <w:rsid w:val="00B24EE1"/>
    <w:rsid w:val="00B24F84"/>
    <w:rsid w:val="00B24F91"/>
    <w:rsid w:val="00B24FFD"/>
    <w:rsid w:val="00B25014"/>
    <w:rsid w:val="00B25159"/>
    <w:rsid w:val="00B25180"/>
    <w:rsid w:val="00B25291"/>
    <w:rsid w:val="00B252B7"/>
    <w:rsid w:val="00B252D3"/>
    <w:rsid w:val="00B25325"/>
    <w:rsid w:val="00B2537C"/>
    <w:rsid w:val="00B2538D"/>
    <w:rsid w:val="00B25627"/>
    <w:rsid w:val="00B2588E"/>
    <w:rsid w:val="00B259E2"/>
    <w:rsid w:val="00B25A01"/>
    <w:rsid w:val="00B25A17"/>
    <w:rsid w:val="00B25A44"/>
    <w:rsid w:val="00B25C93"/>
    <w:rsid w:val="00B25CD3"/>
    <w:rsid w:val="00B25CE0"/>
    <w:rsid w:val="00B25D21"/>
    <w:rsid w:val="00B25D5F"/>
    <w:rsid w:val="00B25DE8"/>
    <w:rsid w:val="00B25E0E"/>
    <w:rsid w:val="00B25EE1"/>
    <w:rsid w:val="00B25F6F"/>
    <w:rsid w:val="00B25FB9"/>
    <w:rsid w:val="00B261C1"/>
    <w:rsid w:val="00B26245"/>
    <w:rsid w:val="00B26267"/>
    <w:rsid w:val="00B262C7"/>
    <w:rsid w:val="00B263A5"/>
    <w:rsid w:val="00B26416"/>
    <w:rsid w:val="00B26420"/>
    <w:rsid w:val="00B26432"/>
    <w:rsid w:val="00B26446"/>
    <w:rsid w:val="00B26569"/>
    <w:rsid w:val="00B265C9"/>
    <w:rsid w:val="00B266F6"/>
    <w:rsid w:val="00B26766"/>
    <w:rsid w:val="00B26777"/>
    <w:rsid w:val="00B2679C"/>
    <w:rsid w:val="00B267BC"/>
    <w:rsid w:val="00B267BF"/>
    <w:rsid w:val="00B2683E"/>
    <w:rsid w:val="00B2697D"/>
    <w:rsid w:val="00B26AF3"/>
    <w:rsid w:val="00B26B13"/>
    <w:rsid w:val="00B26C95"/>
    <w:rsid w:val="00B26CFF"/>
    <w:rsid w:val="00B26DDF"/>
    <w:rsid w:val="00B26E2A"/>
    <w:rsid w:val="00B26EAE"/>
    <w:rsid w:val="00B26EBD"/>
    <w:rsid w:val="00B26FCC"/>
    <w:rsid w:val="00B2707D"/>
    <w:rsid w:val="00B2716D"/>
    <w:rsid w:val="00B27207"/>
    <w:rsid w:val="00B2723F"/>
    <w:rsid w:val="00B272AC"/>
    <w:rsid w:val="00B27325"/>
    <w:rsid w:val="00B2747F"/>
    <w:rsid w:val="00B27489"/>
    <w:rsid w:val="00B27583"/>
    <w:rsid w:val="00B2766E"/>
    <w:rsid w:val="00B278AD"/>
    <w:rsid w:val="00B278DF"/>
    <w:rsid w:val="00B278FC"/>
    <w:rsid w:val="00B27906"/>
    <w:rsid w:val="00B27960"/>
    <w:rsid w:val="00B27A5D"/>
    <w:rsid w:val="00B27A5E"/>
    <w:rsid w:val="00B27AD2"/>
    <w:rsid w:val="00B27C19"/>
    <w:rsid w:val="00B27CA7"/>
    <w:rsid w:val="00B27E3A"/>
    <w:rsid w:val="00B27EAB"/>
    <w:rsid w:val="00B27F0A"/>
    <w:rsid w:val="00B27F91"/>
    <w:rsid w:val="00B3007E"/>
    <w:rsid w:val="00B300A2"/>
    <w:rsid w:val="00B300C1"/>
    <w:rsid w:val="00B3015F"/>
    <w:rsid w:val="00B30169"/>
    <w:rsid w:val="00B301C8"/>
    <w:rsid w:val="00B301FA"/>
    <w:rsid w:val="00B30511"/>
    <w:rsid w:val="00B30552"/>
    <w:rsid w:val="00B3057B"/>
    <w:rsid w:val="00B3065E"/>
    <w:rsid w:val="00B306B8"/>
    <w:rsid w:val="00B306D6"/>
    <w:rsid w:val="00B30724"/>
    <w:rsid w:val="00B3074F"/>
    <w:rsid w:val="00B3075C"/>
    <w:rsid w:val="00B307D7"/>
    <w:rsid w:val="00B307EC"/>
    <w:rsid w:val="00B30895"/>
    <w:rsid w:val="00B308C6"/>
    <w:rsid w:val="00B308F7"/>
    <w:rsid w:val="00B3093E"/>
    <w:rsid w:val="00B30AB3"/>
    <w:rsid w:val="00B30B26"/>
    <w:rsid w:val="00B30B9B"/>
    <w:rsid w:val="00B30C4E"/>
    <w:rsid w:val="00B30C55"/>
    <w:rsid w:val="00B30CC5"/>
    <w:rsid w:val="00B30D27"/>
    <w:rsid w:val="00B30D72"/>
    <w:rsid w:val="00B30DBB"/>
    <w:rsid w:val="00B30E7E"/>
    <w:rsid w:val="00B30FBF"/>
    <w:rsid w:val="00B30FE0"/>
    <w:rsid w:val="00B31155"/>
    <w:rsid w:val="00B31181"/>
    <w:rsid w:val="00B31201"/>
    <w:rsid w:val="00B31240"/>
    <w:rsid w:val="00B313D0"/>
    <w:rsid w:val="00B314D3"/>
    <w:rsid w:val="00B31528"/>
    <w:rsid w:val="00B31649"/>
    <w:rsid w:val="00B317D3"/>
    <w:rsid w:val="00B317EB"/>
    <w:rsid w:val="00B31810"/>
    <w:rsid w:val="00B3190C"/>
    <w:rsid w:val="00B3192F"/>
    <w:rsid w:val="00B319DD"/>
    <w:rsid w:val="00B319F1"/>
    <w:rsid w:val="00B31A5D"/>
    <w:rsid w:val="00B31A9E"/>
    <w:rsid w:val="00B31BA2"/>
    <w:rsid w:val="00B31BA4"/>
    <w:rsid w:val="00B31BD9"/>
    <w:rsid w:val="00B31D74"/>
    <w:rsid w:val="00B31DCD"/>
    <w:rsid w:val="00B31E40"/>
    <w:rsid w:val="00B31E7B"/>
    <w:rsid w:val="00B31F14"/>
    <w:rsid w:val="00B31F1E"/>
    <w:rsid w:val="00B31F65"/>
    <w:rsid w:val="00B32043"/>
    <w:rsid w:val="00B3210B"/>
    <w:rsid w:val="00B32212"/>
    <w:rsid w:val="00B32285"/>
    <w:rsid w:val="00B3258D"/>
    <w:rsid w:val="00B32735"/>
    <w:rsid w:val="00B327D5"/>
    <w:rsid w:val="00B3289A"/>
    <w:rsid w:val="00B329A7"/>
    <w:rsid w:val="00B32AAF"/>
    <w:rsid w:val="00B32AF5"/>
    <w:rsid w:val="00B32B06"/>
    <w:rsid w:val="00B32BFC"/>
    <w:rsid w:val="00B32C81"/>
    <w:rsid w:val="00B32F09"/>
    <w:rsid w:val="00B32F3C"/>
    <w:rsid w:val="00B32F49"/>
    <w:rsid w:val="00B330F2"/>
    <w:rsid w:val="00B33116"/>
    <w:rsid w:val="00B33221"/>
    <w:rsid w:val="00B3334E"/>
    <w:rsid w:val="00B33350"/>
    <w:rsid w:val="00B33477"/>
    <w:rsid w:val="00B33490"/>
    <w:rsid w:val="00B334F1"/>
    <w:rsid w:val="00B335C4"/>
    <w:rsid w:val="00B33690"/>
    <w:rsid w:val="00B3370C"/>
    <w:rsid w:val="00B33769"/>
    <w:rsid w:val="00B33812"/>
    <w:rsid w:val="00B33881"/>
    <w:rsid w:val="00B338D7"/>
    <w:rsid w:val="00B338E2"/>
    <w:rsid w:val="00B33980"/>
    <w:rsid w:val="00B339B7"/>
    <w:rsid w:val="00B33AA7"/>
    <w:rsid w:val="00B33AF2"/>
    <w:rsid w:val="00B33B22"/>
    <w:rsid w:val="00B33B71"/>
    <w:rsid w:val="00B33C03"/>
    <w:rsid w:val="00B33C6F"/>
    <w:rsid w:val="00B33CA6"/>
    <w:rsid w:val="00B33D1E"/>
    <w:rsid w:val="00B33DA2"/>
    <w:rsid w:val="00B33DBC"/>
    <w:rsid w:val="00B33DF4"/>
    <w:rsid w:val="00B33DF8"/>
    <w:rsid w:val="00B3411F"/>
    <w:rsid w:val="00B341CA"/>
    <w:rsid w:val="00B341F9"/>
    <w:rsid w:val="00B34335"/>
    <w:rsid w:val="00B343BB"/>
    <w:rsid w:val="00B34441"/>
    <w:rsid w:val="00B3453B"/>
    <w:rsid w:val="00B34550"/>
    <w:rsid w:val="00B3471B"/>
    <w:rsid w:val="00B348F6"/>
    <w:rsid w:val="00B34948"/>
    <w:rsid w:val="00B349BB"/>
    <w:rsid w:val="00B34AAC"/>
    <w:rsid w:val="00B34AED"/>
    <w:rsid w:val="00B34B4A"/>
    <w:rsid w:val="00B34B4C"/>
    <w:rsid w:val="00B34C67"/>
    <w:rsid w:val="00B34CC9"/>
    <w:rsid w:val="00B34CD3"/>
    <w:rsid w:val="00B34D73"/>
    <w:rsid w:val="00B34DA4"/>
    <w:rsid w:val="00B34DD2"/>
    <w:rsid w:val="00B34E20"/>
    <w:rsid w:val="00B34E75"/>
    <w:rsid w:val="00B34EE7"/>
    <w:rsid w:val="00B34F79"/>
    <w:rsid w:val="00B34FBB"/>
    <w:rsid w:val="00B350C5"/>
    <w:rsid w:val="00B35155"/>
    <w:rsid w:val="00B35240"/>
    <w:rsid w:val="00B35244"/>
    <w:rsid w:val="00B352A5"/>
    <w:rsid w:val="00B35411"/>
    <w:rsid w:val="00B3563C"/>
    <w:rsid w:val="00B35807"/>
    <w:rsid w:val="00B35810"/>
    <w:rsid w:val="00B35855"/>
    <w:rsid w:val="00B35872"/>
    <w:rsid w:val="00B358F1"/>
    <w:rsid w:val="00B359A2"/>
    <w:rsid w:val="00B359C5"/>
    <w:rsid w:val="00B35A2D"/>
    <w:rsid w:val="00B35A53"/>
    <w:rsid w:val="00B35B46"/>
    <w:rsid w:val="00B35B56"/>
    <w:rsid w:val="00B35B74"/>
    <w:rsid w:val="00B35C07"/>
    <w:rsid w:val="00B35DB4"/>
    <w:rsid w:val="00B35DF6"/>
    <w:rsid w:val="00B35E0E"/>
    <w:rsid w:val="00B35EFF"/>
    <w:rsid w:val="00B35F59"/>
    <w:rsid w:val="00B35F68"/>
    <w:rsid w:val="00B35FF2"/>
    <w:rsid w:val="00B36101"/>
    <w:rsid w:val="00B3618C"/>
    <w:rsid w:val="00B361B7"/>
    <w:rsid w:val="00B361BF"/>
    <w:rsid w:val="00B361D5"/>
    <w:rsid w:val="00B361F4"/>
    <w:rsid w:val="00B36216"/>
    <w:rsid w:val="00B36266"/>
    <w:rsid w:val="00B362C2"/>
    <w:rsid w:val="00B362D7"/>
    <w:rsid w:val="00B36306"/>
    <w:rsid w:val="00B36313"/>
    <w:rsid w:val="00B36319"/>
    <w:rsid w:val="00B364A4"/>
    <w:rsid w:val="00B364AC"/>
    <w:rsid w:val="00B365ED"/>
    <w:rsid w:val="00B36601"/>
    <w:rsid w:val="00B36770"/>
    <w:rsid w:val="00B367C5"/>
    <w:rsid w:val="00B367EF"/>
    <w:rsid w:val="00B36858"/>
    <w:rsid w:val="00B36906"/>
    <w:rsid w:val="00B369AB"/>
    <w:rsid w:val="00B36A1F"/>
    <w:rsid w:val="00B36AB2"/>
    <w:rsid w:val="00B36B76"/>
    <w:rsid w:val="00B36B8A"/>
    <w:rsid w:val="00B36BF8"/>
    <w:rsid w:val="00B36C66"/>
    <w:rsid w:val="00B36CCB"/>
    <w:rsid w:val="00B36CD7"/>
    <w:rsid w:val="00B36D30"/>
    <w:rsid w:val="00B36D34"/>
    <w:rsid w:val="00B36D74"/>
    <w:rsid w:val="00B36D99"/>
    <w:rsid w:val="00B36D9A"/>
    <w:rsid w:val="00B36E4C"/>
    <w:rsid w:val="00B36E64"/>
    <w:rsid w:val="00B36FE6"/>
    <w:rsid w:val="00B37015"/>
    <w:rsid w:val="00B37029"/>
    <w:rsid w:val="00B370C5"/>
    <w:rsid w:val="00B37248"/>
    <w:rsid w:val="00B37414"/>
    <w:rsid w:val="00B37426"/>
    <w:rsid w:val="00B374A2"/>
    <w:rsid w:val="00B374EE"/>
    <w:rsid w:val="00B3760B"/>
    <w:rsid w:val="00B37625"/>
    <w:rsid w:val="00B377AA"/>
    <w:rsid w:val="00B378ED"/>
    <w:rsid w:val="00B378FE"/>
    <w:rsid w:val="00B37A66"/>
    <w:rsid w:val="00B37AB5"/>
    <w:rsid w:val="00B37BD8"/>
    <w:rsid w:val="00B37C2F"/>
    <w:rsid w:val="00B37D7F"/>
    <w:rsid w:val="00B37DAE"/>
    <w:rsid w:val="00B37E49"/>
    <w:rsid w:val="00B37FE0"/>
    <w:rsid w:val="00B40067"/>
    <w:rsid w:val="00B40081"/>
    <w:rsid w:val="00B400C1"/>
    <w:rsid w:val="00B40118"/>
    <w:rsid w:val="00B4013C"/>
    <w:rsid w:val="00B402BA"/>
    <w:rsid w:val="00B40361"/>
    <w:rsid w:val="00B403A6"/>
    <w:rsid w:val="00B403B9"/>
    <w:rsid w:val="00B4046C"/>
    <w:rsid w:val="00B40526"/>
    <w:rsid w:val="00B405A2"/>
    <w:rsid w:val="00B405F5"/>
    <w:rsid w:val="00B406AF"/>
    <w:rsid w:val="00B406E2"/>
    <w:rsid w:val="00B40711"/>
    <w:rsid w:val="00B4072B"/>
    <w:rsid w:val="00B4072D"/>
    <w:rsid w:val="00B40760"/>
    <w:rsid w:val="00B407EC"/>
    <w:rsid w:val="00B4080E"/>
    <w:rsid w:val="00B409CF"/>
    <w:rsid w:val="00B40A67"/>
    <w:rsid w:val="00B40ADC"/>
    <w:rsid w:val="00B40B75"/>
    <w:rsid w:val="00B40BB1"/>
    <w:rsid w:val="00B40BD7"/>
    <w:rsid w:val="00B40C63"/>
    <w:rsid w:val="00B40CFA"/>
    <w:rsid w:val="00B40D1D"/>
    <w:rsid w:val="00B40D3C"/>
    <w:rsid w:val="00B40D65"/>
    <w:rsid w:val="00B40DB2"/>
    <w:rsid w:val="00B40DE3"/>
    <w:rsid w:val="00B40E09"/>
    <w:rsid w:val="00B40E14"/>
    <w:rsid w:val="00B40E78"/>
    <w:rsid w:val="00B40EFC"/>
    <w:rsid w:val="00B40FA7"/>
    <w:rsid w:val="00B40FC9"/>
    <w:rsid w:val="00B41065"/>
    <w:rsid w:val="00B41081"/>
    <w:rsid w:val="00B4115E"/>
    <w:rsid w:val="00B411BC"/>
    <w:rsid w:val="00B41240"/>
    <w:rsid w:val="00B412A2"/>
    <w:rsid w:val="00B412D6"/>
    <w:rsid w:val="00B41365"/>
    <w:rsid w:val="00B4147A"/>
    <w:rsid w:val="00B415B1"/>
    <w:rsid w:val="00B415B4"/>
    <w:rsid w:val="00B41697"/>
    <w:rsid w:val="00B4175C"/>
    <w:rsid w:val="00B4176C"/>
    <w:rsid w:val="00B418CB"/>
    <w:rsid w:val="00B41900"/>
    <w:rsid w:val="00B41966"/>
    <w:rsid w:val="00B419FF"/>
    <w:rsid w:val="00B41B29"/>
    <w:rsid w:val="00B41B97"/>
    <w:rsid w:val="00B41C07"/>
    <w:rsid w:val="00B41D3F"/>
    <w:rsid w:val="00B41D4A"/>
    <w:rsid w:val="00B41E09"/>
    <w:rsid w:val="00B41E33"/>
    <w:rsid w:val="00B41F83"/>
    <w:rsid w:val="00B41FA5"/>
    <w:rsid w:val="00B41FC8"/>
    <w:rsid w:val="00B42001"/>
    <w:rsid w:val="00B4209B"/>
    <w:rsid w:val="00B421EE"/>
    <w:rsid w:val="00B42202"/>
    <w:rsid w:val="00B42258"/>
    <w:rsid w:val="00B42346"/>
    <w:rsid w:val="00B423C4"/>
    <w:rsid w:val="00B423EE"/>
    <w:rsid w:val="00B423FF"/>
    <w:rsid w:val="00B424B3"/>
    <w:rsid w:val="00B425B2"/>
    <w:rsid w:val="00B425D6"/>
    <w:rsid w:val="00B42607"/>
    <w:rsid w:val="00B42638"/>
    <w:rsid w:val="00B42721"/>
    <w:rsid w:val="00B4288F"/>
    <w:rsid w:val="00B42904"/>
    <w:rsid w:val="00B42A27"/>
    <w:rsid w:val="00B42ACD"/>
    <w:rsid w:val="00B42B3E"/>
    <w:rsid w:val="00B42B66"/>
    <w:rsid w:val="00B42C23"/>
    <w:rsid w:val="00B42CF2"/>
    <w:rsid w:val="00B42D9A"/>
    <w:rsid w:val="00B42DB7"/>
    <w:rsid w:val="00B42E34"/>
    <w:rsid w:val="00B42E5E"/>
    <w:rsid w:val="00B42F00"/>
    <w:rsid w:val="00B4300D"/>
    <w:rsid w:val="00B43077"/>
    <w:rsid w:val="00B43228"/>
    <w:rsid w:val="00B43232"/>
    <w:rsid w:val="00B432D8"/>
    <w:rsid w:val="00B432EF"/>
    <w:rsid w:val="00B4331E"/>
    <w:rsid w:val="00B43344"/>
    <w:rsid w:val="00B43367"/>
    <w:rsid w:val="00B4341E"/>
    <w:rsid w:val="00B43543"/>
    <w:rsid w:val="00B4365B"/>
    <w:rsid w:val="00B436DB"/>
    <w:rsid w:val="00B4370A"/>
    <w:rsid w:val="00B43731"/>
    <w:rsid w:val="00B4378E"/>
    <w:rsid w:val="00B4382B"/>
    <w:rsid w:val="00B4387C"/>
    <w:rsid w:val="00B43904"/>
    <w:rsid w:val="00B43936"/>
    <w:rsid w:val="00B4393F"/>
    <w:rsid w:val="00B4396C"/>
    <w:rsid w:val="00B439EC"/>
    <w:rsid w:val="00B43AD5"/>
    <w:rsid w:val="00B43B71"/>
    <w:rsid w:val="00B43BF1"/>
    <w:rsid w:val="00B43C45"/>
    <w:rsid w:val="00B43D7C"/>
    <w:rsid w:val="00B43DC5"/>
    <w:rsid w:val="00B43DC9"/>
    <w:rsid w:val="00B43DD6"/>
    <w:rsid w:val="00B43DEB"/>
    <w:rsid w:val="00B43DFB"/>
    <w:rsid w:val="00B43EE8"/>
    <w:rsid w:val="00B43FF7"/>
    <w:rsid w:val="00B4403E"/>
    <w:rsid w:val="00B44060"/>
    <w:rsid w:val="00B440A1"/>
    <w:rsid w:val="00B441AE"/>
    <w:rsid w:val="00B44238"/>
    <w:rsid w:val="00B4432C"/>
    <w:rsid w:val="00B44353"/>
    <w:rsid w:val="00B443AC"/>
    <w:rsid w:val="00B443C2"/>
    <w:rsid w:val="00B445C3"/>
    <w:rsid w:val="00B445EA"/>
    <w:rsid w:val="00B44604"/>
    <w:rsid w:val="00B446F1"/>
    <w:rsid w:val="00B44702"/>
    <w:rsid w:val="00B44707"/>
    <w:rsid w:val="00B44760"/>
    <w:rsid w:val="00B4476C"/>
    <w:rsid w:val="00B44897"/>
    <w:rsid w:val="00B448CC"/>
    <w:rsid w:val="00B44B40"/>
    <w:rsid w:val="00B44B95"/>
    <w:rsid w:val="00B44BC4"/>
    <w:rsid w:val="00B44BFC"/>
    <w:rsid w:val="00B44D9C"/>
    <w:rsid w:val="00B44F23"/>
    <w:rsid w:val="00B45079"/>
    <w:rsid w:val="00B452A0"/>
    <w:rsid w:val="00B45348"/>
    <w:rsid w:val="00B4543E"/>
    <w:rsid w:val="00B4546A"/>
    <w:rsid w:val="00B454DD"/>
    <w:rsid w:val="00B455A1"/>
    <w:rsid w:val="00B45624"/>
    <w:rsid w:val="00B4569E"/>
    <w:rsid w:val="00B456EC"/>
    <w:rsid w:val="00B45717"/>
    <w:rsid w:val="00B457BF"/>
    <w:rsid w:val="00B4588F"/>
    <w:rsid w:val="00B4599F"/>
    <w:rsid w:val="00B459DF"/>
    <w:rsid w:val="00B45AA7"/>
    <w:rsid w:val="00B45B56"/>
    <w:rsid w:val="00B45BAE"/>
    <w:rsid w:val="00B45BFC"/>
    <w:rsid w:val="00B45C1F"/>
    <w:rsid w:val="00B45DC3"/>
    <w:rsid w:val="00B45DD5"/>
    <w:rsid w:val="00B45E2F"/>
    <w:rsid w:val="00B45EAC"/>
    <w:rsid w:val="00B45EC8"/>
    <w:rsid w:val="00B45F00"/>
    <w:rsid w:val="00B460B6"/>
    <w:rsid w:val="00B460BE"/>
    <w:rsid w:val="00B460E4"/>
    <w:rsid w:val="00B460EE"/>
    <w:rsid w:val="00B4611F"/>
    <w:rsid w:val="00B4613E"/>
    <w:rsid w:val="00B46373"/>
    <w:rsid w:val="00B463A2"/>
    <w:rsid w:val="00B463E7"/>
    <w:rsid w:val="00B4641E"/>
    <w:rsid w:val="00B46424"/>
    <w:rsid w:val="00B46428"/>
    <w:rsid w:val="00B46438"/>
    <w:rsid w:val="00B46509"/>
    <w:rsid w:val="00B4650D"/>
    <w:rsid w:val="00B46613"/>
    <w:rsid w:val="00B46620"/>
    <w:rsid w:val="00B4663F"/>
    <w:rsid w:val="00B4668D"/>
    <w:rsid w:val="00B46694"/>
    <w:rsid w:val="00B466E5"/>
    <w:rsid w:val="00B46728"/>
    <w:rsid w:val="00B46A2B"/>
    <w:rsid w:val="00B46A78"/>
    <w:rsid w:val="00B46ADB"/>
    <w:rsid w:val="00B46C5D"/>
    <w:rsid w:val="00B46D17"/>
    <w:rsid w:val="00B46D8F"/>
    <w:rsid w:val="00B46EAE"/>
    <w:rsid w:val="00B46EE0"/>
    <w:rsid w:val="00B46F94"/>
    <w:rsid w:val="00B47018"/>
    <w:rsid w:val="00B47232"/>
    <w:rsid w:val="00B472FA"/>
    <w:rsid w:val="00B473F7"/>
    <w:rsid w:val="00B4746D"/>
    <w:rsid w:val="00B474EA"/>
    <w:rsid w:val="00B47541"/>
    <w:rsid w:val="00B47579"/>
    <w:rsid w:val="00B4757A"/>
    <w:rsid w:val="00B475C3"/>
    <w:rsid w:val="00B4764B"/>
    <w:rsid w:val="00B476B8"/>
    <w:rsid w:val="00B4772A"/>
    <w:rsid w:val="00B47759"/>
    <w:rsid w:val="00B477D6"/>
    <w:rsid w:val="00B47888"/>
    <w:rsid w:val="00B47921"/>
    <w:rsid w:val="00B47939"/>
    <w:rsid w:val="00B479AC"/>
    <w:rsid w:val="00B47A51"/>
    <w:rsid w:val="00B47A53"/>
    <w:rsid w:val="00B47ACC"/>
    <w:rsid w:val="00B47BFE"/>
    <w:rsid w:val="00B47C4F"/>
    <w:rsid w:val="00B47C64"/>
    <w:rsid w:val="00B47CA8"/>
    <w:rsid w:val="00B47D44"/>
    <w:rsid w:val="00B47DC1"/>
    <w:rsid w:val="00B47E4A"/>
    <w:rsid w:val="00B47E50"/>
    <w:rsid w:val="00B47E81"/>
    <w:rsid w:val="00B47F26"/>
    <w:rsid w:val="00B47F97"/>
    <w:rsid w:val="00B47FAC"/>
    <w:rsid w:val="00B47FDA"/>
    <w:rsid w:val="00B50098"/>
    <w:rsid w:val="00B50101"/>
    <w:rsid w:val="00B5025B"/>
    <w:rsid w:val="00B5028C"/>
    <w:rsid w:val="00B502BA"/>
    <w:rsid w:val="00B502E7"/>
    <w:rsid w:val="00B5035B"/>
    <w:rsid w:val="00B5036A"/>
    <w:rsid w:val="00B50382"/>
    <w:rsid w:val="00B50445"/>
    <w:rsid w:val="00B50455"/>
    <w:rsid w:val="00B5051C"/>
    <w:rsid w:val="00B50613"/>
    <w:rsid w:val="00B5068E"/>
    <w:rsid w:val="00B50744"/>
    <w:rsid w:val="00B50821"/>
    <w:rsid w:val="00B509CD"/>
    <w:rsid w:val="00B50A38"/>
    <w:rsid w:val="00B50B0E"/>
    <w:rsid w:val="00B50B2F"/>
    <w:rsid w:val="00B50B4B"/>
    <w:rsid w:val="00B50B7A"/>
    <w:rsid w:val="00B50BA6"/>
    <w:rsid w:val="00B50C2C"/>
    <w:rsid w:val="00B50D93"/>
    <w:rsid w:val="00B50DE7"/>
    <w:rsid w:val="00B50DF1"/>
    <w:rsid w:val="00B50F5F"/>
    <w:rsid w:val="00B5106A"/>
    <w:rsid w:val="00B51085"/>
    <w:rsid w:val="00B5123E"/>
    <w:rsid w:val="00B51302"/>
    <w:rsid w:val="00B5130A"/>
    <w:rsid w:val="00B51463"/>
    <w:rsid w:val="00B51478"/>
    <w:rsid w:val="00B514D4"/>
    <w:rsid w:val="00B514DE"/>
    <w:rsid w:val="00B51531"/>
    <w:rsid w:val="00B51545"/>
    <w:rsid w:val="00B515BA"/>
    <w:rsid w:val="00B51604"/>
    <w:rsid w:val="00B51625"/>
    <w:rsid w:val="00B5168A"/>
    <w:rsid w:val="00B516AA"/>
    <w:rsid w:val="00B516D1"/>
    <w:rsid w:val="00B5175D"/>
    <w:rsid w:val="00B517A6"/>
    <w:rsid w:val="00B5184F"/>
    <w:rsid w:val="00B51896"/>
    <w:rsid w:val="00B518B2"/>
    <w:rsid w:val="00B51A0C"/>
    <w:rsid w:val="00B51ADF"/>
    <w:rsid w:val="00B51BAC"/>
    <w:rsid w:val="00B51BD5"/>
    <w:rsid w:val="00B51C0C"/>
    <w:rsid w:val="00B51D0B"/>
    <w:rsid w:val="00B51D26"/>
    <w:rsid w:val="00B51E0B"/>
    <w:rsid w:val="00B51EC7"/>
    <w:rsid w:val="00B51F3E"/>
    <w:rsid w:val="00B51F5D"/>
    <w:rsid w:val="00B51F96"/>
    <w:rsid w:val="00B51FA5"/>
    <w:rsid w:val="00B51FDF"/>
    <w:rsid w:val="00B52071"/>
    <w:rsid w:val="00B52082"/>
    <w:rsid w:val="00B520A9"/>
    <w:rsid w:val="00B520CB"/>
    <w:rsid w:val="00B520CD"/>
    <w:rsid w:val="00B521ED"/>
    <w:rsid w:val="00B5223D"/>
    <w:rsid w:val="00B52272"/>
    <w:rsid w:val="00B52372"/>
    <w:rsid w:val="00B52464"/>
    <w:rsid w:val="00B524B0"/>
    <w:rsid w:val="00B524BF"/>
    <w:rsid w:val="00B524DC"/>
    <w:rsid w:val="00B52514"/>
    <w:rsid w:val="00B52572"/>
    <w:rsid w:val="00B525BE"/>
    <w:rsid w:val="00B525CD"/>
    <w:rsid w:val="00B52742"/>
    <w:rsid w:val="00B52753"/>
    <w:rsid w:val="00B52768"/>
    <w:rsid w:val="00B527BF"/>
    <w:rsid w:val="00B527C0"/>
    <w:rsid w:val="00B527DC"/>
    <w:rsid w:val="00B52808"/>
    <w:rsid w:val="00B528B6"/>
    <w:rsid w:val="00B528EE"/>
    <w:rsid w:val="00B52A00"/>
    <w:rsid w:val="00B52AC9"/>
    <w:rsid w:val="00B52ADE"/>
    <w:rsid w:val="00B52BE6"/>
    <w:rsid w:val="00B52C32"/>
    <w:rsid w:val="00B52C59"/>
    <w:rsid w:val="00B52C93"/>
    <w:rsid w:val="00B52E65"/>
    <w:rsid w:val="00B52E90"/>
    <w:rsid w:val="00B52EE3"/>
    <w:rsid w:val="00B530F5"/>
    <w:rsid w:val="00B53140"/>
    <w:rsid w:val="00B5319D"/>
    <w:rsid w:val="00B5319E"/>
    <w:rsid w:val="00B532B5"/>
    <w:rsid w:val="00B5332D"/>
    <w:rsid w:val="00B5338B"/>
    <w:rsid w:val="00B53421"/>
    <w:rsid w:val="00B53449"/>
    <w:rsid w:val="00B53491"/>
    <w:rsid w:val="00B534BA"/>
    <w:rsid w:val="00B534C4"/>
    <w:rsid w:val="00B53520"/>
    <w:rsid w:val="00B53580"/>
    <w:rsid w:val="00B536A5"/>
    <w:rsid w:val="00B536C7"/>
    <w:rsid w:val="00B53742"/>
    <w:rsid w:val="00B53916"/>
    <w:rsid w:val="00B53961"/>
    <w:rsid w:val="00B5397E"/>
    <w:rsid w:val="00B53A00"/>
    <w:rsid w:val="00B53B4F"/>
    <w:rsid w:val="00B53BB3"/>
    <w:rsid w:val="00B53DA2"/>
    <w:rsid w:val="00B53DAD"/>
    <w:rsid w:val="00B53DC5"/>
    <w:rsid w:val="00B53E26"/>
    <w:rsid w:val="00B53E30"/>
    <w:rsid w:val="00B53F6A"/>
    <w:rsid w:val="00B54090"/>
    <w:rsid w:val="00B54155"/>
    <w:rsid w:val="00B5421A"/>
    <w:rsid w:val="00B54236"/>
    <w:rsid w:val="00B5426D"/>
    <w:rsid w:val="00B54285"/>
    <w:rsid w:val="00B542D7"/>
    <w:rsid w:val="00B543A0"/>
    <w:rsid w:val="00B544D0"/>
    <w:rsid w:val="00B54504"/>
    <w:rsid w:val="00B54594"/>
    <w:rsid w:val="00B545EF"/>
    <w:rsid w:val="00B5467B"/>
    <w:rsid w:val="00B546BC"/>
    <w:rsid w:val="00B546C3"/>
    <w:rsid w:val="00B5476C"/>
    <w:rsid w:val="00B54880"/>
    <w:rsid w:val="00B548E5"/>
    <w:rsid w:val="00B548F4"/>
    <w:rsid w:val="00B5499D"/>
    <w:rsid w:val="00B54CB8"/>
    <w:rsid w:val="00B54D40"/>
    <w:rsid w:val="00B54F04"/>
    <w:rsid w:val="00B54F0A"/>
    <w:rsid w:val="00B54F3B"/>
    <w:rsid w:val="00B54F65"/>
    <w:rsid w:val="00B550BB"/>
    <w:rsid w:val="00B550CE"/>
    <w:rsid w:val="00B55355"/>
    <w:rsid w:val="00B55417"/>
    <w:rsid w:val="00B55496"/>
    <w:rsid w:val="00B554C0"/>
    <w:rsid w:val="00B555F4"/>
    <w:rsid w:val="00B55632"/>
    <w:rsid w:val="00B55732"/>
    <w:rsid w:val="00B557E0"/>
    <w:rsid w:val="00B558ED"/>
    <w:rsid w:val="00B558F7"/>
    <w:rsid w:val="00B55B08"/>
    <w:rsid w:val="00B55B0A"/>
    <w:rsid w:val="00B55BA6"/>
    <w:rsid w:val="00B55BBD"/>
    <w:rsid w:val="00B55C5A"/>
    <w:rsid w:val="00B55C85"/>
    <w:rsid w:val="00B55CF8"/>
    <w:rsid w:val="00B55D1C"/>
    <w:rsid w:val="00B55DD8"/>
    <w:rsid w:val="00B55ECE"/>
    <w:rsid w:val="00B55F7A"/>
    <w:rsid w:val="00B55FAA"/>
    <w:rsid w:val="00B56007"/>
    <w:rsid w:val="00B5606E"/>
    <w:rsid w:val="00B560D1"/>
    <w:rsid w:val="00B560FA"/>
    <w:rsid w:val="00B5618C"/>
    <w:rsid w:val="00B561B0"/>
    <w:rsid w:val="00B56236"/>
    <w:rsid w:val="00B5626D"/>
    <w:rsid w:val="00B5628B"/>
    <w:rsid w:val="00B56298"/>
    <w:rsid w:val="00B562F8"/>
    <w:rsid w:val="00B5631B"/>
    <w:rsid w:val="00B5631C"/>
    <w:rsid w:val="00B56362"/>
    <w:rsid w:val="00B563CD"/>
    <w:rsid w:val="00B5651B"/>
    <w:rsid w:val="00B565EA"/>
    <w:rsid w:val="00B566BA"/>
    <w:rsid w:val="00B56707"/>
    <w:rsid w:val="00B5671A"/>
    <w:rsid w:val="00B5671D"/>
    <w:rsid w:val="00B5673B"/>
    <w:rsid w:val="00B5683A"/>
    <w:rsid w:val="00B5698E"/>
    <w:rsid w:val="00B56A12"/>
    <w:rsid w:val="00B56A4A"/>
    <w:rsid w:val="00B56AE7"/>
    <w:rsid w:val="00B56B2F"/>
    <w:rsid w:val="00B56B50"/>
    <w:rsid w:val="00B56CBA"/>
    <w:rsid w:val="00B56D00"/>
    <w:rsid w:val="00B56E14"/>
    <w:rsid w:val="00B56E66"/>
    <w:rsid w:val="00B5700F"/>
    <w:rsid w:val="00B5733F"/>
    <w:rsid w:val="00B57415"/>
    <w:rsid w:val="00B5742F"/>
    <w:rsid w:val="00B575D5"/>
    <w:rsid w:val="00B576B5"/>
    <w:rsid w:val="00B577E2"/>
    <w:rsid w:val="00B578AD"/>
    <w:rsid w:val="00B57977"/>
    <w:rsid w:val="00B5799D"/>
    <w:rsid w:val="00B579A7"/>
    <w:rsid w:val="00B579E7"/>
    <w:rsid w:val="00B57A2F"/>
    <w:rsid w:val="00B57C46"/>
    <w:rsid w:val="00B57C8D"/>
    <w:rsid w:val="00B57DCA"/>
    <w:rsid w:val="00B57E09"/>
    <w:rsid w:val="00B57F52"/>
    <w:rsid w:val="00B57F9D"/>
    <w:rsid w:val="00B57FE1"/>
    <w:rsid w:val="00B57FF6"/>
    <w:rsid w:val="00B60008"/>
    <w:rsid w:val="00B600BA"/>
    <w:rsid w:val="00B6014A"/>
    <w:rsid w:val="00B6016E"/>
    <w:rsid w:val="00B601AE"/>
    <w:rsid w:val="00B60312"/>
    <w:rsid w:val="00B6033D"/>
    <w:rsid w:val="00B60369"/>
    <w:rsid w:val="00B6038D"/>
    <w:rsid w:val="00B60618"/>
    <w:rsid w:val="00B6064E"/>
    <w:rsid w:val="00B6067F"/>
    <w:rsid w:val="00B606B3"/>
    <w:rsid w:val="00B60782"/>
    <w:rsid w:val="00B6092B"/>
    <w:rsid w:val="00B60967"/>
    <w:rsid w:val="00B609C1"/>
    <w:rsid w:val="00B60B51"/>
    <w:rsid w:val="00B60BBA"/>
    <w:rsid w:val="00B60D6E"/>
    <w:rsid w:val="00B60DFA"/>
    <w:rsid w:val="00B60E44"/>
    <w:rsid w:val="00B60E96"/>
    <w:rsid w:val="00B60FA6"/>
    <w:rsid w:val="00B60FD7"/>
    <w:rsid w:val="00B60FE2"/>
    <w:rsid w:val="00B61003"/>
    <w:rsid w:val="00B6106B"/>
    <w:rsid w:val="00B610B8"/>
    <w:rsid w:val="00B6119C"/>
    <w:rsid w:val="00B611D0"/>
    <w:rsid w:val="00B61320"/>
    <w:rsid w:val="00B61331"/>
    <w:rsid w:val="00B61453"/>
    <w:rsid w:val="00B614B8"/>
    <w:rsid w:val="00B61579"/>
    <w:rsid w:val="00B615C1"/>
    <w:rsid w:val="00B615CB"/>
    <w:rsid w:val="00B615F2"/>
    <w:rsid w:val="00B6166A"/>
    <w:rsid w:val="00B61704"/>
    <w:rsid w:val="00B6174C"/>
    <w:rsid w:val="00B617C7"/>
    <w:rsid w:val="00B618D0"/>
    <w:rsid w:val="00B61923"/>
    <w:rsid w:val="00B6193C"/>
    <w:rsid w:val="00B61A01"/>
    <w:rsid w:val="00B61A02"/>
    <w:rsid w:val="00B61A18"/>
    <w:rsid w:val="00B61A69"/>
    <w:rsid w:val="00B61B39"/>
    <w:rsid w:val="00B61B82"/>
    <w:rsid w:val="00B61BC0"/>
    <w:rsid w:val="00B61C65"/>
    <w:rsid w:val="00B61CBC"/>
    <w:rsid w:val="00B61D5D"/>
    <w:rsid w:val="00B61DEE"/>
    <w:rsid w:val="00B61F1D"/>
    <w:rsid w:val="00B6203C"/>
    <w:rsid w:val="00B620C8"/>
    <w:rsid w:val="00B62160"/>
    <w:rsid w:val="00B62193"/>
    <w:rsid w:val="00B621FC"/>
    <w:rsid w:val="00B62325"/>
    <w:rsid w:val="00B62362"/>
    <w:rsid w:val="00B62392"/>
    <w:rsid w:val="00B62417"/>
    <w:rsid w:val="00B62419"/>
    <w:rsid w:val="00B624E6"/>
    <w:rsid w:val="00B6253B"/>
    <w:rsid w:val="00B6253F"/>
    <w:rsid w:val="00B62585"/>
    <w:rsid w:val="00B625D3"/>
    <w:rsid w:val="00B625DB"/>
    <w:rsid w:val="00B625FD"/>
    <w:rsid w:val="00B62608"/>
    <w:rsid w:val="00B62769"/>
    <w:rsid w:val="00B62989"/>
    <w:rsid w:val="00B62B3B"/>
    <w:rsid w:val="00B62B3F"/>
    <w:rsid w:val="00B62B9B"/>
    <w:rsid w:val="00B62BB8"/>
    <w:rsid w:val="00B62BC0"/>
    <w:rsid w:val="00B62BFD"/>
    <w:rsid w:val="00B62C4D"/>
    <w:rsid w:val="00B62CF0"/>
    <w:rsid w:val="00B62D42"/>
    <w:rsid w:val="00B62D53"/>
    <w:rsid w:val="00B62D76"/>
    <w:rsid w:val="00B62DB6"/>
    <w:rsid w:val="00B62EA0"/>
    <w:rsid w:val="00B62EF0"/>
    <w:rsid w:val="00B62F94"/>
    <w:rsid w:val="00B62FE9"/>
    <w:rsid w:val="00B63016"/>
    <w:rsid w:val="00B630B0"/>
    <w:rsid w:val="00B63114"/>
    <w:rsid w:val="00B6338F"/>
    <w:rsid w:val="00B633C7"/>
    <w:rsid w:val="00B63473"/>
    <w:rsid w:val="00B63506"/>
    <w:rsid w:val="00B63519"/>
    <w:rsid w:val="00B63521"/>
    <w:rsid w:val="00B6352A"/>
    <w:rsid w:val="00B63614"/>
    <w:rsid w:val="00B637D0"/>
    <w:rsid w:val="00B6383B"/>
    <w:rsid w:val="00B6387B"/>
    <w:rsid w:val="00B638DC"/>
    <w:rsid w:val="00B638EE"/>
    <w:rsid w:val="00B63974"/>
    <w:rsid w:val="00B63AF7"/>
    <w:rsid w:val="00B63B31"/>
    <w:rsid w:val="00B63B42"/>
    <w:rsid w:val="00B63B5B"/>
    <w:rsid w:val="00B63C1E"/>
    <w:rsid w:val="00B63CBB"/>
    <w:rsid w:val="00B63CC4"/>
    <w:rsid w:val="00B63D59"/>
    <w:rsid w:val="00B63DE7"/>
    <w:rsid w:val="00B63E09"/>
    <w:rsid w:val="00B63E4C"/>
    <w:rsid w:val="00B63E72"/>
    <w:rsid w:val="00B63EC3"/>
    <w:rsid w:val="00B63F35"/>
    <w:rsid w:val="00B64011"/>
    <w:rsid w:val="00B64084"/>
    <w:rsid w:val="00B640EF"/>
    <w:rsid w:val="00B64137"/>
    <w:rsid w:val="00B64157"/>
    <w:rsid w:val="00B6416C"/>
    <w:rsid w:val="00B641CE"/>
    <w:rsid w:val="00B641F7"/>
    <w:rsid w:val="00B64201"/>
    <w:rsid w:val="00B64237"/>
    <w:rsid w:val="00B64261"/>
    <w:rsid w:val="00B643E5"/>
    <w:rsid w:val="00B644BB"/>
    <w:rsid w:val="00B6450D"/>
    <w:rsid w:val="00B6452F"/>
    <w:rsid w:val="00B6458D"/>
    <w:rsid w:val="00B646BD"/>
    <w:rsid w:val="00B64722"/>
    <w:rsid w:val="00B648B9"/>
    <w:rsid w:val="00B648CB"/>
    <w:rsid w:val="00B6490A"/>
    <w:rsid w:val="00B64A1D"/>
    <w:rsid w:val="00B64A93"/>
    <w:rsid w:val="00B64AB1"/>
    <w:rsid w:val="00B64ABB"/>
    <w:rsid w:val="00B64B46"/>
    <w:rsid w:val="00B64B9D"/>
    <w:rsid w:val="00B64BF3"/>
    <w:rsid w:val="00B64C0B"/>
    <w:rsid w:val="00B64C35"/>
    <w:rsid w:val="00B64C5E"/>
    <w:rsid w:val="00B64C66"/>
    <w:rsid w:val="00B64C97"/>
    <w:rsid w:val="00B64CA6"/>
    <w:rsid w:val="00B64CAE"/>
    <w:rsid w:val="00B64CB2"/>
    <w:rsid w:val="00B64CCF"/>
    <w:rsid w:val="00B64E2E"/>
    <w:rsid w:val="00B64E54"/>
    <w:rsid w:val="00B64F1D"/>
    <w:rsid w:val="00B64F40"/>
    <w:rsid w:val="00B64F9E"/>
    <w:rsid w:val="00B65026"/>
    <w:rsid w:val="00B65068"/>
    <w:rsid w:val="00B6506C"/>
    <w:rsid w:val="00B65174"/>
    <w:rsid w:val="00B6518C"/>
    <w:rsid w:val="00B651F8"/>
    <w:rsid w:val="00B6526D"/>
    <w:rsid w:val="00B652D0"/>
    <w:rsid w:val="00B653A8"/>
    <w:rsid w:val="00B653DE"/>
    <w:rsid w:val="00B65434"/>
    <w:rsid w:val="00B65505"/>
    <w:rsid w:val="00B6550E"/>
    <w:rsid w:val="00B6554D"/>
    <w:rsid w:val="00B65574"/>
    <w:rsid w:val="00B656AB"/>
    <w:rsid w:val="00B656FE"/>
    <w:rsid w:val="00B65712"/>
    <w:rsid w:val="00B657CF"/>
    <w:rsid w:val="00B657E8"/>
    <w:rsid w:val="00B65904"/>
    <w:rsid w:val="00B65943"/>
    <w:rsid w:val="00B6598E"/>
    <w:rsid w:val="00B65991"/>
    <w:rsid w:val="00B65A7D"/>
    <w:rsid w:val="00B65B07"/>
    <w:rsid w:val="00B65BB8"/>
    <w:rsid w:val="00B65BE8"/>
    <w:rsid w:val="00B65E0F"/>
    <w:rsid w:val="00B65FDC"/>
    <w:rsid w:val="00B65FF3"/>
    <w:rsid w:val="00B6633E"/>
    <w:rsid w:val="00B663B9"/>
    <w:rsid w:val="00B66401"/>
    <w:rsid w:val="00B6644E"/>
    <w:rsid w:val="00B66462"/>
    <w:rsid w:val="00B664D5"/>
    <w:rsid w:val="00B66503"/>
    <w:rsid w:val="00B6653A"/>
    <w:rsid w:val="00B6656F"/>
    <w:rsid w:val="00B66584"/>
    <w:rsid w:val="00B665F0"/>
    <w:rsid w:val="00B66617"/>
    <w:rsid w:val="00B66658"/>
    <w:rsid w:val="00B666EA"/>
    <w:rsid w:val="00B6673B"/>
    <w:rsid w:val="00B6673F"/>
    <w:rsid w:val="00B667D8"/>
    <w:rsid w:val="00B66859"/>
    <w:rsid w:val="00B6688A"/>
    <w:rsid w:val="00B6688E"/>
    <w:rsid w:val="00B668C0"/>
    <w:rsid w:val="00B668F8"/>
    <w:rsid w:val="00B66907"/>
    <w:rsid w:val="00B66A12"/>
    <w:rsid w:val="00B66ACC"/>
    <w:rsid w:val="00B66D4C"/>
    <w:rsid w:val="00B66D6C"/>
    <w:rsid w:val="00B66E28"/>
    <w:rsid w:val="00B66E5F"/>
    <w:rsid w:val="00B66ED2"/>
    <w:rsid w:val="00B66F1B"/>
    <w:rsid w:val="00B66F8B"/>
    <w:rsid w:val="00B670CD"/>
    <w:rsid w:val="00B67124"/>
    <w:rsid w:val="00B6724E"/>
    <w:rsid w:val="00B67264"/>
    <w:rsid w:val="00B67286"/>
    <w:rsid w:val="00B67295"/>
    <w:rsid w:val="00B672AA"/>
    <w:rsid w:val="00B6745B"/>
    <w:rsid w:val="00B67464"/>
    <w:rsid w:val="00B6746C"/>
    <w:rsid w:val="00B6748D"/>
    <w:rsid w:val="00B674E6"/>
    <w:rsid w:val="00B67551"/>
    <w:rsid w:val="00B67581"/>
    <w:rsid w:val="00B67592"/>
    <w:rsid w:val="00B6767B"/>
    <w:rsid w:val="00B6768E"/>
    <w:rsid w:val="00B677D6"/>
    <w:rsid w:val="00B677FC"/>
    <w:rsid w:val="00B67882"/>
    <w:rsid w:val="00B678C0"/>
    <w:rsid w:val="00B678C7"/>
    <w:rsid w:val="00B679B3"/>
    <w:rsid w:val="00B679D8"/>
    <w:rsid w:val="00B679E1"/>
    <w:rsid w:val="00B67A8D"/>
    <w:rsid w:val="00B67AC8"/>
    <w:rsid w:val="00B67CB1"/>
    <w:rsid w:val="00B67CB7"/>
    <w:rsid w:val="00B67CC3"/>
    <w:rsid w:val="00B67DAB"/>
    <w:rsid w:val="00B70036"/>
    <w:rsid w:val="00B70071"/>
    <w:rsid w:val="00B700FF"/>
    <w:rsid w:val="00B70111"/>
    <w:rsid w:val="00B702D1"/>
    <w:rsid w:val="00B70394"/>
    <w:rsid w:val="00B703FA"/>
    <w:rsid w:val="00B7041F"/>
    <w:rsid w:val="00B70458"/>
    <w:rsid w:val="00B70782"/>
    <w:rsid w:val="00B70932"/>
    <w:rsid w:val="00B7096A"/>
    <w:rsid w:val="00B709AD"/>
    <w:rsid w:val="00B70A1F"/>
    <w:rsid w:val="00B70A5C"/>
    <w:rsid w:val="00B70B47"/>
    <w:rsid w:val="00B70C08"/>
    <w:rsid w:val="00B70C0C"/>
    <w:rsid w:val="00B70C94"/>
    <w:rsid w:val="00B70CA7"/>
    <w:rsid w:val="00B70CD2"/>
    <w:rsid w:val="00B70DD9"/>
    <w:rsid w:val="00B70DE2"/>
    <w:rsid w:val="00B70DFD"/>
    <w:rsid w:val="00B71168"/>
    <w:rsid w:val="00B712D6"/>
    <w:rsid w:val="00B712E0"/>
    <w:rsid w:val="00B71366"/>
    <w:rsid w:val="00B713F4"/>
    <w:rsid w:val="00B71491"/>
    <w:rsid w:val="00B7159A"/>
    <w:rsid w:val="00B715C3"/>
    <w:rsid w:val="00B715E3"/>
    <w:rsid w:val="00B715E6"/>
    <w:rsid w:val="00B715FD"/>
    <w:rsid w:val="00B7166D"/>
    <w:rsid w:val="00B71699"/>
    <w:rsid w:val="00B716B6"/>
    <w:rsid w:val="00B716C1"/>
    <w:rsid w:val="00B716F1"/>
    <w:rsid w:val="00B717D1"/>
    <w:rsid w:val="00B71A35"/>
    <w:rsid w:val="00B71A5B"/>
    <w:rsid w:val="00B71A6A"/>
    <w:rsid w:val="00B71A8C"/>
    <w:rsid w:val="00B71A90"/>
    <w:rsid w:val="00B71AE0"/>
    <w:rsid w:val="00B71D25"/>
    <w:rsid w:val="00B71ED0"/>
    <w:rsid w:val="00B71F71"/>
    <w:rsid w:val="00B71F99"/>
    <w:rsid w:val="00B7200D"/>
    <w:rsid w:val="00B7215E"/>
    <w:rsid w:val="00B721F8"/>
    <w:rsid w:val="00B7223D"/>
    <w:rsid w:val="00B72291"/>
    <w:rsid w:val="00B722BA"/>
    <w:rsid w:val="00B7232F"/>
    <w:rsid w:val="00B72573"/>
    <w:rsid w:val="00B7266A"/>
    <w:rsid w:val="00B727BB"/>
    <w:rsid w:val="00B727E6"/>
    <w:rsid w:val="00B7288C"/>
    <w:rsid w:val="00B72961"/>
    <w:rsid w:val="00B729D7"/>
    <w:rsid w:val="00B72A70"/>
    <w:rsid w:val="00B72AC3"/>
    <w:rsid w:val="00B72ACC"/>
    <w:rsid w:val="00B72AD3"/>
    <w:rsid w:val="00B72C17"/>
    <w:rsid w:val="00B72C7B"/>
    <w:rsid w:val="00B72D63"/>
    <w:rsid w:val="00B72F3C"/>
    <w:rsid w:val="00B731C0"/>
    <w:rsid w:val="00B731CD"/>
    <w:rsid w:val="00B73212"/>
    <w:rsid w:val="00B73265"/>
    <w:rsid w:val="00B732FD"/>
    <w:rsid w:val="00B7336A"/>
    <w:rsid w:val="00B733E5"/>
    <w:rsid w:val="00B7340D"/>
    <w:rsid w:val="00B73585"/>
    <w:rsid w:val="00B7364B"/>
    <w:rsid w:val="00B7378C"/>
    <w:rsid w:val="00B737D7"/>
    <w:rsid w:val="00B73831"/>
    <w:rsid w:val="00B73869"/>
    <w:rsid w:val="00B7390D"/>
    <w:rsid w:val="00B7399A"/>
    <w:rsid w:val="00B739AD"/>
    <w:rsid w:val="00B73AB8"/>
    <w:rsid w:val="00B73AD8"/>
    <w:rsid w:val="00B73B0C"/>
    <w:rsid w:val="00B73B79"/>
    <w:rsid w:val="00B73BF0"/>
    <w:rsid w:val="00B73C1C"/>
    <w:rsid w:val="00B73C4E"/>
    <w:rsid w:val="00B73D2D"/>
    <w:rsid w:val="00B73DC9"/>
    <w:rsid w:val="00B73EBC"/>
    <w:rsid w:val="00B73FA9"/>
    <w:rsid w:val="00B73FBD"/>
    <w:rsid w:val="00B740DB"/>
    <w:rsid w:val="00B74158"/>
    <w:rsid w:val="00B74221"/>
    <w:rsid w:val="00B742E5"/>
    <w:rsid w:val="00B743AE"/>
    <w:rsid w:val="00B7442F"/>
    <w:rsid w:val="00B7445F"/>
    <w:rsid w:val="00B744A5"/>
    <w:rsid w:val="00B74547"/>
    <w:rsid w:val="00B745A7"/>
    <w:rsid w:val="00B7468B"/>
    <w:rsid w:val="00B747AF"/>
    <w:rsid w:val="00B74828"/>
    <w:rsid w:val="00B748BE"/>
    <w:rsid w:val="00B749E5"/>
    <w:rsid w:val="00B74B87"/>
    <w:rsid w:val="00B74BF7"/>
    <w:rsid w:val="00B74D1B"/>
    <w:rsid w:val="00B74FA3"/>
    <w:rsid w:val="00B74FA6"/>
    <w:rsid w:val="00B74FE0"/>
    <w:rsid w:val="00B7502F"/>
    <w:rsid w:val="00B750BE"/>
    <w:rsid w:val="00B750D1"/>
    <w:rsid w:val="00B75122"/>
    <w:rsid w:val="00B75144"/>
    <w:rsid w:val="00B75148"/>
    <w:rsid w:val="00B751B5"/>
    <w:rsid w:val="00B75520"/>
    <w:rsid w:val="00B75565"/>
    <w:rsid w:val="00B75575"/>
    <w:rsid w:val="00B7565C"/>
    <w:rsid w:val="00B75768"/>
    <w:rsid w:val="00B757C7"/>
    <w:rsid w:val="00B757E2"/>
    <w:rsid w:val="00B757E5"/>
    <w:rsid w:val="00B75809"/>
    <w:rsid w:val="00B7582F"/>
    <w:rsid w:val="00B7584D"/>
    <w:rsid w:val="00B7592D"/>
    <w:rsid w:val="00B75976"/>
    <w:rsid w:val="00B75B63"/>
    <w:rsid w:val="00B75BE2"/>
    <w:rsid w:val="00B75BF9"/>
    <w:rsid w:val="00B75C13"/>
    <w:rsid w:val="00B75C9A"/>
    <w:rsid w:val="00B75CA6"/>
    <w:rsid w:val="00B75CC2"/>
    <w:rsid w:val="00B75D8B"/>
    <w:rsid w:val="00B75DD8"/>
    <w:rsid w:val="00B75E1E"/>
    <w:rsid w:val="00B75EDF"/>
    <w:rsid w:val="00B75F55"/>
    <w:rsid w:val="00B76078"/>
    <w:rsid w:val="00B760AF"/>
    <w:rsid w:val="00B761FB"/>
    <w:rsid w:val="00B762A1"/>
    <w:rsid w:val="00B76316"/>
    <w:rsid w:val="00B76348"/>
    <w:rsid w:val="00B763DC"/>
    <w:rsid w:val="00B76453"/>
    <w:rsid w:val="00B7653F"/>
    <w:rsid w:val="00B7655C"/>
    <w:rsid w:val="00B76576"/>
    <w:rsid w:val="00B7660C"/>
    <w:rsid w:val="00B76644"/>
    <w:rsid w:val="00B76661"/>
    <w:rsid w:val="00B76662"/>
    <w:rsid w:val="00B766B6"/>
    <w:rsid w:val="00B7672C"/>
    <w:rsid w:val="00B76770"/>
    <w:rsid w:val="00B76814"/>
    <w:rsid w:val="00B7689C"/>
    <w:rsid w:val="00B768AF"/>
    <w:rsid w:val="00B7696D"/>
    <w:rsid w:val="00B769C3"/>
    <w:rsid w:val="00B76A32"/>
    <w:rsid w:val="00B76A33"/>
    <w:rsid w:val="00B76AD1"/>
    <w:rsid w:val="00B76AF9"/>
    <w:rsid w:val="00B76AFF"/>
    <w:rsid w:val="00B76B3F"/>
    <w:rsid w:val="00B76CB4"/>
    <w:rsid w:val="00B76D49"/>
    <w:rsid w:val="00B76F13"/>
    <w:rsid w:val="00B76FE2"/>
    <w:rsid w:val="00B770F8"/>
    <w:rsid w:val="00B77104"/>
    <w:rsid w:val="00B771F7"/>
    <w:rsid w:val="00B77228"/>
    <w:rsid w:val="00B77251"/>
    <w:rsid w:val="00B7727D"/>
    <w:rsid w:val="00B772EE"/>
    <w:rsid w:val="00B775FF"/>
    <w:rsid w:val="00B776E5"/>
    <w:rsid w:val="00B776F0"/>
    <w:rsid w:val="00B777D4"/>
    <w:rsid w:val="00B7791C"/>
    <w:rsid w:val="00B7795A"/>
    <w:rsid w:val="00B77A25"/>
    <w:rsid w:val="00B77AC0"/>
    <w:rsid w:val="00B77CA8"/>
    <w:rsid w:val="00B77D86"/>
    <w:rsid w:val="00B77E42"/>
    <w:rsid w:val="00B77EAD"/>
    <w:rsid w:val="00B77F6B"/>
    <w:rsid w:val="00B800E8"/>
    <w:rsid w:val="00B800EC"/>
    <w:rsid w:val="00B800F6"/>
    <w:rsid w:val="00B801C7"/>
    <w:rsid w:val="00B802A7"/>
    <w:rsid w:val="00B8044C"/>
    <w:rsid w:val="00B8046D"/>
    <w:rsid w:val="00B804E8"/>
    <w:rsid w:val="00B80633"/>
    <w:rsid w:val="00B8071D"/>
    <w:rsid w:val="00B80765"/>
    <w:rsid w:val="00B8079D"/>
    <w:rsid w:val="00B80914"/>
    <w:rsid w:val="00B809DC"/>
    <w:rsid w:val="00B80B06"/>
    <w:rsid w:val="00B80B4E"/>
    <w:rsid w:val="00B80BEB"/>
    <w:rsid w:val="00B80E23"/>
    <w:rsid w:val="00B80E26"/>
    <w:rsid w:val="00B80EE0"/>
    <w:rsid w:val="00B80F75"/>
    <w:rsid w:val="00B80F7D"/>
    <w:rsid w:val="00B8116E"/>
    <w:rsid w:val="00B81186"/>
    <w:rsid w:val="00B811A9"/>
    <w:rsid w:val="00B811AF"/>
    <w:rsid w:val="00B811C4"/>
    <w:rsid w:val="00B812C8"/>
    <w:rsid w:val="00B8132F"/>
    <w:rsid w:val="00B81388"/>
    <w:rsid w:val="00B813D4"/>
    <w:rsid w:val="00B81583"/>
    <w:rsid w:val="00B815F5"/>
    <w:rsid w:val="00B817E8"/>
    <w:rsid w:val="00B8193D"/>
    <w:rsid w:val="00B8196B"/>
    <w:rsid w:val="00B819A7"/>
    <w:rsid w:val="00B819BA"/>
    <w:rsid w:val="00B81A30"/>
    <w:rsid w:val="00B81A3F"/>
    <w:rsid w:val="00B81A7F"/>
    <w:rsid w:val="00B81AA1"/>
    <w:rsid w:val="00B81AF4"/>
    <w:rsid w:val="00B81B49"/>
    <w:rsid w:val="00B81B9B"/>
    <w:rsid w:val="00B81C5C"/>
    <w:rsid w:val="00B81C82"/>
    <w:rsid w:val="00B81C8E"/>
    <w:rsid w:val="00B81CD8"/>
    <w:rsid w:val="00B81D29"/>
    <w:rsid w:val="00B81DE9"/>
    <w:rsid w:val="00B81DED"/>
    <w:rsid w:val="00B81EC9"/>
    <w:rsid w:val="00B81FB2"/>
    <w:rsid w:val="00B82124"/>
    <w:rsid w:val="00B8219C"/>
    <w:rsid w:val="00B8232D"/>
    <w:rsid w:val="00B8241B"/>
    <w:rsid w:val="00B82438"/>
    <w:rsid w:val="00B82494"/>
    <w:rsid w:val="00B8261B"/>
    <w:rsid w:val="00B82655"/>
    <w:rsid w:val="00B8268C"/>
    <w:rsid w:val="00B8273F"/>
    <w:rsid w:val="00B8278C"/>
    <w:rsid w:val="00B82831"/>
    <w:rsid w:val="00B82852"/>
    <w:rsid w:val="00B82932"/>
    <w:rsid w:val="00B829BC"/>
    <w:rsid w:val="00B82A65"/>
    <w:rsid w:val="00B82ADF"/>
    <w:rsid w:val="00B82B2A"/>
    <w:rsid w:val="00B82BAF"/>
    <w:rsid w:val="00B82CF9"/>
    <w:rsid w:val="00B82D14"/>
    <w:rsid w:val="00B82D9F"/>
    <w:rsid w:val="00B82E9A"/>
    <w:rsid w:val="00B82EDF"/>
    <w:rsid w:val="00B82FBE"/>
    <w:rsid w:val="00B82FCB"/>
    <w:rsid w:val="00B82FF8"/>
    <w:rsid w:val="00B83045"/>
    <w:rsid w:val="00B8308F"/>
    <w:rsid w:val="00B8309D"/>
    <w:rsid w:val="00B8319E"/>
    <w:rsid w:val="00B8323E"/>
    <w:rsid w:val="00B83267"/>
    <w:rsid w:val="00B832EE"/>
    <w:rsid w:val="00B833A4"/>
    <w:rsid w:val="00B83428"/>
    <w:rsid w:val="00B834ED"/>
    <w:rsid w:val="00B835A1"/>
    <w:rsid w:val="00B83614"/>
    <w:rsid w:val="00B836DB"/>
    <w:rsid w:val="00B8374C"/>
    <w:rsid w:val="00B837C6"/>
    <w:rsid w:val="00B838C2"/>
    <w:rsid w:val="00B839C8"/>
    <w:rsid w:val="00B83ABA"/>
    <w:rsid w:val="00B83AEB"/>
    <w:rsid w:val="00B83B54"/>
    <w:rsid w:val="00B83BBF"/>
    <w:rsid w:val="00B83BE8"/>
    <w:rsid w:val="00B83C13"/>
    <w:rsid w:val="00B83C49"/>
    <w:rsid w:val="00B83D97"/>
    <w:rsid w:val="00B83DA2"/>
    <w:rsid w:val="00B83E11"/>
    <w:rsid w:val="00B83F40"/>
    <w:rsid w:val="00B8409E"/>
    <w:rsid w:val="00B84184"/>
    <w:rsid w:val="00B84235"/>
    <w:rsid w:val="00B842F7"/>
    <w:rsid w:val="00B843A1"/>
    <w:rsid w:val="00B844A9"/>
    <w:rsid w:val="00B844B6"/>
    <w:rsid w:val="00B845AA"/>
    <w:rsid w:val="00B845BE"/>
    <w:rsid w:val="00B845F4"/>
    <w:rsid w:val="00B84717"/>
    <w:rsid w:val="00B84732"/>
    <w:rsid w:val="00B84789"/>
    <w:rsid w:val="00B847D4"/>
    <w:rsid w:val="00B848B8"/>
    <w:rsid w:val="00B8495A"/>
    <w:rsid w:val="00B849DD"/>
    <w:rsid w:val="00B84A5A"/>
    <w:rsid w:val="00B84A90"/>
    <w:rsid w:val="00B84AEE"/>
    <w:rsid w:val="00B84B25"/>
    <w:rsid w:val="00B84BE0"/>
    <w:rsid w:val="00B84C47"/>
    <w:rsid w:val="00B84D45"/>
    <w:rsid w:val="00B8504E"/>
    <w:rsid w:val="00B850F8"/>
    <w:rsid w:val="00B85257"/>
    <w:rsid w:val="00B85274"/>
    <w:rsid w:val="00B852C1"/>
    <w:rsid w:val="00B853B5"/>
    <w:rsid w:val="00B854FD"/>
    <w:rsid w:val="00B857F3"/>
    <w:rsid w:val="00B858B5"/>
    <w:rsid w:val="00B85A1C"/>
    <w:rsid w:val="00B85AB8"/>
    <w:rsid w:val="00B85ADB"/>
    <w:rsid w:val="00B85AF3"/>
    <w:rsid w:val="00B85C96"/>
    <w:rsid w:val="00B85CEB"/>
    <w:rsid w:val="00B85DD2"/>
    <w:rsid w:val="00B85E10"/>
    <w:rsid w:val="00B85EA9"/>
    <w:rsid w:val="00B85ED9"/>
    <w:rsid w:val="00B85FF2"/>
    <w:rsid w:val="00B8608D"/>
    <w:rsid w:val="00B86139"/>
    <w:rsid w:val="00B8621E"/>
    <w:rsid w:val="00B862E7"/>
    <w:rsid w:val="00B86315"/>
    <w:rsid w:val="00B86352"/>
    <w:rsid w:val="00B863B8"/>
    <w:rsid w:val="00B8648E"/>
    <w:rsid w:val="00B865BD"/>
    <w:rsid w:val="00B866B6"/>
    <w:rsid w:val="00B8677C"/>
    <w:rsid w:val="00B86791"/>
    <w:rsid w:val="00B868AD"/>
    <w:rsid w:val="00B868D6"/>
    <w:rsid w:val="00B8695B"/>
    <w:rsid w:val="00B869EC"/>
    <w:rsid w:val="00B869FD"/>
    <w:rsid w:val="00B86A12"/>
    <w:rsid w:val="00B86A52"/>
    <w:rsid w:val="00B86AB7"/>
    <w:rsid w:val="00B86AC1"/>
    <w:rsid w:val="00B86AD5"/>
    <w:rsid w:val="00B86B7B"/>
    <w:rsid w:val="00B86BA7"/>
    <w:rsid w:val="00B86BB1"/>
    <w:rsid w:val="00B86BFF"/>
    <w:rsid w:val="00B86D68"/>
    <w:rsid w:val="00B86E2A"/>
    <w:rsid w:val="00B86E71"/>
    <w:rsid w:val="00B86E82"/>
    <w:rsid w:val="00B86EEF"/>
    <w:rsid w:val="00B86F9A"/>
    <w:rsid w:val="00B870D5"/>
    <w:rsid w:val="00B8719F"/>
    <w:rsid w:val="00B871B8"/>
    <w:rsid w:val="00B871EA"/>
    <w:rsid w:val="00B871EE"/>
    <w:rsid w:val="00B872E8"/>
    <w:rsid w:val="00B8732D"/>
    <w:rsid w:val="00B873A3"/>
    <w:rsid w:val="00B8745A"/>
    <w:rsid w:val="00B8751B"/>
    <w:rsid w:val="00B87562"/>
    <w:rsid w:val="00B876AC"/>
    <w:rsid w:val="00B8786C"/>
    <w:rsid w:val="00B87886"/>
    <w:rsid w:val="00B878B3"/>
    <w:rsid w:val="00B87904"/>
    <w:rsid w:val="00B8791A"/>
    <w:rsid w:val="00B8791D"/>
    <w:rsid w:val="00B8795A"/>
    <w:rsid w:val="00B87A0A"/>
    <w:rsid w:val="00B87ABB"/>
    <w:rsid w:val="00B87B19"/>
    <w:rsid w:val="00B87B1C"/>
    <w:rsid w:val="00B87B3C"/>
    <w:rsid w:val="00B87BB1"/>
    <w:rsid w:val="00B87BDB"/>
    <w:rsid w:val="00B87C01"/>
    <w:rsid w:val="00B87C53"/>
    <w:rsid w:val="00B87C64"/>
    <w:rsid w:val="00B87D08"/>
    <w:rsid w:val="00B87D4C"/>
    <w:rsid w:val="00B87DB6"/>
    <w:rsid w:val="00B87E4F"/>
    <w:rsid w:val="00B87EA8"/>
    <w:rsid w:val="00B87F92"/>
    <w:rsid w:val="00B90353"/>
    <w:rsid w:val="00B90361"/>
    <w:rsid w:val="00B903F3"/>
    <w:rsid w:val="00B9046B"/>
    <w:rsid w:val="00B90525"/>
    <w:rsid w:val="00B90591"/>
    <w:rsid w:val="00B905DE"/>
    <w:rsid w:val="00B9064F"/>
    <w:rsid w:val="00B90728"/>
    <w:rsid w:val="00B90746"/>
    <w:rsid w:val="00B9077E"/>
    <w:rsid w:val="00B90824"/>
    <w:rsid w:val="00B908BE"/>
    <w:rsid w:val="00B90911"/>
    <w:rsid w:val="00B90AA9"/>
    <w:rsid w:val="00B90AC8"/>
    <w:rsid w:val="00B90C4F"/>
    <w:rsid w:val="00B90CCA"/>
    <w:rsid w:val="00B90DE7"/>
    <w:rsid w:val="00B90DFC"/>
    <w:rsid w:val="00B90E6D"/>
    <w:rsid w:val="00B90EC6"/>
    <w:rsid w:val="00B90F1F"/>
    <w:rsid w:val="00B90FD4"/>
    <w:rsid w:val="00B91010"/>
    <w:rsid w:val="00B91015"/>
    <w:rsid w:val="00B910B3"/>
    <w:rsid w:val="00B910CB"/>
    <w:rsid w:val="00B910D8"/>
    <w:rsid w:val="00B9111E"/>
    <w:rsid w:val="00B9114F"/>
    <w:rsid w:val="00B911BA"/>
    <w:rsid w:val="00B911CE"/>
    <w:rsid w:val="00B91202"/>
    <w:rsid w:val="00B9120C"/>
    <w:rsid w:val="00B91374"/>
    <w:rsid w:val="00B9138B"/>
    <w:rsid w:val="00B915AD"/>
    <w:rsid w:val="00B9166D"/>
    <w:rsid w:val="00B91674"/>
    <w:rsid w:val="00B91693"/>
    <w:rsid w:val="00B916D3"/>
    <w:rsid w:val="00B917E5"/>
    <w:rsid w:val="00B9188C"/>
    <w:rsid w:val="00B918A5"/>
    <w:rsid w:val="00B918FC"/>
    <w:rsid w:val="00B91993"/>
    <w:rsid w:val="00B91AA2"/>
    <w:rsid w:val="00B91AC8"/>
    <w:rsid w:val="00B91C20"/>
    <w:rsid w:val="00B91C6C"/>
    <w:rsid w:val="00B91D18"/>
    <w:rsid w:val="00B91D41"/>
    <w:rsid w:val="00B91D9D"/>
    <w:rsid w:val="00B91E37"/>
    <w:rsid w:val="00B91E95"/>
    <w:rsid w:val="00B91FF4"/>
    <w:rsid w:val="00B92063"/>
    <w:rsid w:val="00B92120"/>
    <w:rsid w:val="00B92182"/>
    <w:rsid w:val="00B921A6"/>
    <w:rsid w:val="00B921D7"/>
    <w:rsid w:val="00B922D2"/>
    <w:rsid w:val="00B9241E"/>
    <w:rsid w:val="00B9243F"/>
    <w:rsid w:val="00B924D2"/>
    <w:rsid w:val="00B924FF"/>
    <w:rsid w:val="00B9251B"/>
    <w:rsid w:val="00B9256E"/>
    <w:rsid w:val="00B9261D"/>
    <w:rsid w:val="00B92627"/>
    <w:rsid w:val="00B92633"/>
    <w:rsid w:val="00B92681"/>
    <w:rsid w:val="00B926D2"/>
    <w:rsid w:val="00B92761"/>
    <w:rsid w:val="00B9277C"/>
    <w:rsid w:val="00B927E1"/>
    <w:rsid w:val="00B92869"/>
    <w:rsid w:val="00B928BE"/>
    <w:rsid w:val="00B92980"/>
    <w:rsid w:val="00B92991"/>
    <w:rsid w:val="00B92A6D"/>
    <w:rsid w:val="00B92AF4"/>
    <w:rsid w:val="00B92BA9"/>
    <w:rsid w:val="00B92BBA"/>
    <w:rsid w:val="00B92C4F"/>
    <w:rsid w:val="00B92C66"/>
    <w:rsid w:val="00B92D23"/>
    <w:rsid w:val="00B92D29"/>
    <w:rsid w:val="00B92E1F"/>
    <w:rsid w:val="00B92EDC"/>
    <w:rsid w:val="00B92F0A"/>
    <w:rsid w:val="00B92FAA"/>
    <w:rsid w:val="00B93082"/>
    <w:rsid w:val="00B930C9"/>
    <w:rsid w:val="00B930EE"/>
    <w:rsid w:val="00B93394"/>
    <w:rsid w:val="00B933E0"/>
    <w:rsid w:val="00B93437"/>
    <w:rsid w:val="00B93503"/>
    <w:rsid w:val="00B9351B"/>
    <w:rsid w:val="00B935D6"/>
    <w:rsid w:val="00B93657"/>
    <w:rsid w:val="00B9366E"/>
    <w:rsid w:val="00B936EC"/>
    <w:rsid w:val="00B937F2"/>
    <w:rsid w:val="00B937FD"/>
    <w:rsid w:val="00B9381D"/>
    <w:rsid w:val="00B938E2"/>
    <w:rsid w:val="00B939DA"/>
    <w:rsid w:val="00B93AB6"/>
    <w:rsid w:val="00B93AED"/>
    <w:rsid w:val="00B93BEE"/>
    <w:rsid w:val="00B93C66"/>
    <w:rsid w:val="00B93DD3"/>
    <w:rsid w:val="00B93E5E"/>
    <w:rsid w:val="00B93F13"/>
    <w:rsid w:val="00B93FB8"/>
    <w:rsid w:val="00B93FD9"/>
    <w:rsid w:val="00B9402F"/>
    <w:rsid w:val="00B94040"/>
    <w:rsid w:val="00B940DE"/>
    <w:rsid w:val="00B94111"/>
    <w:rsid w:val="00B9413C"/>
    <w:rsid w:val="00B94174"/>
    <w:rsid w:val="00B94180"/>
    <w:rsid w:val="00B94232"/>
    <w:rsid w:val="00B9425A"/>
    <w:rsid w:val="00B94285"/>
    <w:rsid w:val="00B942E8"/>
    <w:rsid w:val="00B9431C"/>
    <w:rsid w:val="00B948AA"/>
    <w:rsid w:val="00B9491F"/>
    <w:rsid w:val="00B949A2"/>
    <w:rsid w:val="00B94AAD"/>
    <w:rsid w:val="00B94B7F"/>
    <w:rsid w:val="00B94C8F"/>
    <w:rsid w:val="00B94CB1"/>
    <w:rsid w:val="00B94F69"/>
    <w:rsid w:val="00B94F9F"/>
    <w:rsid w:val="00B94FCC"/>
    <w:rsid w:val="00B95151"/>
    <w:rsid w:val="00B95164"/>
    <w:rsid w:val="00B9521E"/>
    <w:rsid w:val="00B9522D"/>
    <w:rsid w:val="00B95257"/>
    <w:rsid w:val="00B9532D"/>
    <w:rsid w:val="00B953D5"/>
    <w:rsid w:val="00B9542F"/>
    <w:rsid w:val="00B9544A"/>
    <w:rsid w:val="00B95463"/>
    <w:rsid w:val="00B95584"/>
    <w:rsid w:val="00B955F4"/>
    <w:rsid w:val="00B955F5"/>
    <w:rsid w:val="00B95609"/>
    <w:rsid w:val="00B9564F"/>
    <w:rsid w:val="00B956C2"/>
    <w:rsid w:val="00B956C8"/>
    <w:rsid w:val="00B956F3"/>
    <w:rsid w:val="00B95700"/>
    <w:rsid w:val="00B95731"/>
    <w:rsid w:val="00B957F8"/>
    <w:rsid w:val="00B95838"/>
    <w:rsid w:val="00B95887"/>
    <w:rsid w:val="00B95AA0"/>
    <w:rsid w:val="00B95AF4"/>
    <w:rsid w:val="00B95BF6"/>
    <w:rsid w:val="00B95C35"/>
    <w:rsid w:val="00B95C87"/>
    <w:rsid w:val="00B95CA3"/>
    <w:rsid w:val="00B95D50"/>
    <w:rsid w:val="00B95DA3"/>
    <w:rsid w:val="00B95DA7"/>
    <w:rsid w:val="00B95F2E"/>
    <w:rsid w:val="00B95F5B"/>
    <w:rsid w:val="00B95FF1"/>
    <w:rsid w:val="00B96033"/>
    <w:rsid w:val="00B96113"/>
    <w:rsid w:val="00B96163"/>
    <w:rsid w:val="00B9616F"/>
    <w:rsid w:val="00B96268"/>
    <w:rsid w:val="00B96284"/>
    <w:rsid w:val="00B96318"/>
    <w:rsid w:val="00B96320"/>
    <w:rsid w:val="00B96447"/>
    <w:rsid w:val="00B9651F"/>
    <w:rsid w:val="00B96572"/>
    <w:rsid w:val="00B96598"/>
    <w:rsid w:val="00B96604"/>
    <w:rsid w:val="00B9664B"/>
    <w:rsid w:val="00B966C9"/>
    <w:rsid w:val="00B966DB"/>
    <w:rsid w:val="00B9678D"/>
    <w:rsid w:val="00B9682A"/>
    <w:rsid w:val="00B9692B"/>
    <w:rsid w:val="00B969EE"/>
    <w:rsid w:val="00B96A2A"/>
    <w:rsid w:val="00B96ACD"/>
    <w:rsid w:val="00B96B30"/>
    <w:rsid w:val="00B96B79"/>
    <w:rsid w:val="00B96C9F"/>
    <w:rsid w:val="00B96DCE"/>
    <w:rsid w:val="00B96E4E"/>
    <w:rsid w:val="00B96FC6"/>
    <w:rsid w:val="00B9706C"/>
    <w:rsid w:val="00B97099"/>
    <w:rsid w:val="00B970EE"/>
    <w:rsid w:val="00B970FE"/>
    <w:rsid w:val="00B97128"/>
    <w:rsid w:val="00B97205"/>
    <w:rsid w:val="00B97353"/>
    <w:rsid w:val="00B9736C"/>
    <w:rsid w:val="00B97395"/>
    <w:rsid w:val="00B97488"/>
    <w:rsid w:val="00B974B9"/>
    <w:rsid w:val="00B97585"/>
    <w:rsid w:val="00B975F9"/>
    <w:rsid w:val="00B9770E"/>
    <w:rsid w:val="00B9776D"/>
    <w:rsid w:val="00B97830"/>
    <w:rsid w:val="00B97846"/>
    <w:rsid w:val="00B9784B"/>
    <w:rsid w:val="00B9799C"/>
    <w:rsid w:val="00B979D4"/>
    <w:rsid w:val="00B97A4D"/>
    <w:rsid w:val="00B97A8F"/>
    <w:rsid w:val="00B97AFF"/>
    <w:rsid w:val="00B97DE8"/>
    <w:rsid w:val="00B97E34"/>
    <w:rsid w:val="00B97E39"/>
    <w:rsid w:val="00B97F9A"/>
    <w:rsid w:val="00B97F9C"/>
    <w:rsid w:val="00BA0089"/>
    <w:rsid w:val="00BA00D5"/>
    <w:rsid w:val="00BA01D5"/>
    <w:rsid w:val="00BA025F"/>
    <w:rsid w:val="00BA02FB"/>
    <w:rsid w:val="00BA033F"/>
    <w:rsid w:val="00BA034B"/>
    <w:rsid w:val="00BA044B"/>
    <w:rsid w:val="00BA053D"/>
    <w:rsid w:val="00BA054C"/>
    <w:rsid w:val="00BA05AB"/>
    <w:rsid w:val="00BA05F7"/>
    <w:rsid w:val="00BA05FE"/>
    <w:rsid w:val="00BA0688"/>
    <w:rsid w:val="00BA0689"/>
    <w:rsid w:val="00BA0748"/>
    <w:rsid w:val="00BA0794"/>
    <w:rsid w:val="00BA0802"/>
    <w:rsid w:val="00BA08EA"/>
    <w:rsid w:val="00BA096E"/>
    <w:rsid w:val="00BA097B"/>
    <w:rsid w:val="00BA09CC"/>
    <w:rsid w:val="00BA09DA"/>
    <w:rsid w:val="00BA09EE"/>
    <w:rsid w:val="00BA0A60"/>
    <w:rsid w:val="00BA0AE5"/>
    <w:rsid w:val="00BA0B55"/>
    <w:rsid w:val="00BA0BAE"/>
    <w:rsid w:val="00BA0E3C"/>
    <w:rsid w:val="00BA0E7A"/>
    <w:rsid w:val="00BA0F45"/>
    <w:rsid w:val="00BA0F69"/>
    <w:rsid w:val="00BA0FDB"/>
    <w:rsid w:val="00BA1052"/>
    <w:rsid w:val="00BA10DE"/>
    <w:rsid w:val="00BA10DF"/>
    <w:rsid w:val="00BA11EC"/>
    <w:rsid w:val="00BA1298"/>
    <w:rsid w:val="00BA137D"/>
    <w:rsid w:val="00BA1384"/>
    <w:rsid w:val="00BA1394"/>
    <w:rsid w:val="00BA13D4"/>
    <w:rsid w:val="00BA13E3"/>
    <w:rsid w:val="00BA141D"/>
    <w:rsid w:val="00BA14B6"/>
    <w:rsid w:val="00BA14F0"/>
    <w:rsid w:val="00BA14F2"/>
    <w:rsid w:val="00BA151B"/>
    <w:rsid w:val="00BA156B"/>
    <w:rsid w:val="00BA158B"/>
    <w:rsid w:val="00BA182C"/>
    <w:rsid w:val="00BA1833"/>
    <w:rsid w:val="00BA1840"/>
    <w:rsid w:val="00BA1978"/>
    <w:rsid w:val="00BA1988"/>
    <w:rsid w:val="00BA19C0"/>
    <w:rsid w:val="00BA19F6"/>
    <w:rsid w:val="00BA1B85"/>
    <w:rsid w:val="00BA1BD4"/>
    <w:rsid w:val="00BA1BF3"/>
    <w:rsid w:val="00BA1C01"/>
    <w:rsid w:val="00BA1C51"/>
    <w:rsid w:val="00BA1ED3"/>
    <w:rsid w:val="00BA1F0A"/>
    <w:rsid w:val="00BA20CD"/>
    <w:rsid w:val="00BA21C9"/>
    <w:rsid w:val="00BA23E6"/>
    <w:rsid w:val="00BA24D0"/>
    <w:rsid w:val="00BA24D9"/>
    <w:rsid w:val="00BA2540"/>
    <w:rsid w:val="00BA2556"/>
    <w:rsid w:val="00BA2569"/>
    <w:rsid w:val="00BA25F4"/>
    <w:rsid w:val="00BA2664"/>
    <w:rsid w:val="00BA26F4"/>
    <w:rsid w:val="00BA26FB"/>
    <w:rsid w:val="00BA2780"/>
    <w:rsid w:val="00BA27C8"/>
    <w:rsid w:val="00BA27E6"/>
    <w:rsid w:val="00BA2867"/>
    <w:rsid w:val="00BA28A2"/>
    <w:rsid w:val="00BA28B2"/>
    <w:rsid w:val="00BA28EB"/>
    <w:rsid w:val="00BA2973"/>
    <w:rsid w:val="00BA29C9"/>
    <w:rsid w:val="00BA2A85"/>
    <w:rsid w:val="00BA2AD4"/>
    <w:rsid w:val="00BA2AE8"/>
    <w:rsid w:val="00BA2B26"/>
    <w:rsid w:val="00BA2B3D"/>
    <w:rsid w:val="00BA2B3E"/>
    <w:rsid w:val="00BA2B71"/>
    <w:rsid w:val="00BA2BA2"/>
    <w:rsid w:val="00BA2BE6"/>
    <w:rsid w:val="00BA2C2A"/>
    <w:rsid w:val="00BA2C32"/>
    <w:rsid w:val="00BA2C77"/>
    <w:rsid w:val="00BA2CCC"/>
    <w:rsid w:val="00BA2D4A"/>
    <w:rsid w:val="00BA2DB3"/>
    <w:rsid w:val="00BA2DD7"/>
    <w:rsid w:val="00BA2E74"/>
    <w:rsid w:val="00BA2F13"/>
    <w:rsid w:val="00BA2F49"/>
    <w:rsid w:val="00BA3075"/>
    <w:rsid w:val="00BA3094"/>
    <w:rsid w:val="00BA30B0"/>
    <w:rsid w:val="00BA311C"/>
    <w:rsid w:val="00BA31BF"/>
    <w:rsid w:val="00BA32FE"/>
    <w:rsid w:val="00BA333D"/>
    <w:rsid w:val="00BA345C"/>
    <w:rsid w:val="00BA34B0"/>
    <w:rsid w:val="00BA372D"/>
    <w:rsid w:val="00BA3826"/>
    <w:rsid w:val="00BA3A48"/>
    <w:rsid w:val="00BA3B93"/>
    <w:rsid w:val="00BA3BA1"/>
    <w:rsid w:val="00BA3E5E"/>
    <w:rsid w:val="00BA3ED2"/>
    <w:rsid w:val="00BA4411"/>
    <w:rsid w:val="00BA4622"/>
    <w:rsid w:val="00BA4648"/>
    <w:rsid w:val="00BA4679"/>
    <w:rsid w:val="00BA467D"/>
    <w:rsid w:val="00BA473A"/>
    <w:rsid w:val="00BA4779"/>
    <w:rsid w:val="00BA49D1"/>
    <w:rsid w:val="00BA4A03"/>
    <w:rsid w:val="00BA4A31"/>
    <w:rsid w:val="00BA4A99"/>
    <w:rsid w:val="00BA4B52"/>
    <w:rsid w:val="00BA4C07"/>
    <w:rsid w:val="00BA4DE7"/>
    <w:rsid w:val="00BA4E3E"/>
    <w:rsid w:val="00BA4FE6"/>
    <w:rsid w:val="00BA4FFA"/>
    <w:rsid w:val="00BA5087"/>
    <w:rsid w:val="00BA52A8"/>
    <w:rsid w:val="00BA52BA"/>
    <w:rsid w:val="00BA52E4"/>
    <w:rsid w:val="00BA533E"/>
    <w:rsid w:val="00BA535B"/>
    <w:rsid w:val="00BA5372"/>
    <w:rsid w:val="00BA541F"/>
    <w:rsid w:val="00BA5472"/>
    <w:rsid w:val="00BA5483"/>
    <w:rsid w:val="00BA54EE"/>
    <w:rsid w:val="00BA54F9"/>
    <w:rsid w:val="00BA5502"/>
    <w:rsid w:val="00BA55FE"/>
    <w:rsid w:val="00BA56AF"/>
    <w:rsid w:val="00BA57C0"/>
    <w:rsid w:val="00BA58F4"/>
    <w:rsid w:val="00BA5A26"/>
    <w:rsid w:val="00BA5A63"/>
    <w:rsid w:val="00BA5AD1"/>
    <w:rsid w:val="00BA5B1C"/>
    <w:rsid w:val="00BA5CD9"/>
    <w:rsid w:val="00BA5D68"/>
    <w:rsid w:val="00BA5EBB"/>
    <w:rsid w:val="00BA5ED9"/>
    <w:rsid w:val="00BA5F9B"/>
    <w:rsid w:val="00BA6080"/>
    <w:rsid w:val="00BA611E"/>
    <w:rsid w:val="00BA6162"/>
    <w:rsid w:val="00BA62C4"/>
    <w:rsid w:val="00BA6315"/>
    <w:rsid w:val="00BA63DB"/>
    <w:rsid w:val="00BA644B"/>
    <w:rsid w:val="00BA6493"/>
    <w:rsid w:val="00BA651D"/>
    <w:rsid w:val="00BA6712"/>
    <w:rsid w:val="00BA6755"/>
    <w:rsid w:val="00BA67AC"/>
    <w:rsid w:val="00BA685E"/>
    <w:rsid w:val="00BA6879"/>
    <w:rsid w:val="00BA68A2"/>
    <w:rsid w:val="00BA6979"/>
    <w:rsid w:val="00BA6A4C"/>
    <w:rsid w:val="00BA6C26"/>
    <w:rsid w:val="00BA6C38"/>
    <w:rsid w:val="00BA6C3C"/>
    <w:rsid w:val="00BA6CE1"/>
    <w:rsid w:val="00BA6DA7"/>
    <w:rsid w:val="00BA6DA9"/>
    <w:rsid w:val="00BA6DF1"/>
    <w:rsid w:val="00BA6E8B"/>
    <w:rsid w:val="00BA6E9E"/>
    <w:rsid w:val="00BA6EA2"/>
    <w:rsid w:val="00BA6F32"/>
    <w:rsid w:val="00BA6F53"/>
    <w:rsid w:val="00BA6F8A"/>
    <w:rsid w:val="00BA6FE0"/>
    <w:rsid w:val="00BA7027"/>
    <w:rsid w:val="00BA7030"/>
    <w:rsid w:val="00BA70BA"/>
    <w:rsid w:val="00BA73A0"/>
    <w:rsid w:val="00BA73D0"/>
    <w:rsid w:val="00BA741F"/>
    <w:rsid w:val="00BA7447"/>
    <w:rsid w:val="00BA74F5"/>
    <w:rsid w:val="00BA7529"/>
    <w:rsid w:val="00BA756C"/>
    <w:rsid w:val="00BA759A"/>
    <w:rsid w:val="00BA75B3"/>
    <w:rsid w:val="00BA75E8"/>
    <w:rsid w:val="00BA7729"/>
    <w:rsid w:val="00BA789F"/>
    <w:rsid w:val="00BA7920"/>
    <w:rsid w:val="00BA7932"/>
    <w:rsid w:val="00BA79F0"/>
    <w:rsid w:val="00BA7A5C"/>
    <w:rsid w:val="00BA7AEF"/>
    <w:rsid w:val="00BA7B24"/>
    <w:rsid w:val="00BA7B28"/>
    <w:rsid w:val="00BA7B31"/>
    <w:rsid w:val="00BA7B98"/>
    <w:rsid w:val="00BA7CFF"/>
    <w:rsid w:val="00BA7E70"/>
    <w:rsid w:val="00BA7E9B"/>
    <w:rsid w:val="00BA7F81"/>
    <w:rsid w:val="00BB0086"/>
    <w:rsid w:val="00BB0148"/>
    <w:rsid w:val="00BB0246"/>
    <w:rsid w:val="00BB0394"/>
    <w:rsid w:val="00BB0427"/>
    <w:rsid w:val="00BB04C8"/>
    <w:rsid w:val="00BB0536"/>
    <w:rsid w:val="00BB0548"/>
    <w:rsid w:val="00BB055C"/>
    <w:rsid w:val="00BB0580"/>
    <w:rsid w:val="00BB0594"/>
    <w:rsid w:val="00BB063D"/>
    <w:rsid w:val="00BB071B"/>
    <w:rsid w:val="00BB0721"/>
    <w:rsid w:val="00BB07DA"/>
    <w:rsid w:val="00BB08D7"/>
    <w:rsid w:val="00BB08E4"/>
    <w:rsid w:val="00BB09D9"/>
    <w:rsid w:val="00BB0A06"/>
    <w:rsid w:val="00BB0A62"/>
    <w:rsid w:val="00BB0A7C"/>
    <w:rsid w:val="00BB0AF8"/>
    <w:rsid w:val="00BB0AFC"/>
    <w:rsid w:val="00BB0B3B"/>
    <w:rsid w:val="00BB0B6F"/>
    <w:rsid w:val="00BB0BE7"/>
    <w:rsid w:val="00BB0C46"/>
    <w:rsid w:val="00BB0C4E"/>
    <w:rsid w:val="00BB0CEE"/>
    <w:rsid w:val="00BB0CFC"/>
    <w:rsid w:val="00BB0D2C"/>
    <w:rsid w:val="00BB0D94"/>
    <w:rsid w:val="00BB0DCE"/>
    <w:rsid w:val="00BB0E3B"/>
    <w:rsid w:val="00BB0EA2"/>
    <w:rsid w:val="00BB0ED9"/>
    <w:rsid w:val="00BB0EEF"/>
    <w:rsid w:val="00BB0F62"/>
    <w:rsid w:val="00BB0FC6"/>
    <w:rsid w:val="00BB1035"/>
    <w:rsid w:val="00BB11CF"/>
    <w:rsid w:val="00BB121B"/>
    <w:rsid w:val="00BB1253"/>
    <w:rsid w:val="00BB139F"/>
    <w:rsid w:val="00BB13A9"/>
    <w:rsid w:val="00BB13C2"/>
    <w:rsid w:val="00BB160A"/>
    <w:rsid w:val="00BB1678"/>
    <w:rsid w:val="00BB16A3"/>
    <w:rsid w:val="00BB1738"/>
    <w:rsid w:val="00BB184C"/>
    <w:rsid w:val="00BB196B"/>
    <w:rsid w:val="00BB198C"/>
    <w:rsid w:val="00BB19D4"/>
    <w:rsid w:val="00BB1B38"/>
    <w:rsid w:val="00BB1BFF"/>
    <w:rsid w:val="00BB1D8C"/>
    <w:rsid w:val="00BB1E63"/>
    <w:rsid w:val="00BB1EC7"/>
    <w:rsid w:val="00BB1F17"/>
    <w:rsid w:val="00BB1F47"/>
    <w:rsid w:val="00BB1F4B"/>
    <w:rsid w:val="00BB1FDC"/>
    <w:rsid w:val="00BB2019"/>
    <w:rsid w:val="00BB203A"/>
    <w:rsid w:val="00BB20A6"/>
    <w:rsid w:val="00BB210A"/>
    <w:rsid w:val="00BB2166"/>
    <w:rsid w:val="00BB2209"/>
    <w:rsid w:val="00BB238F"/>
    <w:rsid w:val="00BB23A3"/>
    <w:rsid w:val="00BB2424"/>
    <w:rsid w:val="00BB2444"/>
    <w:rsid w:val="00BB2448"/>
    <w:rsid w:val="00BB2461"/>
    <w:rsid w:val="00BB2491"/>
    <w:rsid w:val="00BB2494"/>
    <w:rsid w:val="00BB2588"/>
    <w:rsid w:val="00BB2660"/>
    <w:rsid w:val="00BB2670"/>
    <w:rsid w:val="00BB2739"/>
    <w:rsid w:val="00BB2743"/>
    <w:rsid w:val="00BB27AE"/>
    <w:rsid w:val="00BB2851"/>
    <w:rsid w:val="00BB2AD8"/>
    <w:rsid w:val="00BB2B72"/>
    <w:rsid w:val="00BB2CFF"/>
    <w:rsid w:val="00BB2D46"/>
    <w:rsid w:val="00BB2DD2"/>
    <w:rsid w:val="00BB2E2C"/>
    <w:rsid w:val="00BB2E7B"/>
    <w:rsid w:val="00BB2E89"/>
    <w:rsid w:val="00BB2F37"/>
    <w:rsid w:val="00BB2F82"/>
    <w:rsid w:val="00BB2FE4"/>
    <w:rsid w:val="00BB304F"/>
    <w:rsid w:val="00BB3123"/>
    <w:rsid w:val="00BB3127"/>
    <w:rsid w:val="00BB3341"/>
    <w:rsid w:val="00BB334F"/>
    <w:rsid w:val="00BB3365"/>
    <w:rsid w:val="00BB3375"/>
    <w:rsid w:val="00BB33A0"/>
    <w:rsid w:val="00BB33C8"/>
    <w:rsid w:val="00BB342E"/>
    <w:rsid w:val="00BB355B"/>
    <w:rsid w:val="00BB35A5"/>
    <w:rsid w:val="00BB35BD"/>
    <w:rsid w:val="00BB3622"/>
    <w:rsid w:val="00BB3639"/>
    <w:rsid w:val="00BB3713"/>
    <w:rsid w:val="00BB37BC"/>
    <w:rsid w:val="00BB3801"/>
    <w:rsid w:val="00BB3802"/>
    <w:rsid w:val="00BB3811"/>
    <w:rsid w:val="00BB3822"/>
    <w:rsid w:val="00BB396B"/>
    <w:rsid w:val="00BB3997"/>
    <w:rsid w:val="00BB39BC"/>
    <w:rsid w:val="00BB3A44"/>
    <w:rsid w:val="00BB3A5B"/>
    <w:rsid w:val="00BB3AB6"/>
    <w:rsid w:val="00BB3AB8"/>
    <w:rsid w:val="00BB3B12"/>
    <w:rsid w:val="00BB3B14"/>
    <w:rsid w:val="00BB3BAE"/>
    <w:rsid w:val="00BB3CAB"/>
    <w:rsid w:val="00BB3DC3"/>
    <w:rsid w:val="00BB3E08"/>
    <w:rsid w:val="00BB3E47"/>
    <w:rsid w:val="00BB3FA1"/>
    <w:rsid w:val="00BB4007"/>
    <w:rsid w:val="00BB40D3"/>
    <w:rsid w:val="00BB4100"/>
    <w:rsid w:val="00BB41CA"/>
    <w:rsid w:val="00BB4247"/>
    <w:rsid w:val="00BB4251"/>
    <w:rsid w:val="00BB4289"/>
    <w:rsid w:val="00BB436A"/>
    <w:rsid w:val="00BB4451"/>
    <w:rsid w:val="00BB4486"/>
    <w:rsid w:val="00BB44A7"/>
    <w:rsid w:val="00BB44D9"/>
    <w:rsid w:val="00BB45ED"/>
    <w:rsid w:val="00BB4669"/>
    <w:rsid w:val="00BB4A07"/>
    <w:rsid w:val="00BB4A89"/>
    <w:rsid w:val="00BB4AF7"/>
    <w:rsid w:val="00BB4B69"/>
    <w:rsid w:val="00BB4C7E"/>
    <w:rsid w:val="00BB4CA1"/>
    <w:rsid w:val="00BB4CC7"/>
    <w:rsid w:val="00BB4DE5"/>
    <w:rsid w:val="00BB4E25"/>
    <w:rsid w:val="00BB4EC3"/>
    <w:rsid w:val="00BB4F2D"/>
    <w:rsid w:val="00BB4F59"/>
    <w:rsid w:val="00BB5050"/>
    <w:rsid w:val="00BB509C"/>
    <w:rsid w:val="00BB50E3"/>
    <w:rsid w:val="00BB51A4"/>
    <w:rsid w:val="00BB51A9"/>
    <w:rsid w:val="00BB5201"/>
    <w:rsid w:val="00BB5222"/>
    <w:rsid w:val="00BB5232"/>
    <w:rsid w:val="00BB526F"/>
    <w:rsid w:val="00BB5480"/>
    <w:rsid w:val="00BB54B8"/>
    <w:rsid w:val="00BB54FD"/>
    <w:rsid w:val="00BB5594"/>
    <w:rsid w:val="00BB55D5"/>
    <w:rsid w:val="00BB55EC"/>
    <w:rsid w:val="00BB5618"/>
    <w:rsid w:val="00BB566C"/>
    <w:rsid w:val="00BB59E7"/>
    <w:rsid w:val="00BB5A9C"/>
    <w:rsid w:val="00BB5AA6"/>
    <w:rsid w:val="00BB5B19"/>
    <w:rsid w:val="00BB5C91"/>
    <w:rsid w:val="00BB5D24"/>
    <w:rsid w:val="00BB5D73"/>
    <w:rsid w:val="00BB5DBD"/>
    <w:rsid w:val="00BB5EE4"/>
    <w:rsid w:val="00BB602D"/>
    <w:rsid w:val="00BB6180"/>
    <w:rsid w:val="00BB61D1"/>
    <w:rsid w:val="00BB62B4"/>
    <w:rsid w:val="00BB6300"/>
    <w:rsid w:val="00BB639C"/>
    <w:rsid w:val="00BB64B9"/>
    <w:rsid w:val="00BB65D7"/>
    <w:rsid w:val="00BB663F"/>
    <w:rsid w:val="00BB6681"/>
    <w:rsid w:val="00BB6686"/>
    <w:rsid w:val="00BB676D"/>
    <w:rsid w:val="00BB678B"/>
    <w:rsid w:val="00BB67A4"/>
    <w:rsid w:val="00BB6A19"/>
    <w:rsid w:val="00BB6A62"/>
    <w:rsid w:val="00BB6ACC"/>
    <w:rsid w:val="00BB6B56"/>
    <w:rsid w:val="00BB6CF2"/>
    <w:rsid w:val="00BB6D89"/>
    <w:rsid w:val="00BB6DFA"/>
    <w:rsid w:val="00BB6E8F"/>
    <w:rsid w:val="00BB6E99"/>
    <w:rsid w:val="00BB6EE0"/>
    <w:rsid w:val="00BB6F0B"/>
    <w:rsid w:val="00BB6F29"/>
    <w:rsid w:val="00BB6FFF"/>
    <w:rsid w:val="00BB70C8"/>
    <w:rsid w:val="00BB719D"/>
    <w:rsid w:val="00BB71A1"/>
    <w:rsid w:val="00BB71C6"/>
    <w:rsid w:val="00BB7212"/>
    <w:rsid w:val="00BB727D"/>
    <w:rsid w:val="00BB7315"/>
    <w:rsid w:val="00BB73E6"/>
    <w:rsid w:val="00BB73E8"/>
    <w:rsid w:val="00BB73F4"/>
    <w:rsid w:val="00BB7441"/>
    <w:rsid w:val="00BB7632"/>
    <w:rsid w:val="00BB7653"/>
    <w:rsid w:val="00BB76F6"/>
    <w:rsid w:val="00BB77D7"/>
    <w:rsid w:val="00BB7859"/>
    <w:rsid w:val="00BB797F"/>
    <w:rsid w:val="00BB79B9"/>
    <w:rsid w:val="00BB79DD"/>
    <w:rsid w:val="00BB7A11"/>
    <w:rsid w:val="00BB7A4B"/>
    <w:rsid w:val="00BB7A87"/>
    <w:rsid w:val="00BB7B3D"/>
    <w:rsid w:val="00BB7B7F"/>
    <w:rsid w:val="00BB7BC7"/>
    <w:rsid w:val="00BB7C32"/>
    <w:rsid w:val="00BB7C68"/>
    <w:rsid w:val="00BB7CA9"/>
    <w:rsid w:val="00BB7D14"/>
    <w:rsid w:val="00BB7E24"/>
    <w:rsid w:val="00BB7F53"/>
    <w:rsid w:val="00BB7F56"/>
    <w:rsid w:val="00BC000A"/>
    <w:rsid w:val="00BC00FA"/>
    <w:rsid w:val="00BC0104"/>
    <w:rsid w:val="00BC01CF"/>
    <w:rsid w:val="00BC0271"/>
    <w:rsid w:val="00BC02AB"/>
    <w:rsid w:val="00BC036C"/>
    <w:rsid w:val="00BC03A8"/>
    <w:rsid w:val="00BC03BA"/>
    <w:rsid w:val="00BC03BF"/>
    <w:rsid w:val="00BC0407"/>
    <w:rsid w:val="00BC04D4"/>
    <w:rsid w:val="00BC0529"/>
    <w:rsid w:val="00BC063A"/>
    <w:rsid w:val="00BC0668"/>
    <w:rsid w:val="00BC0775"/>
    <w:rsid w:val="00BC0799"/>
    <w:rsid w:val="00BC07B9"/>
    <w:rsid w:val="00BC07EB"/>
    <w:rsid w:val="00BC092B"/>
    <w:rsid w:val="00BC09A9"/>
    <w:rsid w:val="00BC09EC"/>
    <w:rsid w:val="00BC0A37"/>
    <w:rsid w:val="00BC0A50"/>
    <w:rsid w:val="00BC0A6D"/>
    <w:rsid w:val="00BC0B1B"/>
    <w:rsid w:val="00BC0B53"/>
    <w:rsid w:val="00BC0C91"/>
    <w:rsid w:val="00BC0C93"/>
    <w:rsid w:val="00BC0CDB"/>
    <w:rsid w:val="00BC0D33"/>
    <w:rsid w:val="00BC0DF6"/>
    <w:rsid w:val="00BC0E10"/>
    <w:rsid w:val="00BC0E32"/>
    <w:rsid w:val="00BC0E3F"/>
    <w:rsid w:val="00BC0E90"/>
    <w:rsid w:val="00BC0EAE"/>
    <w:rsid w:val="00BC0FA6"/>
    <w:rsid w:val="00BC0FD4"/>
    <w:rsid w:val="00BC103D"/>
    <w:rsid w:val="00BC10F6"/>
    <w:rsid w:val="00BC11A6"/>
    <w:rsid w:val="00BC11F6"/>
    <w:rsid w:val="00BC139D"/>
    <w:rsid w:val="00BC1413"/>
    <w:rsid w:val="00BC1442"/>
    <w:rsid w:val="00BC1449"/>
    <w:rsid w:val="00BC1459"/>
    <w:rsid w:val="00BC1475"/>
    <w:rsid w:val="00BC15B7"/>
    <w:rsid w:val="00BC1612"/>
    <w:rsid w:val="00BC1689"/>
    <w:rsid w:val="00BC16C6"/>
    <w:rsid w:val="00BC17F1"/>
    <w:rsid w:val="00BC1824"/>
    <w:rsid w:val="00BC1872"/>
    <w:rsid w:val="00BC18D2"/>
    <w:rsid w:val="00BC1A83"/>
    <w:rsid w:val="00BC1AC0"/>
    <w:rsid w:val="00BC1AD4"/>
    <w:rsid w:val="00BC1B2F"/>
    <w:rsid w:val="00BC1B43"/>
    <w:rsid w:val="00BC1B5C"/>
    <w:rsid w:val="00BC1BC0"/>
    <w:rsid w:val="00BC1C08"/>
    <w:rsid w:val="00BC1C0C"/>
    <w:rsid w:val="00BC1C52"/>
    <w:rsid w:val="00BC1C63"/>
    <w:rsid w:val="00BC1C8D"/>
    <w:rsid w:val="00BC1CF8"/>
    <w:rsid w:val="00BC1D14"/>
    <w:rsid w:val="00BC1DC3"/>
    <w:rsid w:val="00BC1E4C"/>
    <w:rsid w:val="00BC1ED2"/>
    <w:rsid w:val="00BC1F02"/>
    <w:rsid w:val="00BC1F06"/>
    <w:rsid w:val="00BC1F52"/>
    <w:rsid w:val="00BC218D"/>
    <w:rsid w:val="00BC219F"/>
    <w:rsid w:val="00BC21BB"/>
    <w:rsid w:val="00BC21E8"/>
    <w:rsid w:val="00BC2209"/>
    <w:rsid w:val="00BC2221"/>
    <w:rsid w:val="00BC2236"/>
    <w:rsid w:val="00BC2242"/>
    <w:rsid w:val="00BC22FE"/>
    <w:rsid w:val="00BC234E"/>
    <w:rsid w:val="00BC23C6"/>
    <w:rsid w:val="00BC23F2"/>
    <w:rsid w:val="00BC252A"/>
    <w:rsid w:val="00BC25F6"/>
    <w:rsid w:val="00BC2795"/>
    <w:rsid w:val="00BC27B7"/>
    <w:rsid w:val="00BC287F"/>
    <w:rsid w:val="00BC293D"/>
    <w:rsid w:val="00BC2975"/>
    <w:rsid w:val="00BC2A11"/>
    <w:rsid w:val="00BC2A97"/>
    <w:rsid w:val="00BC2AF9"/>
    <w:rsid w:val="00BC2B24"/>
    <w:rsid w:val="00BC2B73"/>
    <w:rsid w:val="00BC2CD3"/>
    <w:rsid w:val="00BC2CE9"/>
    <w:rsid w:val="00BC2D9A"/>
    <w:rsid w:val="00BC2D9F"/>
    <w:rsid w:val="00BC2EF6"/>
    <w:rsid w:val="00BC307D"/>
    <w:rsid w:val="00BC31B5"/>
    <w:rsid w:val="00BC323D"/>
    <w:rsid w:val="00BC34DB"/>
    <w:rsid w:val="00BC3506"/>
    <w:rsid w:val="00BC3594"/>
    <w:rsid w:val="00BC35B3"/>
    <w:rsid w:val="00BC367B"/>
    <w:rsid w:val="00BC36B3"/>
    <w:rsid w:val="00BC36E9"/>
    <w:rsid w:val="00BC3976"/>
    <w:rsid w:val="00BC3999"/>
    <w:rsid w:val="00BC39A8"/>
    <w:rsid w:val="00BC39AB"/>
    <w:rsid w:val="00BC3A19"/>
    <w:rsid w:val="00BC3AA5"/>
    <w:rsid w:val="00BC3B2F"/>
    <w:rsid w:val="00BC3B75"/>
    <w:rsid w:val="00BC3B7B"/>
    <w:rsid w:val="00BC3B86"/>
    <w:rsid w:val="00BC3B95"/>
    <w:rsid w:val="00BC3D81"/>
    <w:rsid w:val="00BC3DAB"/>
    <w:rsid w:val="00BC3E10"/>
    <w:rsid w:val="00BC3E39"/>
    <w:rsid w:val="00BC3E81"/>
    <w:rsid w:val="00BC3EAD"/>
    <w:rsid w:val="00BC3EF2"/>
    <w:rsid w:val="00BC3F3C"/>
    <w:rsid w:val="00BC4190"/>
    <w:rsid w:val="00BC41AB"/>
    <w:rsid w:val="00BC425D"/>
    <w:rsid w:val="00BC434D"/>
    <w:rsid w:val="00BC43D6"/>
    <w:rsid w:val="00BC4407"/>
    <w:rsid w:val="00BC444E"/>
    <w:rsid w:val="00BC4521"/>
    <w:rsid w:val="00BC4559"/>
    <w:rsid w:val="00BC4567"/>
    <w:rsid w:val="00BC45E4"/>
    <w:rsid w:val="00BC473D"/>
    <w:rsid w:val="00BC47C4"/>
    <w:rsid w:val="00BC4800"/>
    <w:rsid w:val="00BC49BB"/>
    <w:rsid w:val="00BC4A6A"/>
    <w:rsid w:val="00BC4B09"/>
    <w:rsid w:val="00BC4B22"/>
    <w:rsid w:val="00BC4B52"/>
    <w:rsid w:val="00BC4BE2"/>
    <w:rsid w:val="00BC4D8C"/>
    <w:rsid w:val="00BC4DCE"/>
    <w:rsid w:val="00BC4E1E"/>
    <w:rsid w:val="00BC4EE1"/>
    <w:rsid w:val="00BC4FB2"/>
    <w:rsid w:val="00BC4FC7"/>
    <w:rsid w:val="00BC508B"/>
    <w:rsid w:val="00BC5090"/>
    <w:rsid w:val="00BC5100"/>
    <w:rsid w:val="00BC511D"/>
    <w:rsid w:val="00BC519A"/>
    <w:rsid w:val="00BC5464"/>
    <w:rsid w:val="00BC5532"/>
    <w:rsid w:val="00BC5538"/>
    <w:rsid w:val="00BC559D"/>
    <w:rsid w:val="00BC55B4"/>
    <w:rsid w:val="00BC55D8"/>
    <w:rsid w:val="00BC567F"/>
    <w:rsid w:val="00BC57AA"/>
    <w:rsid w:val="00BC57DB"/>
    <w:rsid w:val="00BC5888"/>
    <w:rsid w:val="00BC58A3"/>
    <w:rsid w:val="00BC58BB"/>
    <w:rsid w:val="00BC58F5"/>
    <w:rsid w:val="00BC58FD"/>
    <w:rsid w:val="00BC5B9A"/>
    <w:rsid w:val="00BC5CED"/>
    <w:rsid w:val="00BC5DBA"/>
    <w:rsid w:val="00BC5DF2"/>
    <w:rsid w:val="00BC5DF5"/>
    <w:rsid w:val="00BC5E66"/>
    <w:rsid w:val="00BC5EBA"/>
    <w:rsid w:val="00BC5F05"/>
    <w:rsid w:val="00BC5F0E"/>
    <w:rsid w:val="00BC5F4E"/>
    <w:rsid w:val="00BC608E"/>
    <w:rsid w:val="00BC6119"/>
    <w:rsid w:val="00BC6308"/>
    <w:rsid w:val="00BC637A"/>
    <w:rsid w:val="00BC63FF"/>
    <w:rsid w:val="00BC6418"/>
    <w:rsid w:val="00BC64A2"/>
    <w:rsid w:val="00BC6607"/>
    <w:rsid w:val="00BC6630"/>
    <w:rsid w:val="00BC6650"/>
    <w:rsid w:val="00BC6683"/>
    <w:rsid w:val="00BC670A"/>
    <w:rsid w:val="00BC6728"/>
    <w:rsid w:val="00BC681C"/>
    <w:rsid w:val="00BC68CD"/>
    <w:rsid w:val="00BC6964"/>
    <w:rsid w:val="00BC69A3"/>
    <w:rsid w:val="00BC69AF"/>
    <w:rsid w:val="00BC69E3"/>
    <w:rsid w:val="00BC6A81"/>
    <w:rsid w:val="00BC6A8A"/>
    <w:rsid w:val="00BC6B4D"/>
    <w:rsid w:val="00BC6CCA"/>
    <w:rsid w:val="00BC6D39"/>
    <w:rsid w:val="00BC6D4A"/>
    <w:rsid w:val="00BC6E44"/>
    <w:rsid w:val="00BC6E7E"/>
    <w:rsid w:val="00BC6E83"/>
    <w:rsid w:val="00BC6E98"/>
    <w:rsid w:val="00BC6EDB"/>
    <w:rsid w:val="00BC6F40"/>
    <w:rsid w:val="00BC6F68"/>
    <w:rsid w:val="00BC6FBA"/>
    <w:rsid w:val="00BC6FD2"/>
    <w:rsid w:val="00BC700B"/>
    <w:rsid w:val="00BC70CB"/>
    <w:rsid w:val="00BC70E9"/>
    <w:rsid w:val="00BC71BA"/>
    <w:rsid w:val="00BC71CC"/>
    <w:rsid w:val="00BC71D4"/>
    <w:rsid w:val="00BC739A"/>
    <w:rsid w:val="00BC7427"/>
    <w:rsid w:val="00BC7592"/>
    <w:rsid w:val="00BC75B3"/>
    <w:rsid w:val="00BC76CF"/>
    <w:rsid w:val="00BC7783"/>
    <w:rsid w:val="00BC7848"/>
    <w:rsid w:val="00BC7889"/>
    <w:rsid w:val="00BC78F6"/>
    <w:rsid w:val="00BC790E"/>
    <w:rsid w:val="00BC7946"/>
    <w:rsid w:val="00BC79E8"/>
    <w:rsid w:val="00BC79EB"/>
    <w:rsid w:val="00BC7A31"/>
    <w:rsid w:val="00BC7AE8"/>
    <w:rsid w:val="00BC7B93"/>
    <w:rsid w:val="00BC7C0A"/>
    <w:rsid w:val="00BC7C1C"/>
    <w:rsid w:val="00BC7D49"/>
    <w:rsid w:val="00BC7D88"/>
    <w:rsid w:val="00BC7DA5"/>
    <w:rsid w:val="00BC7DB2"/>
    <w:rsid w:val="00BC7F28"/>
    <w:rsid w:val="00BC7F80"/>
    <w:rsid w:val="00BC7FD2"/>
    <w:rsid w:val="00BD0007"/>
    <w:rsid w:val="00BD00B0"/>
    <w:rsid w:val="00BD0168"/>
    <w:rsid w:val="00BD01B6"/>
    <w:rsid w:val="00BD0241"/>
    <w:rsid w:val="00BD0284"/>
    <w:rsid w:val="00BD02B9"/>
    <w:rsid w:val="00BD0330"/>
    <w:rsid w:val="00BD035F"/>
    <w:rsid w:val="00BD03E4"/>
    <w:rsid w:val="00BD043D"/>
    <w:rsid w:val="00BD0506"/>
    <w:rsid w:val="00BD0593"/>
    <w:rsid w:val="00BD05A3"/>
    <w:rsid w:val="00BD0629"/>
    <w:rsid w:val="00BD0772"/>
    <w:rsid w:val="00BD0842"/>
    <w:rsid w:val="00BD0866"/>
    <w:rsid w:val="00BD0874"/>
    <w:rsid w:val="00BD08E9"/>
    <w:rsid w:val="00BD0913"/>
    <w:rsid w:val="00BD0969"/>
    <w:rsid w:val="00BD09CE"/>
    <w:rsid w:val="00BD0A1F"/>
    <w:rsid w:val="00BD0A44"/>
    <w:rsid w:val="00BD0A84"/>
    <w:rsid w:val="00BD0B24"/>
    <w:rsid w:val="00BD0E66"/>
    <w:rsid w:val="00BD0E8D"/>
    <w:rsid w:val="00BD0EEB"/>
    <w:rsid w:val="00BD0F21"/>
    <w:rsid w:val="00BD0FD2"/>
    <w:rsid w:val="00BD10A7"/>
    <w:rsid w:val="00BD10B3"/>
    <w:rsid w:val="00BD1190"/>
    <w:rsid w:val="00BD11AA"/>
    <w:rsid w:val="00BD11E8"/>
    <w:rsid w:val="00BD1296"/>
    <w:rsid w:val="00BD136F"/>
    <w:rsid w:val="00BD13E0"/>
    <w:rsid w:val="00BD1487"/>
    <w:rsid w:val="00BD14A2"/>
    <w:rsid w:val="00BD14C8"/>
    <w:rsid w:val="00BD1670"/>
    <w:rsid w:val="00BD168B"/>
    <w:rsid w:val="00BD16F8"/>
    <w:rsid w:val="00BD172D"/>
    <w:rsid w:val="00BD178B"/>
    <w:rsid w:val="00BD18FD"/>
    <w:rsid w:val="00BD1934"/>
    <w:rsid w:val="00BD19A8"/>
    <w:rsid w:val="00BD19AC"/>
    <w:rsid w:val="00BD1A20"/>
    <w:rsid w:val="00BD1AF1"/>
    <w:rsid w:val="00BD1BB8"/>
    <w:rsid w:val="00BD1C45"/>
    <w:rsid w:val="00BD1CCA"/>
    <w:rsid w:val="00BD1CE6"/>
    <w:rsid w:val="00BD1D08"/>
    <w:rsid w:val="00BD1D87"/>
    <w:rsid w:val="00BD1D8C"/>
    <w:rsid w:val="00BD1D9E"/>
    <w:rsid w:val="00BD1DDA"/>
    <w:rsid w:val="00BD1E14"/>
    <w:rsid w:val="00BD1E1C"/>
    <w:rsid w:val="00BD1F5D"/>
    <w:rsid w:val="00BD1F76"/>
    <w:rsid w:val="00BD1FD9"/>
    <w:rsid w:val="00BD2022"/>
    <w:rsid w:val="00BD2055"/>
    <w:rsid w:val="00BD20EA"/>
    <w:rsid w:val="00BD2309"/>
    <w:rsid w:val="00BD2316"/>
    <w:rsid w:val="00BD2367"/>
    <w:rsid w:val="00BD2369"/>
    <w:rsid w:val="00BD2386"/>
    <w:rsid w:val="00BD23F1"/>
    <w:rsid w:val="00BD25C3"/>
    <w:rsid w:val="00BD2623"/>
    <w:rsid w:val="00BD2667"/>
    <w:rsid w:val="00BD2705"/>
    <w:rsid w:val="00BD275A"/>
    <w:rsid w:val="00BD27CF"/>
    <w:rsid w:val="00BD2885"/>
    <w:rsid w:val="00BD2887"/>
    <w:rsid w:val="00BD289E"/>
    <w:rsid w:val="00BD28B1"/>
    <w:rsid w:val="00BD28F0"/>
    <w:rsid w:val="00BD290E"/>
    <w:rsid w:val="00BD2A7F"/>
    <w:rsid w:val="00BD2B45"/>
    <w:rsid w:val="00BD2B84"/>
    <w:rsid w:val="00BD2C35"/>
    <w:rsid w:val="00BD2D27"/>
    <w:rsid w:val="00BD2D4E"/>
    <w:rsid w:val="00BD2DDE"/>
    <w:rsid w:val="00BD2E2E"/>
    <w:rsid w:val="00BD2E89"/>
    <w:rsid w:val="00BD2F1A"/>
    <w:rsid w:val="00BD2F71"/>
    <w:rsid w:val="00BD2FE4"/>
    <w:rsid w:val="00BD3075"/>
    <w:rsid w:val="00BD30E7"/>
    <w:rsid w:val="00BD30ED"/>
    <w:rsid w:val="00BD312D"/>
    <w:rsid w:val="00BD314E"/>
    <w:rsid w:val="00BD314F"/>
    <w:rsid w:val="00BD31C3"/>
    <w:rsid w:val="00BD333D"/>
    <w:rsid w:val="00BD339A"/>
    <w:rsid w:val="00BD35DF"/>
    <w:rsid w:val="00BD3670"/>
    <w:rsid w:val="00BD36E5"/>
    <w:rsid w:val="00BD3714"/>
    <w:rsid w:val="00BD3795"/>
    <w:rsid w:val="00BD3867"/>
    <w:rsid w:val="00BD386A"/>
    <w:rsid w:val="00BD3902"/>
    <w:rsid w:val="00BD3940"/>
    <w:rsid w:val="00BD39B0"/>
    <w:rsid w:val="00BD39C5"/>
    <w:rsid w:val="00BD39E1"/>
    <w:rsid w:val="00BD3AA6"/>
    <w:rsid w:val="00BD3AC6"/>
    <w:rsid w:val="00BD3BA7"/>
    <w:rsid w:val="00BD3BC1"/>
    <w:rsid w:val="00BD3C8C"/>
    <w:rsid w:val="00BD3D25"/>
    <w:rsid w:val="00BD3D7E"/>
    <w:rsid w:val="00BD3DFD"/>
    <w:rsid w:val="00BD3E47"/>
    <w:rsid w:val="00BD3E51"/>
    <w:rsid w:val="00BD3EBE"/>
    <w:rsid w:val="00BD3F6A"/>
    <w:rsid w:val="00BD3FB0"/>
    <w:rsid w:val="00BD3FBA"/>
    <w:rsid w:val="00BD401E"/>
    <w:rsid w:val="00BD4073"/>
    <w:rsid w:val="00BD4141"/>
    <w:rsid w:val="00BD418C"/>
    <w:rsid w:val="00BD4229"/>
    <w:rsid w:val="00BD44BE"/>
    <w:rsid w:val="00BD457A"/>
    <w:rsid w:val="00BD45A0"/>
    <w:rsid w:val="00BD45CB"/>
    <w:rsid w:val="00BD45ED"/>
    <w:rsid w:val="00BD4606"/>
    <w:rsid w:val="00BD460B"/>
    <w:rsid w:val="00BD4702"/>
    <w:rsid w:val="00BD472E"/>
    <w:rsid w:val="00BD4779"/>
    <w:rsid w:val="00BD490C"/>
    <w:rsid w:val="00BD492E"/>
    <w:rsid w:val="00BD4940"/>
    <w:rsid w:val="00BD494E"/>
    <w:rsid w:val="00BD4AA7"/>
    <w:rsid w:val="00BD4AF8"/>
    <w:rsid w:val="00BD4B11"/>
    <w:rsid w:val="00BD4BE0"/>
    <w:rsid w:val="00BD4D7F"/>
    <w:rsid w:val="00BD4D9C"/>
    <w:rsid w:val="00BD4E0F"/>
    <w:rsid w:val="00BD4E4D"/>
    <w:rsid w:val="00BD4E9A"/>
    <w:rsid w:val="00BD4F4D"/>
    <w:rsid w:val="00BD4F51"/>
    <w:rsid w:val="00BD4FBD"/>
    <w:rsid w:val="00BD505E"/>
    <w:rsid w:val="00BD50BE"/>
    <w:rsid w:val="00BD5142"/>
    <w:rsid w:val="00BD5144"/>
    <w:rsid w:val="00BD51D7"/>
    <w:rsid w:val="00BD5297"/>
    <w:rsid w:val="00BD52B9"/>
    <w:rsid w:val="00BD52CF"/>
    <w:rsid w:val="00BD5429"/>
    <w:rsid w:val="00BD54D3"/>
    <w:rsid w:val="00BD54DA"/>
    <w:rsid w:val="00BD54F5"/>
    <w:rsid w:val="00BD5603"/>
    <w:rsid w:val="00BD563A"/>
    <w:rsid w:val="00BD56B7"/>
    <w:rsid w:val="00BD5771"/>
    <w:rsid w:val="00BD58FC"/>
    <w:rsid w:val="00BD5903"/>
    <w:rsid w:val="00BD59B6"/>
    <w:rsid w:val="00BD59C1"/>
    <w:rsid w:val="00BD5A8A"/>
    <w:rsid w:val="00BD5AEF"/>
    <w:rsid w:val="00BD5B23"/>
    <w:rsid w:val="00BD5B64"/>
    <w:rsid w:val="00BD5BA3"/>
    <w:rsid w:val="00BD5BC5"/>
    <w:rsid w:val="00BD5BDE"/>
    <w:rsid w:val="00BD5CF1"/>
    <w:rsid w:val="00BD5D10"/>
    <w:rsid w:val="00BD5E48"/>
    <w:rsid w:val="00BD5F0C"/>
    <w:rsid w:val="00BD607E"/>
    <w:rsid w:val="00BD60B2"/>
    <w:rsid w:val="00BD60FC"/>
    <w:rsid w:val="00BD6177"/>
    <w:rsid w:val="00BD617C"/>
    <w:rsid w:val="00BD61A9"/>
    <w:rsid w:val="00BD6316"/>
    <w:rsid w:val="00BD6582"/>
    <w:rsid w:val="00BD65CB"/>
    <w:rsid w:val="00BD65E5"/>
    <w:rsid w:val="00BD6666"/>
    <w:rsid w:val="00BD67D6"/>
    <w:rsid w:val="00BD67F6"/>
    <w:rsid w:val="00BD67FA"/>
    <w:rsid w:val="00BD68B4"/>
    <w:rsid w:val="00BD68C2"/>
    <w:rsid w:val="00BD6955"/>
    <w:rsid w:val="00BD6991"/>
    <w:rsid w:val="00BD69AC"/>
    <w:rsid w:val="00BD69F7"/>
    <w:rsid w:val="00BD69F9"/>
    <w:rsid w:val="00BD6A0B"/>
    <w:rsid w:val="00BD6A17"/>
    <w:rsid w:val="00BD6A44"/>
    <w:rsid w:val="00BD6A4A"/>
    <w:rsid w:val="00BD6A4C"/>
    <w:rsid w:val="00BD6A5D"/>
    <w:rsid w:val="00BD6AAF"/>
    <w:rsid w:val="00BD6C51"/>
    <w:rsid w:val="00BD6E56"/>
    <w:rsid w:val="00BD6F31"/>
    <w:rsid w:val="00BD6F66"/>
    <w:rsid w:val="00BD707D"/>
    <w:rsid w:val="00BD7144"/>
    <w:rsid w:val="00BD7247"/>
    <w:rsid w:val="00BD726A"/>
    <w:rsid w:val="00BD728D"/>
    <w:rsid w:val="00BD74E8"/>
    <w:rsid w:val="00BD750E"/>
    <w:rsid w:val="00BD7580"/>
    <w:rsid w:val="00BD7625"/>
    <w:rsid w:val="00BD78DD"/>
    <w:rsid w:val="00BD7A1D"/>
    <w:rsid w:val="00BD7B42"/>
    <w:rsid w:val="00BD7B47"/>
    <w:rsid w:val="00BD7B6A"/>
    <w:rsid w:val="00BD7D32"/>
    <w:rsid w:val="00BD7DA7"/>
    <w:rsid w:val="00BD7DBF"/>
    <w:rsid w:val="00BD7DE4"/>
    <w:rsid w:val="00BD7DEB"/>
    <w:rsid w:val="00BD7E38"/>
    <w:rsid w:val="00BD7E53"/>
    <w:rsid w:val="00BD7E92"/>
    <w:rsid w:val="00BD7ED2"/>
    <w:rsid w:val="00BD7FCC"/>
    <w:rsid w:val="00BD7FE8"/>
    <w:rsid w:val="00BE00CF"/>
    <w:rsid w:val="00BE010C"/>
    <w:rsid w:val="00BE010F"/>
    <w:rsid w:val="00BE015E"/>
    <w:rsid w:val="00BE021C"/>
    <w:rsid w:val="00BE024E"/>
    <w:rsid w:val="00BE0281"/>
    <w:rsid w:val="00BE04BF"/>
    <w:rsid w:val="00BE073F"/>
    <w:rsid w:val="00BE0755"/>
    <w:rsid w:val="00BE07DF"/>
    <w:rsid w:val="00BE08AB"/>
    <w:rsid w:val="00BE094A"/>
    <w:rsid w:val="00BE0A3A"/>
    <w:rsid w:val="00BE0AFB"/>
    <w:rsid w:val="00BE0AFE"/>
    <w:rsid w:val="00BE0BFD"/>
    <w:rsid w:val="00BE0C36"/>
    <w:rsid w:val="00BE0D03"/>
    <w:rsid w:val="00BE0D09"/>
    <w:rsid w:val="00BE0D40"/>
    <w:rsid w:val="00BE1123"/>
    <w:rsid w:val="00BE114A"/>
    <w:rsid w:val="00BE1178"/>
    <w:rsid w:val="00BE11E6"/>
    <w:rsid w:val="00BE1268"/>
    <w:rsid w:val="00BE12C8"/>
    <w:rsid w:val="00BE1418"/>
    <w:rsid w:val="00BE152D"/>
    <w:rsid w:val="00BE15AB"/>
    <w:rsid w:val="00BE1620"/>
    <w:rsid w:val="00BE167E"/>
    <w:rsid w:val="00BE16EA"/>
    <w:rsid w:val="00BE1736"/>
    <w:rsid w:val="00BE1738"/>
    <w:rsid w:val="00BE177A"/>
    <w:rsid w:val="00BE17A7"/>
    <w:rsid w:val="00BE184E"/>
    <w:rsid w:val="00BE1852"/>
    <w:rsid w:val="00BE18C8"/>
    <w:rsid w:val="00BE1A1A"/>
    <w:rsid w:val="00BE1A42"/>
    <w:rsid w:val="00BE1A98"/>
    <w:rsid w:val="00BE1AA5"/>
    <w:rsid w:val="00BE1C5E"/>
    <w:rsid w:val="00BE1CCB"/>
    <w:rsid w:val="00BE1CD2"/>
    <w:rsid w:val="00BE1EC0"/>
    <w:rsid w:val="00BE1ED6"/>
    <w:rsid w:val="00BE1F81"/>
    <w:rsid w:val="00BE1F9E"/>
    <w:rsid w:val="00BE2123"/>
    <w:rsid w:val="00BE246F"/>
    <w:rsid w:val="00BE24E5"/>
    <w:rsid w:val="00BE2644"/>
    <w:rsid w:val="00BE269B"/>
    <w:rsid w:val="00BE2743"/>
    <w:rsid w:val="00BE2774"/>
    <w:rsid w:val="00BE27AD"/>
    <w:rsid w:val="00BE27F9"/>
    <w:rsid w:val="00BE2803"/>
    <w:rsid w:val="00BE2930"/>
    <w:rsid w:val="00BE29D0"/>
    <w:rsid w:val="00BE2A0B"/>
    <w:rsid w:val="00BE2A52"/>
    <w:rsid w:val="00BE2A58"/>
    <w:rsid w:val="00BE2A80"/>
    <w:rsid w:val="00BE2AB5"/>
    <w:rsid w:val="00BE2C1C"/>
    <w:rsid w:val="00BE2C40"/>
    <w:rsid w:val="00BE2CBD"/>
    <w:rsid w:val="00BE2CE1"/>
    <w:rsid w:val="00BE2D5A"/>
    <w:rsid w:val="00BE2D6C"/>
    <w:rsid w:val="00BE2DA3"/>
    <w:rsid w:val="00BE2F1D"/>
    <w:rsid w:val="00BE2FC5"/>
    <w:rsid w:val="00BE3182"/>
    <w:rsid w:val="00BE31FD"/>
    <w:rsid w:val="00BE335E"/>
    <w:rsid w:val="00BE3363"/>
    <w:rsid w:val="00BE33BF"/>
    <w:rsid w:val="00BE341E"/>
    <w:rsid w:val="00BE346F"/>
    <w:rsid w:val="00BE34AC"/>
    <w:rsid w:val="00BE34D1"/>
    <w:rsid w:val="00BE34D2"/>
    <w:rsid w:val="00BE3533"/>
    <w:rsid w:val="00BE35E5"/>
    <w:rsid w:val="00BE360F"/>
    <w:rsid w:val="00BE362C"/>
    <w:rsid w:val="00BE366B"/>
    <w:rsid w:val="00BE367D"/>
    <w:rsid w:val="00BE36A0"/>
    <w:rsid w:val="00BE37C0"/>
    <w:rsid w:val="00BE383D"/>
    <w:rsid w:val="00BE396A"/>
    <w:rsid w:val="00BE396C"/>
    <w:rsid w:val="00BE3983"/>
    <w:rsid w:val="00BE3B39"/>
    <w:rsid w:val="00BE3D13"/>
    <w:rsid w:val="00BE3D85"/>
    <w:rsid w:val="00BE3D88"/>
    <w:rsid w:val="00BE3D98"/>
    <w:rsid w:val="00BE3DED"/>
    <w:rsid w:val="00BE3E5B"/>
    <w:rsid w:val="00BE3F60"/>
    <w:rsid w:val="00BE4000"/>
    <w:rsid w:val="00BE4006"/>
    <w:rsid w:val="00BE402F"/>
    <w:rsid w:val="00BE4396"/>
    <w:rsid w:val="00BE43AB"/>
    <w:rsid w:val="00BE43C7"/>
    <w:rsid w:val="00BE4410"/>
    <w:rsid w:val="00BE443B"/>
    <w:rsid w:val="00BE443D"/>
    <w:rsid w:val="00BE4471"/>
    <w:rsid w:val="00BE44A1"/>
    <w:rsid w:val="00BE44B5"/>
    <w:rsid w:val="00BE44EC"/>
    <w:rsid w:val="00BE4770"/>
    <w:rsid w:val="00BE4781"/>
    <w:rsid w:val="00BE485A"/>
    <w:rsid w:val="00BE49B5"/>
    <w:rsid w:val="00BE49F1"/>
    <w:rsid w:val="00BE4A28"/>
    <w:rsid w:val="00BE4ABA"/>
    <w:rsid w:val="00BE4ADC"/>
    <w:rsid w:val="00BE4B86"/>
    <w:rsid w:val="00BE4D0C"/>
    <w:rsid w:val="00BE4D6A"/>
    <w:rsid w:val="00BE4D7A"/>
    <w:rsid w:val="00BE4E2B"/>
    <w:rsid w:val="00BE4E46"/>
    <w:rsid w:val="00BE4E56"/>
    <w:rsid w:val="00BE4E85"/>
    <w:rsid w:val="00BE4E97"/>
    <w:rsid w:val="00BE4EF1"/>
    <w:rsid w:val="00BE5060"/>
    <w:rsid w:val="00BE5137"/>
    <w:rsid w:val="00BE5248"/>
    <w:rsid w:val="00BE52F0"/>
    <w:rsid w:val="00BE5359"/>
    <w:rsid w:val="00BE55ED"/>
    <w:rsid w:val="00BE58DD"/>
    <w:rsid w:val="00BE596A"/>
    <w:rsid w:val="00BE5A63"/>
    <w:rsid w:val="00BE5A6C"/>
    <w:rsid w:val="00BE5B09"/>
    <w:rsid w:val="00BE5B2D"/>
    <w:rsid w:val="00BE5B59"/>
    <w:rsid w:val="00BE5BAC"/>
    <w:rsid w:val="00BE5BF8"/>
    <w:rsid w:val="00BE5C43"/>
    <w:rsid w:val="00BE5C74"/>
    <w:rsid w:val="00BE5CF3"/>
    <w:rsid w:val="00BE5D53"/>
    <w:rsid w:val="00BE5DAD"/>
    <w:rsid w:val="00BE5E19"/>
    <w:rsid w:val="00BE5E48"/>
    <w:rsid w:val="00BE5F25"/>
    <w:rsid w:val="00BE6006"/>
    <w:rsid w:val="00BE602F"/>
    <w:rsid w:val="00BE616E"/>
    <w:rsid w:val="00BE6203"/>
    <w:rsid w:val="00BE6252"/>
    <w:rsid w:val="00BE6386"/>
    <w:rsid w:val="00BE63FC"/>
    <w:rsid w:val="00BE6465"/>
    <w:rsid w:val="00BE6577"/>
    <w:rsid w:val="00BE65FB"/>
    <w:rsid w:val="00BE6715"/>
    <w:rsid w:val="00BE67AB"/>
    <w:rsid w:val="00BE684B"/>
    <w:rsid w:val="00BE6928"/>
    <w:rsid w:val="00BE6941"/>
    <w:rsid w:val="00BE69E3"/>
    <w:rsid w:val="00BE6A0A"/>
    <w:rsid w:val="00BE6B60"/>
    <w:rsid w:val="00BE6BBA"/>
    <w:rsid w:val="00BE6C95"/>
    <w:rsid w:val="00BE6D0D"/>
    <w:rsid w:val="00BE6D36"/>
    <w:rsid w:val="00BE6E19"/>
    <w:rsid w:val="00BE6E52"/>
    <w:rsid w:val="00BE6E7D"/>
    <w:rsid w:val="00BE6EAA"/>
    <w:rsid w:val="00BE6EE4"/>
    <w:rsid w:val="00BE6FB8"/>
    <w:rsid w:val="00BE6FC7"/>
    <w:rsid w:val="00BE7027"/>
    <w:rsid w:val="00BE703B"/>
    <w:rsid w:val="00BE7078"/>
    <w:rsid w:val="00BE7131"/>
    <w:rsid w:val="00BE718A"/>
    <w:rsid w:val="00BE71D8"/>
    <w:rsid w:val="00BE7204"/>
    <w:rsid w:val="00BE7217"/>
    <w:rsid w:val="00BE7297"/>
    <w:rsid w:val="00BE72A2"/>
    <w:rsid w:val="00BE73B0"/>
    <w:rsid w:val="00BE73F4"/>
    <w:rsid w:val="00BE7439"/>
    <w:rsid w:val="00BE744A"/>
    <w:rsid w:val="00BE74CD"/>
    <w:rsid w:val="00BE75A7"/>
    <w:rsid w:val="00BE77D0"/>
    <w:rsid w:val="00BE7868"/>
    <w:rsid w:val="00BE78CA"/>
    <w:rsid w:val="00BE797E"/>
    <w:rsid w:val="00BE79C8"/>
    <w:rsid w:val="00BE7A14"/>
    <w:rsid w:val="00BE7B07"/>
    <w:rsid w:val="00BE7B1D"/>
    <w:rsid w:val="00BE7CD2"/>
    <w:rsid w:val="00BE7D21"/>
    <w:rsid w:val="00BE7D30"/>
    <w:rsid w:val="00BE7E3E"/>
    <w:rsid w:val="00BE7E56"/>
    <w:rsid w:val="00BE7EA0"/>
    <w:rsid w:val="00BE7ED8"/>
    <w:rsid w:val="00BE7EDE"/>
    <w:rsid w:val="00BE7F5D"/>
    <w:rsid w:val="00BE7F9C"/>
    <w:rsid w:val="00BF0061"/>
    <w:rsid w:val="00BF0074"/>
    <w:rsid w:val="00BF0197"/>
    <w:rsid w:val="00BF0208"/>
    <w:rsid w:val="00BF03B5"/>
    <w:rsid w:val="00BF0421"/>
    <w:rsid w:val="00BF04B8"/>
    <w:rsid w:val="00BF0532"/>
    <w:rsid w:val="00BF056C"/>
    <w:rsid w:val="00BF0631"/>
    <w:rsid w:val="00BF0741"/>
    <w:rsid w:val="00BF074D"/>
    <w:rsid w:val="00BF07B1"/>
    <w:rsid w:val="00BF07DC"/>
    <w:rsid w:val="00BF084F"/>
    <w:rsid w:val="00BF08AB"/>
    <w:rsid w:val="00BF08D9"/>
    <w:rsid w:val="00BF08E0"/>
    <w:rsid w:val="00BF0932"/>
    <w:rsid w:val="00BF0939"/>
    <w:rsid w:val="00BF0A22"/>
    <w:rsid w:val="00BF0AD2"/>
    <w:rsid w:val="00BF0B54"/>
    <w:rsid w:val="00BF0BAF"/>
    <w:rsid w:val="00BF0BB8"/>
    <w:rsid w:val="00BF0C37"/>
    <w:rsid w:val="00BF0CC7"/>
    <w:rsid w:val="00BF0D18"/>
    <w:rsid w:val="00BF0E46"/>
    <w:rsid w:val="00BF0EA7"/>
    <w:rsid w:val="00BF0F9C"/>
    <w:rsid w:val="00BF0FAA"/>
    <w:rsid w:val="00BF0FE6"/>
    <w:rsid w:val="00BF10C6"/>
    <w:rsid w:val="00BF10D3"/>
    <w:rsid w:val="00BF10E3"/>
    <w:rsid w:val="00BF1102"/>
    <w:rsid w:val="00BF120C"/>
    <w:rsid w:val="00BF1258"/>
    <w:rsid w:val="00BF12C9"/>
    <w:rsid w:val="00BF1314"/>
    <w:rsid w:val="00BF14B0"/>
    <w:rsid w:val="00BF159F"/>
    <w:rsid w:val="00BF1606"/>
    <w:rsid w:val="00BF16BD"/>
    <w:rsid w:val="00BF16D7"/>
    <w:rsid w:val="00BF174C"/>
    <w:rsid w:val="00BF1A16"/>
    <w:rsid w:val="00BF1B25"/>
    <w:rsid w:val="00BF1BC2"/>
    <w:rsid w:val="00BF1C5B"/>
    <w:rsid w:val="00BF1D79"/>
    <w:rsid w:val="00BF1DBB"/>
    <w:rsid w:val="00BF1EDB"/>
    <w:rsid w:val="00BF1EF5"/>
    <w:rsid w:val="00BF1F64"/>
    <w:rsid w:val="00BF1FD1"/>
    <w:rsid w:val="00BF2368"/>
    <w:rsid w:val="00BF239C"/>
    <w:rsid w:val="00BF23AB"/>
    <w:rsid w:val="00BF23D0"/>
    <w:rsid w:val="00BF23F1"/>
    <w:rsid w:val="00BF2493"/>
    <w:rsid w:val="00BF251E"/>
    <w:rsid w:val="00BF258C"/>
    <w:rsid w:val="00BF25CB"/>
    <w:rsid w:val="00BF26C1"/>
    <w:rsid w:val="00BF2744"/>
    <w:rsid w:val="00BF2781"/>
    <w:rsid w:val="00BF27DF"/>
    <w:rsid w:val="00BF27FC"/>
    <w:rsid w:val="00BF2812"/>
    <w:rsid w:val="00BF28CB"/>
    <w:rsid w:val="00BF29B9"/>
    <w:rsid w:val="00BF2A3F"/>
    <w:rsid w:val="00BF2A64"/>
    <w:rsid w:val="00BF2BC1"/>
    <w:rsid w:val="00BF2BD8"/>
    <w:rsid w:val="00BF2C07"/>
    <w:rsid w:val="00BF2C72"/>
    <w:rsid w:val="00BF2CD2"/>
    <w:rsid w:val="00BF2D44"/>
    <w:rsid w:val="00BF2DD9"/>
    <w:rsid w:val="00BF2E3D"/>
    <w:rsid w:val="00BF2E54"/>
    <w:rsid w:val="00BF2EE2"/>
    <w:rsid w:val="00BF2F25"/>
    <w:rsid w:val="00BF2F73"/>
    <w:rsid w:val="00BF3101"/>
    <w:rsid w:val="00BF31C4"/>
    <w:rsid w:val="00BF31FA"/>
    <w:rsid w:val="00BF328F"/>
    <w:rsid w:val="00BF32A8"/>
    <w:rsid w:val="00BF32BD"/>
    <w:rsid w:val="00BF32D1"/>
    <w:rsid w:val="00BF3301"/>
    <w:rsid w:val="00BF3319"/>
    <w:rsid w:val="00BF33F3"/>
    <w:rsid w:val="00BF3462"/>
    <w:rsid w:val="00BF34B5"/>
    <w:rsid w:val="00BF34D0"/>
    <w:rsid w:val="00BF36A6"/>
    <w:rsid w:val="00BF3764"/>
    <w:rsid w:val="00BF377C"/>
    <w:rsid w:val="00BF37E7"/>
    <w:rsid w:val="00BF385A"/>
    <w:rsid w:val="00BF38D8"/>
    <w:rsid w:val="00BF393F"/>
    <w:rsid w:val="00BF3947"/>
    <w:rsid w:val="00BF3A73"/>
    <w:rsid w:val="00BF3A80"/>
    <w:rsid w:val="00BF3AC0"/>
    <w:rsid w:val="00BF3B0B"/>
    <w:rsid w:val="00BF3B4A"/>
    <w:rsid w:val="00BF3BFF"/>
    <w:rsid w:val="00BF3C22"/>
    <w:rsid w:val="00BF3CEA"/>
    <w:rsid w:val="00BF3D4A"/>
    <w:rsid w:val="00BF3F23"/>
    <w:rsid w:val="00BF403E"/>
    <w:rsid w:val="00BF40A4"/>
    <w:rsid w:val="00BF4127"/>
    <w:rsid w:val="00BF423F"/>
    <w:rsid w:val="00BF4306"/>
    <w:rsid w:val="00BF4434"/>
    <w:rsid w:val="00BF4553"/>
    <w:rsid w:val="00BF455D"/>
    <w:rsid w:val="00BF468F"/>
    <w:rsid w:val="00BF46BB"/>
    <w:rsid w:val="00BF480D"/>
    <w:rsid w:val="00BF48A5"/>
    <w:rsid w:val="00BF48A8"/>
    <w:rsid w:val="00BF48E7"/>
    <w:rsid w:val="00BF491A"/>
    <w:rsid w:val="00BF498E"/>
    <w:rsid w:val="00BF49D3"/>
    <w:rsid w:val="00BF4A47"/>
    <w:rsid w:val="00BF4A57"/>
    <w:rsid w:val="00BF4A8C"/>
    <w:rsid w:val="00BF4A99"/>
    <w:rsid w:val="00BF4AB2"/>
    <w:rsid w:val="00BF4ABE"/>
    <w:rsid w:val="00BF4B54"/>
    <w:rsid w:val="00BF4B71"/>
    <w:rsid w:val="00BF4BAC"/>
    <w:rsid w:val="00BF4BC0"/>
    <w:rsid w:val="00BF4CC8"/>
    <w:rsid w:val="00BF4CCA"/>
    <w:rsid w:val="00BF4D91"/>
    <w:rsid w:val="00BF4DFF"/>
    <w:rsid w:val="00BF4E0F"/>
    <w:rsid w:val="00BF4ECF"/>
    <w:rsid w:val="00BF4EFC"/>
    <w:rsid w:val="00BF4F53"/>
    <w:rsid w:val="00BF4FBD"/>
    <w:rsid w:val="00BF502F"/>
    <w:rsid w:val="00BF50D2"/>
    <w:rsid w:val="00BF5193"/>
    <w:rsid w:val="00BF51AE"/>
    <w:rsid w:val="00BF521D"/>
    <w:rsid w:val="00BF530E"/>
    <w:rsid w:val="00BF5379"/>
    <w:rsid w:val="00BF5400"/>
    <w:rsid w:val="00BF545A"/>
    <w:rsid w:val="00BF5478"/>
    <w:rsid w:val="00BF54D2"/>
    <w:rsid w:val="00BF55E6"/>
    <w:rsid w:val="00BF5621"/>
    <w:rsid w:val="00BF5687"/>
    <w:rsid w:val="00BF5719"/>
    <w:rsid w:val="00BF5739"/>
    <w:rsid w:val="00BF5763"/>
    <w:rsid w:val="00BF57B8"/>
    <w:rsid w:val="00BF5881"/>
    <w:rsid w:val="00BF5906"/>
    <w:rsid w:val="00BF591D"/>
    <w:rsid w:val="00BF59E7"/>
    <w:rsid w:val="00BF5A21"/>
    <w:rsid w:val="00BF5C06"/>
    <w:rsid w:val="00BF5C8A"/>
    <w:rsid w:val="00BF5D0B"/>
    <w:rsid w:val="00BF5D1D"/>
    <w:rsid w:val="00BF5E61"/>
    <w:rsid w:val="00BF5F27"/>
    <w:rsid w:val="00BF6028"/>
    <w:rsid w:val="00BF6131"/>
    <w:rsid w:val="00BF61EF"/>
    <w:rsid w:val="00BF6298"/>
    <w:rsid w:val="00BF62D5"/>
    <w:rsid w:val="00BF634C"/>
    <w:rsid w:val="00BF637A"/>
    <w:rsid w:val="00BF642F"/>
    <w:rsid w:val="00BF656D"/>
    <w:rsid w:val="00BF65A2"/>
    <w:rsid w:val="00BF6699"/>
    <w:rsid w:val="00BF6821"/>
    <w:rsid w:val="00BF6839"/>
    <w:rsid w:val="00BF683E"/>
    <w:rsid w:val="00BF6854"/>
    <w:rsid w:val="00BF6951"/>
    <w:rsid w:val="00BF69AD"/>
    <w:rsid w:val="00BF6A08"/>
    <w:rsid w:val="00BF6B16"/>
    <w:rsid w:val="00BF6D8E"/>
    <w:rsid w:val="00BF6DEE"/>
    <w:rsid w:val="00BF6F79"/>
    <w:rsid w:val="00BF71CD"/>
    <w:rsid w:val="00BF7272"/>
    <w:rsid w:val="00BF72EC"/>
    <w:rsid w:val="00BF7330"/>
    <w:rsid w:val="00BF7357"/>
    <w:rsid w:val="00BF7509"/>
    <w:rsid w:val="00BF7674"/>
    <w:rsid w:val="00BF76E2"/>
    <w:rsid w:val="00BF770B"/>
    <w:rsid w:val="00BF7747"/>
    <w:rsid w:val="00BF7753"/>
    <w:rsid w:val="00BF77E6"/>
    <w:rsid w:val="00BF781B"/>
    <w:rsid w:val="00BF7880"/>
    <w:rsid w:val="00BF7896"/>
    <w:rsid w:val="00BF7977"/>
    <w:rsid w:val="00BF79FF"/>
    <w:rsid w:val="00BF7A82"/>
    <w:rsid w:val="00BF7AD5"/>
    <w:rsid w:val="00BF7C04"/>
    <w:rsid w:val="00BF7E64"/>
    <w:rsid w:val="00BF7EF9"/>
    <w:rsid w:val="00BF7FD7"/>
    <w:rsid w:val="00C00000"/>
    <w:rsid w:val="00C0013A"/>
    <w:rsid w:val="00C001AD"/>
    <w:rsid w:val="00C002CD"/>
    <w:rsid w:val="00C003EF"/>
    <w:rsid w:val="00C0044E"/>
    <w:rsid w:val="00C0062E"/>
    <w:rsid w:val="00C007AB"/>
    <w:rsid w:val="00C007E1"/>
    <w:rsid w:val="00C007EA"/>
    <w:rsid w:val="00C00859"/>
    <w:rsid w:val="00C00890"/>
    <w:rsid w:val="00C008A4"/>
    <w:rsid w:val="00C00906"/>
    <w:rsid w:val="00C00959"/>
    <w:rsid w:val="00C009B2"/>
    <w:rsid w:val="00C009BC"/>
    <w:rsid w:val="00C009E5"/>
    <w:rsid w:val="00C00A87"/>
    <w:rsid w:val="00C00ACB"/>
    <w:rsid w:val="00C00BB2"/>
    <w:rsid w:val="00C00BE3"/>
    <w:rsid w:val="00C00C00"/>
    <w:rsid w:val="00C00CE5"/>
    <w:rsid w:val="00C00D5E"/>
    <w:rsid w:val="00C00DD2"/>
    <w:rsid w:val="00C00E38"/>
    <w:rsid w:val="00C00EB5"/>
    <w:rsid w:val="00C01013"/>
    <w:rsid w:val="00C01051"/>
    <w:rsid w:val="00C010DE"/>
    <w:rsid w:val="00C01156"/>
    <w:rsid w:val="00C01243"/>
    <w:rsid w:val="00C01246"/>
    <w:rsid w:val="00C01266"/>
    <w:rsid w:val="00C0128E"/>
    <w:rsid w:val="00C0136B"/>
    <w:rsid w:val="00C01474"/>
    <w:rsid w:val="00C014AB"/>
    <w:rsid w:val="00C014CA"/>
    <w:rsid w:val="00C014EC"/>
    <w:rsid w:val="00C014ED"/>
    <w:rsid w:val="00C01500"/>
    <w:rsid w:val="00C0159A"/>
    <w:rsid w:val="00C015CD"/>
    <w:rsid w:val="00C01650"/>
    <w:rsid w:val="00C016E7"/>
    <w:rsid w:val="00C017E2"/>
    <w:rsid w:val="00C018D8"/>
    <w:rsid w:val="00C01920"/>
    <w:rsid w:val="00C01929"/>
    <w:rsid w:val="00C0193B"/>
    <w:rsid w:val="00C01A21"/>
    <w:rsid w:val="00C01A2A"/>
    <w:rsid w:val="00C01BCE"/>
    <w:rsid w:val="00C01D02"/>
    <w:rsid w:val="00C01D6E"/>
    <w:rsid w:val="00C01DBF"/>
    <w:rsid w:val="00C01DE1"/>
    <w:rsid w:val="00C01E94"/>
    <w:rsid w:val="00C01F7A"/>
    <w:rsid w:val="00C01FAC"/>
    <w:rsid w:val="00C01FC9"/>
    <w:rsid w:val="00C02043"/>
    <w:rsid w:val="00C020B2"/>
    <w:rsid w:val="00C020FD"/>
    <w:rsid w:val="00C02108"/>
    <w:rsid w:val="00C02112"/>
    <w:rsid w:val="00C0212C"/>
    <w:rsid w:val="00C0216B"/>
    <w:rsid w:val="00C022B5"/>
    <w:rsid w:val="00C0239F"/>
    <w:rsid w:val="00C0249C"/>
    <w:rsid w:val="00C024A8"/>
    <w:rsid w:val="00C02525"/>
    <w:rsid w:val="00C0254F"/>
    <w:rsid w:val="00C025A2"/>
    <w:rsid w:val="00C0262F"/>
    <w:rsid w:val="00C02806"/>
    <w:rsid w:val="00C028D8"/>
    <w:rsid w:val="00C0294E"/>
    <w:rsid w:val="00C02A2A"/>
    <w:rsid w:val="00C02C1E"/>
    <w:rsid w:val="00C02C60"/>
    <w:rsid w:val="00C02CA5"/>
    <w:rsid w:val="00C02E42"/>
    <w:rsid w:val="00C02F11"/>
    <w:rsid w:val="00C02F22"/>
    <w:rsid w:val="00C02FFA"/>
    <w:rsid w:val="00C03014"/>
    <w:rsid w:val="00C030E2"/>
    <w:rsid w:val="00C03174"/>
    <w:rsid w:val="00C031A1"/>
    <w:rsid w:val="00C031E9"/>
    <w:rsid w:val="00C032EE"/>
    <w:rsid w:val="00C0334E"/>
    <w:rsid w:val="00C03364"/>
    <w:rsid w:val="00C03388"/>
    <w:rsid w:val="00C033E7"/>
    <w:rsid w:val="00C0356B"/>
    <w:rsid w:val="00C03570"/>
    <w:rsid w:val="00C03586"/>
    <w:rsid w:val="00C035BC"/>
    <w:rsid w:val="00C0365F"/>
    <w:rsid w:val="00C03791"/>
    <w:rsid w:val="00C0386D"/>
    <w:rsid w:val="00C038D8"/>
    <w:rsid w:val="00C03969"/>
    <w:rsid w:val="00C03A8F"/>
    <w:rsid w:val="00C03AA9"/>
    <w:rsid w:val="00C03B26"/>
    <w:rsid w:val="00C03B3C"/>
    <w:rsid w:val="00C03B4B"/>
    <w:rsid w:val="00C03B53"/>
    <w:rsid w:val="00C03B54"/>
    <w:rsid w:val="00C03B7C"/>
    <w:rsid w:val="00C03BDC"/>
    <w:rsid w:val="00C03D1E"/>
    <w:rsid w:val="00C03D97"/>
    <w:rsid w:val="00C03DAE"/>
    <w:rsid w:val="00C03E54"/>
    <w:rsid w:val="00C04054"/>
    <w:rsid w:val="00C041AF"/>
    <w:rsid w:val="00C041C2"/>
    <w:rsid w:val="00C0422D"/>
    <w:rsid w:val="00C04373"/>
    <w:rsid w:val="00C0456C"/>
    <w:rsid w:val="00C045C8"/>
    <w:rsid w:val="00C04637"/>
    <w:rsid w:val="00C04648"/>
    <w:rsid w:val="00C04665"/>
    <w:rsid w:val="00C04706"/>
    <w:rsid w:val="00C0479C"/>
    <w:rsid w:val="00C04886"/>
    <w:rsid w:val="00C048B8"/>
    <w:rsid w:val="00C048DF"/>
    <w:rsid w:val="00C04991"/>
    <w:rsid w:val="00C049AA"/>
    <w:rsid w:val="00C049F0"/>
    <w:rsid w:val="00C04A7E"/>
    <w:rsid w:val="00C04ACD"/>
    <w:rsid w:val="00C04B60"/>
    <w:rsid w:val="00C04B90"/>
    <w:rsid w:val="00C04BC6"/>
    <w:rsid w:val="00C04BC9"/>
    <w:rsid w:val="00C04C22"/>
    <w:rsid w:val="00C04C43"/>
    <w:rsid w:val="00C04C7C"/>
    <w:rsid w:val="00C04CCD"/>
    <w:rsid w:val="00C04CEA"/>
    <w:rsid w:val="00C04CF2"/>
    <w:rsid w:val="00C04FD0"/>
    <w:rsid w:val="00C05046"/>
    <w:rsid w:val="00C0517F"/>
    <w:rsid w:val="00C05259"/>
    <w:rsid w:val="00C0529B"/>
    <w:rsid w:val="00C05379"/>
    <w:rsid w:val="00C0540C"/>
    <w:rsid w:val="00C054FC"/>
    <w:rsid w:val="00C0563A"/>
    <w:rsid w:val="00C05640"/>
    <w:rsid w:val="00C0572B"/>
    <w:rsid w:val="00C05755"/>
    <w:rsid w:val="00C0588E"/>
    <w:rsid w:val="00C058AF"/>
    <w:rsid w:val="00C058C5"/>
    <w:rsid w:val="00C0590F"/>
    <w:rsid w:val="00C0593D"/>
    <w:rsid w:val="00C05A4A"/>
    <w:rsid w:val="00C05AE9"/>
    <w:rsid w:val="00C05C13"/>
    <w:rsid w:val="00C05C6B"/>
    <w:rsid w:val="00C05CFF"/>
    <w:rsid w:val="00C05D18"/>
    <w:rsid w:val="00C05DB2"/>
    <w:rsid w:val="00C05F03"/>
    <w:rsid w:val="00C05F8C"/>
    <w:rsid w:val="00C05FD4"/>
    <w:rsid w:val="00C05FF9"/>
    <w:rsid w:val="00C060BD"/>
    <w:rsid w:val="00C06181"/>
    <w:rsid w:val="00C06245"/>
    <w:rsid w:val="00C063BA"/>
    <w:rsid w:val="00C06493"/>
    <w:rsid w:val="00C06599"/>
    <w:rsid w:val="00C06640"/>
    <w:rsid w:val="00C0667C"/>
    <w:rsid w:val="00C066D3"/>
    <w:rsid w:val="00C066E2"/>
    <w:rsid w:val="00C0675C"/>
    <w:rsid w:val="00C067F7"/>
    <w:rsid w:val="00C0687C"/>
    <w:rsid w:val="00C0696E"/>
    <w:rsid w:val="00C06B5C"/>
    <w:rsid w:val="00C06B66"/>
    <w:rsid w:val="00C06B98"/>
    <w:rsid w:val="00C06CF8"/>
    <w:rsid w:val="00C06D90"/>
    <w:rsid w:val="00C06DAA"/>
    <w:rsid w:val="00C06DDA"/>
    <w:rsid w:val="00C06DEB"/>
    <w:rsid w:val="00C06DF4"/>
    <w:rsid w:val="00C06E03"/>
    <w:rsid w:val="00C06E34"/>
    <w:rsid w:val="00C06E5A"/>
    <w:rsid w:val="00C06F5C"/>
    <w:rsid w:val="00C06FB5"/>
    <w:rsid w:val="00C06FEC"/>
    <w:rsid w:val="00C07016"/>
    <w:rsid w:val="00C0718B"/>
    <w:rsid w:val="00C07303"/>
    <w:rsid w:val="00C0744C"/>
    <w:rsid w:val="00C07483"/>
    <w:rsid w:val="00C074D3"/>
    <w:rsid w:val="00C075E2"/>
    <w:rsid w:val="00C0776D"/>
    <w:rsid w:val="00C077B5"/>
    <w:rsid w:val="00C0784A"/>
    <w:rsid w:val="00C0785F"/>
    <w:rsid w:val="00C0787D"/>
    <w:rsid w:val="00C079E5"/>
    <w:rsid w:val="00C07A68"/>
    <w:rsid w:val="00C07AA3"/>
    <w:rsid w:val="00C07C7C"/>
    <w:rsid w:val="00C07C98"/>
    <w:rsid w:val="00C07CBB"/>
    <w:rsid w:val="00C07D89"/>
    <w:rsid w:val="00C07D96"/>
    <w:rsid w:val="00C07DE7"/>
    <w:rsid w:val="00C07E65"/>
    <w:rsid w:val="00C07E78"/>
    <w:rsid w:val="00C07ECF"/>
    <w:rsid w:val="00C07EF5"/>
    <w:rsid w:val="00C07F0B"/>
    <w:rsid w:val="00C07F64"/>
    <w:rsid w:val="00C1009F"/>
    <w:rsid w:val="00C100C5"/>
    <w:rsid w:val="00C10163"/>
    <w:rsid w:val="00C10172"/>
    <w:rsid w:val="00C101BF"/>
    <w:rsid w:val="00C102C8"/>
    <w:rsid w:val="00C102D5"/>
    <w:rsid w:val="00C1031C"/>
    <w:rsid w:val="00C103A0"/>
    <w:rsid w:val="00C10459"/>
    <w:rsid w:val="00C105B9"/>
    <w:rsid w:val="00C10642"/>
    <w:rsid w:val="00C1068F"/>
    <w:rsid w:val="00C1075D"/>
    <w:rsid w:val="00C10864"/>
    <w:rsid w:val="00C108A9"/>
    <w:rsid w:val="00C108FC"/>
    <w:rsid w:val="00C10919"/>
    <w:rsid w:val="00C1094A"/>
    <w:rsid w:val="00C10977"/>
    <w:rsid w:val="00C10982"/>
    <w:rsid w:val="00C10997"/>
    <w:rsid w:val="00C109E5"/>
    <w:rsid w:val="00C10A22"/>
    <w:rsid w:val="00C10A3C"/>
    <w:rsid w:val="00C10AF3"/>
    <w:rsid w:val="00C10BDF"/>
    <w:rsid w:val="00C10CB6"/>
    <w:rsid w:val="00C10F0B"/>
    <w:rsid w:val="00C10F1A"/>
    <w:rsid w:val="00C10F23"/>
    <w:rsid w:val="00C11057"/>
    <w:rsid w:val="00C1105A"/>
    <w:rsid w:val="00C11184"/>
    <w:rsid w:val="00C111B7"/>
    <w:rsid w:val="00C11200"/>
    <w:rsid w:val="00C11252"/>
    <w:rsid w:val="00C1126C"/>
    <w:rsid w:val="00C112AC"/>
    <w:rsid w:val="00C112EF"/>
    <w:rsid w:val="00C1147F"/>
    <w:rsid w:val="00C1161A"/>
    <w:rsid w:val="00C1182D"/>
    <w:rsid w:val="00C1191D"/>
    <w:rsid w:val="00C11991"/>
    <w:rsid w:val="00C119B8"/>
    <w:rsid w:val="00C11AA5"/>
    <w:rsid w:val="00C11C00"/>
    <w:rsid w:val="00C11C0E"/>
    <w:rsid w:val="00C11DB6"/>
    <w:rsid w:val="00C11E6B"/>
    <w:rsid w:val="00C11F3B"/>
    <w:rsid w:val="00C12008"/>
    <w:rsid w:val="00C12068"/>
    <w:rsid w:val="00C12090"/>
    <w:rsid w:val="00C120E7"/>
    <w:rsid w:val="00C120EC"/>
    <w:rsid w:val="00C12169"/>
    <w:rsid w:val="00C121CF"/>
    <w:rsid w:val="00C12276"/>
    <w:rsid w:val="00C122B3"/>
    <w:rsid w:val="00C12314"/>
    <w:rsid w:val="00C1236C"/>
    <w:rsid w:val="00C123B2"/>
    <w:rsid w:val="00C123C0"/>
    <w:rsid w:val="00C12497"/>
    <w:rsid w:val="00C124CB"/>
    <w:rsid w:val="00C12749"/>
    <w:rsid w:val="00C127E9"/>
    <w:rsid w:val="00C12897"/>
    <w:rsid w:val="00C129B2"/>
    <w:rsid w:val="00C129ED"/>
    <w:rsid w:val="00C12A3C"/>
    <w:rsid w:val="00C12B1C"/>
    <w:rsid w:val="00C12BF4"/>
    <w:rsid w:val="00C12C48"/>
    <w:rsid w:val="00C12C5F"/>
    <w:rsid w:val="00C12C79"/>
    <w:rsid w:val="00C12C88"/>
    <w:rsid w:val="00C12CED"/>
    <w:rsid w:val="00C12CFE"/>
    <w:rsid w:val="00C12D5A"/>
    <w:rsid w:val="00C12DAC"/>
    <w:rsid w:val="00C12DDA"/>
    <w:rsid w:val="00C12DED"/>
    <w:rsid w:val="00C12F64"/>
    <w:rsid w:val="00C12FA5"/>
    <w:rsid w:val="00C12FE5"/>
    <w:rsid w:val="00C13105"/>
    <w:rsid w:val="00C13150"/>
    <w:rsid w:val="00C131A1"/>
    <w:rsid w:val="00C1320D"/>
    <w:rsid w:val="00C13267"/>
    <w:rsid w:val="00C13336"/>
    <w:rsid w:val="00C13380"/>
    <w:rsid w:val="00C133FE"/>
    <w:rsid w:val="00C13443"/>
    <w:rsid w:val="00C1346B"/>
    <w:rsid w:val="00C136C6"/>
    <w:rsid w:val="00C13772"/>
    <w:rsid w:val="00C13782"/>
    <w:rsid w:val="00C13849"/>
    <w:rsid w:val="00C139D2"/>
    <w:rsid w:val="00C139DE"/>
    <w:rsid w:val="00C13A0F"/>
    <w:rsid w:val="00C13A3B"/>
    <w:rsid w:val="00C13A49"/>
    <w:rsid w:val="00C13AC7"/>
    <w:rsid w:val="00C13ACF"/>
    <w:rsid w:val="00C13C1A"/>
    <w:rsid w:val="00C13DC0"/>
    <w:rsid w:val="00C13F44"/>
    <w:rsid w:val="00C1400B"/>
    <w:rsid w:val="00C140CE"/>
    <w:rsid w:val="00C14114"/>
    <w:rsid w:val="00C141A7"/>
    <w:rsid w:val="00C141AC"/>
    <w:rsid w:val="00C142FF"/>
    <w:rsid w:val="00C14319"/>
    <w:rsid w:val="00C14347"/>
    <w:rsid w:val="00C143F5"/>
    <w:rsid w:val="00C14419"/>
    <w:rsid w:val="00C14484"/>
    <w:rsid w:val="00C144D1"/>
    <w:rsid w:val="00C14533"/>
    <w:rsid w:val="00C14662"/>
    <w:rsid w:val="00C14666"/>
    <w:rsid w:val="00C14676"/>
    <w:rsid w:val="00C14696"/>
    <w:rsid w:val="00C14698"/>
    <w:rsid w:val="00C14724"/>
    <w:rsid w:val="00C147A7"/>
    <w:rsid w:val="00C14852"/>
    <w:rsid w:val="00C14861"/>
    <w:rsid w:val="00C148B3"/>
    <w:rsid w:val="00C149AB"/>
    <w:rsid w:val="00C149B6"/>
    <w:rsid w:val="00C14A91"/>
    <w:rsid w:val="00C14AFD"/>
    <w:rsid w:val="00C14BC0"/>
    <w:rsid w:val="00C14DC6"/>
    <w:rsid w:val="00C14E0F"/>
    <w:rsid w:val="00C14FCD"/>
    <w:rsid w:val="00C15083"/>
    <w:rsid w:val="00C15133"/>
    <w:rsid w:val="00C15154"/>
    <w:rsid w:val="00C15197"/>
    <w:rsid w:val="00C1523B"/>
    <w:rsid w:val="00C15246"/>
    <w:rsid w:val="00C154C0"/>
    <w:rsid w:val="00C15600"/>
    <w:rsid w:val="00C1562A"/>
    <w:rsid w:val="00C1563B"/>
    <w:rsid w:val="00C15745"/>
    <w:rsid w:val="00C15756"/>
    <w:rsid w:val="00C15768"/>
    <w:rsid w:val="00C1576F"/>
    <w:rsid w:val="00C157D2"/>
    <w:rsid w:val="00C15837"/>
    <w:rsid w:val="00C158B1"/>
    <w:rsid w:val="00C159D1"/>
    <w:rsid w:val="00C15BDC"/>
    <w:rsid w:val="00C15BEC"/>
    <w:rsid w:val="00C15C3D"/>
    <w:rsid w:val="00C15CE4"/>
    <w:rsid w:val="00C15E46"/>
    <w:rsid w:val="00C15E5B"/>
    <w:rsid w:val="00C15EDF"/>
    <w:rsid w:val="00C15F73"/>
    <w:rsid w:val="00C16087"/>
    <w:rsid w:val="00C1608A"/>
    <w:rsid w:val="00C160CE"/>
    <w:rsid w:val="00C1612F"/>
    <w:rsid w:val="00C16155"/>
    <w:rsid w:val="00C161B4"/>
    <w:rsid w:val="00C162CB"/>
    <w:rsid w:val="00C1639A"/>
    <w:rsid w:val="00C163EB"/>
    <w:rsid w:val="00C1645F"/>
    <w:rsid w:val="00C1647C"/>
    <w:rsid w:val="00C16685"/>
    <w:rsid w:val="00C1672D"/>
    <w:rsid w:val="00C167DF"/>
    <w:rsid w:val="00C167F5"/>
    <w:rsid w:val="00C16870"/>
    <w:rsid w:val="00C168AF"/>
    <w:rsid w:val="00C168DF"/>
    <w:rsid w:val="00C1695D"/>
    <w:rsid w:val="00C16A3D"/>
    <w:rsid w:val="00C16A4D"/>
    <w:rsid w:val="00C16A52"/>
    <w:rsid w:val="00C16A70"/>
    <w:rsid w:val="00C16AA0"/>
    <w:rsid w:val="00C16AD4"/>
    <w:rsid w:val="00C16B98"/>
    <w:rsid w:val="00C16BB0"/>
    <w:rsid w:val="00C16C23"/>
    <w:rsid w:val="00C16C65"/>
    <w:rsid w:val="00C16D5E"/>
    <w:rsid w:val="00C16E45"/>
    <w:rsid w:val="00C16EC9"/>
    <w:rsid w:val="00C16EFD"/>
    <w:rsid w:val="00C16F9F"/>
    <w:rsid w:val="00C1708B"/>
    <w:rsid w:val="00C170F0"/>
    <w:rsid w:val="00C171A0"/>
    <w:rsid w:val="00C17398"/>
    <w:rsid w:val="00C173B8"/>
    <w:rsid w:val="00C17432"/>
    <w:rsid w:val="00C17434"/>
    <w:rsid w:val="00C174FC"/>
    <w:rsid w:val="00C17553"/>
    <w:rsid w:val="00C175F1"/>
    <w:rsid w:val="00C17621"/>
    <w:rsid w:val="00C17633"/>
    <w:rsid w:val="00C176B9"/>
    <w:rsid w:val="00C176EB"/>
    <w:rsid w:val="00C17824"/>
    <w:rsid w:val="00C17882"/>
    <w:rsid w:val="00C17960"/>
    <w:rsid w:val="00C179C6"/>
    <w:rsid w:val="00C179D2"/>
    <w:rsid w:val="00C179D3"/>
    <w:rsid w:val="00C179E6"/>
    <w:rsid w:val="00C17B05"/>
    <w:rsid w:val="00C17B6C"/>
    <w:rsid w:val="00C17CBD"/>
    <w:rsid w:val="00C17D2B"/>
    <w:rsid w:val="00C17D9A"/>
    <w:rsid w:val="00C17D9B"/>
    <w:rsid w:val="00C17E08"/>
    <w:rsid w:val="00C17E30"/>
    <w:rsid w:val="00C17E4B"/>
    <w:rsid w:val="00C17EA1"/>
    <w:rsid w:val="00C17EFB"/>
    <w:rsid w:val="00C17F4D"/>
    <w:rsid w:val="00C20063"/>
    <w:rsid w:val="00C200B3"/>
    <w:rsid w:val="00C200E8"/>
    <w:rsid w:val="00C2012F"/>
    <w:rsid w:val="00C201A5"/>
    <w:rsid w:val="00C20224"/>
    <w:rsid w:val="00C202A3"/>
    <w:rsid w:val="00C202FD"/>
    <w:rsid w:val="00C20349"/>
    <w:rsid w:val="00C2046C"/>
    <w:rsid w:val="00C20475"/>
    <w:rsid w:val="00C204BA"/>
    <w:rsid w:val="00C204E5"/>
    <w:rsid w:val="00C20528"/>
    <w:rsid w:val="00C20546"/>
    <w:rsid w:val="00C2059A"/>
    <w:rsid w:val="00C20780"/>
    <w:rsid w:val="00C207C9"/>
    <w:rsid w:val="00C207DC"/>
    <w:rsid w:val="00C20810"/>
    <w:rsid w:val="00C208F9"/>
    <w:rsid w:val="00C20983"/>
    <w:rsid w:val="00C20C5C"/>
    <w:rsid w:val="00C20C72"/>
    <w:rsid w:val="00C20CCA"/>
    <w:rsid w:val="00C20D92"/>
    <w:rsid w:val="00C20E06"/>
    <w:rsid w:val="00C20E1A"/>
    <w:rsid w:val="00C20E30"/>
    <w:rsid w:val="00C20E46"/>
    <w:rsid w:val="00C20E8D"/>
    <w:rsid w:val="00C21022"/>
    <w:rsid w:val="00C21093"/>
    <w:rsid w:val="00C210BF"/>
    <w:rsid w:val="00C210E3"/>
    <w:rsid w:val="00C21105"/>
    <w:rsid w:val="00C2112A"/>
    <w:rsid w:val="00C21192"/>
    <w:rsid w:val="00C211FF"/>
    <w:rsid w:val="00C2126C"/>
    <w:rsid w:val="00C212D4"/>
    <w:rsid w:val="00C21303"/>
    <w:rsid w:val="00C213C7"/>
    <w:rsid w:val="00C21448"/>
    <w:rsid w:val="00C21463"/>
    <w:rsid w:val="00C2153D"/>
    <w:rsid w:val="00C21556"/>
    <w:rsid w:val="00C2159C"/>
    <w:rsid w:val="00C215AD"/>
    <w:rsid w:val="00C2162B"/>
    <w:rsid w:val="00C216DB"/>
    <w:rsid w:val="00C217F9"/>
    <w:rsid w:val="00C21805"/>
    <w:rsid w:val="00C218C3"/>
    <w:rsid w:val="00C21902"/>
    <w:rsid w:val="00C2190E"/>
    <w:rsid w:val="00C21A58"/>
    <w:rsid w:val="00C21BBA"/>
    <w:rsid w:val="00C21E13"/>
    <w:rsid w:val="00C21E58"/>
    <w:rsid w:val="00C21E8F"/>
    <w:rsid w:val="00C21EEB"/>
    <w:rsid w:val="00C21EFF"/>
    <w:rsid w:val="00C21F95"/>
    <w:rsid w:val="00C22039"/>
    <w:rsid w:val="00C2209F"/>
    <w:rsid w:val="00C2216B"/>
    <w:rsid w:val="00C2217F"/>
    <w:rsid w:val="00C221A6"/>
    <w:rsid w:val="00C221C3"/>
    <w:rsid w:val="00C22237"/>
    <w:rsid w:val="00C222A1"/>
    <w:rsid w:val="00C222B8"/>
    <w:rsid w:val="00C22330"/>
    <w:rsid w:val="00C224ED"/>
    <w:rsid w:val="00C225F9"/>
    <w:rsid w:val="00C2264D"/>
    <w:rsid w:val="00C22672"/>
    <w:rsid w:val="00C22748"/>
    <w:rsid w:val="00C2277D"/>
    <w:rsid w:val="00C22790"/>
    <w:rsid w:val="00C22807"/>
    <w:rsid w:val="00C228C5"/>
    <w:rsid w:val="00C22977"/>
    <w:rsid w:val="00C2299E"/>
    <w:rsid w:val="00C229ED"/>
    <w:rsid w:val="00C22B4F"/>
    <w:rsid w:val="00C22BEC"/>
    <w:rsid w:val="00C22C59"/>
    <w:rsid w:val="00C22D60"/>
    <w:rsid w:val="00C22DB2"/>
    <w:rsid w:val="00C22DCF"/>
    <w:rsid w:val="00C22DDD"/>
    <w:rsid w:val="00C22DF8"/>
    <w:rsid w:val="00C22E39"/>
    <w:rsid w:val="00C22F3C"/>
    <w:rsid w:val="00C22F79"/>
    <w:rsid w:val="00C22FBA"/>
    <w:rsid w:val="00C2301F"/>
    <w:rsid w:val="00C23153"/>
    <w:rsid w:val="00C2317F"/>
    <w:rsid w:val="00C231B7"/>
    <w:rsid w:val="00C231CA"/>
    <w:rsid w:val="00C23298"/>
    <w:rsid w:val="00C232EC"/>
    <w:rsid w:val="00C2334E"/>
    <w:rsid w:val="00C23388"/>
    <w:rsid w:val="00C2346E"/>
    <w:rsid w:val="00C234A5"/>
    <w:rsid w:val="00C2359F"/>
    <w:rsid w:val="00C23601"/>
    <w:rsid w:val="00C2391F"/>
    <w:rsid w:val="00C239AF"/>
    <w:rsid w:val="00C23A12"/>
    <w:rsid w:val="00C23C3C"/>
    <w:rsid w:val="00C23C49"/>
    <w:rsid w:val="00C23D21"/>
    <w:rsid w:val="00C23D51"/>
    <w:rsid w:val="00C23DB8"/>
    <w:rsid w:val="00C23FE7"/>
    <w:rsid w:val="00C2407F"/>
    <w:rsid w:val="00C24098"/>
    <w:rsid w:val="00C240D3"/>
    <w:rsid w:val="00C24158"/>
    <w:rsid w:val="00C2416F"/>
    <w:rsid w:val="00C24299"/>
    <w:rsid w:val="00C24355"/>
    <w:rsid w:val="00C243D2"/>
    <w:rsid w:val="00C244C7"/>
    <w:rsid w:val="00C24578"/>
    <w:rsid w:val="00C2466E"/>
    <w:rsid w:val="00C24724"/>
    <w:rsid w:val="00C247BC"/>
    <w:rsid w:val="00C247CA"/>
    <w:rsid w:val="00C248FB"/>
    <w:rsid w:val="00C24916"/>
    <w:rsid w:val="00C24962"/>
    <w:rsid w:val="00C24A50"/>
    <w:rsid w:val="00C24A58"/>
    <w:rsid w:val="00C24B79"/>
    <w:rsid w:val="00C24C12"/>
    <w:rsid w:val="00C24C6B"/>
    <w:rsid w:val="00C24C79"/>
    <w:rsid w:val="00C24C8A"/>
    <w:rsid w:val="00C24CAF"/>
    <w:rsid w:val="00C24CF5"/>
    <w:rsid w:val="00C24E46"/>
    <w:rsid w:val="00C24E9D"/>
    <w:rsid w:val="00C24F40"/>
    <w:rsid w:val="00C24FD1"/>
    <w:rsid w:val="00C2502D"/>
    <w:rsid w:val="00C25053"/>
    <w:rsid w:val="00C25095"/>
    <w:rsid w:val="00C250A8"/>
    <w:rsid w:val="00C250D4"/>
    <w:rsid w:val="00C25128"/>
    <w:rsid w:val="00C25237"/>
    <w:rsid w:val="00C2526E"/>
    <w:rsid w:val="00C25401"/>
    <w:rsid w:val="00C25454"/>
    <w:rsid w:val="00C254DA"/>
    <w:rsid w:val="00C254F0"/>
    <w:rsid w:val="00C2558C"/>
    <w:rsid w:val="00C255B4"/>
    <w:rsid w:val="00C256A9"/>
    <w:rsid w:val="00C256FE"/>
    <w:rsid w:val="00C25701"/>
    <w:rsid w:val="00C25774"/>
    <w:rsid w:val="00C2586F"/>
    <w:rsid w:val="00C25932"/>
    <w:rsid w:val="00C259E4"/>
    <w:rsid w:val="00C259E7"/>
    <w:rsid w:val="00C25AD7"/>
    <w:rsid w:val="00C25AF0"/>
    <w:rsid w:val="00C25B24"/>
    <w:rsid w:val="00C25B25"/>
    <w:rsid w:val="00C25B8B"/>
    <w:rsid w:val="00C25BD5"/>
    <w:rsid w:val="00C25C08"/>
    <w:rsid w:val="00C25C76"/>
    <w:rsid w:val="00C25EA7"/>
    <w:rsid w:val="00C25EC3"/>
    <w:rsid w:val="00C25F8A"/>
    <w:rsid w:val="00C25FCD"/>
    <w:rsid w:val="00C260FA"/>
    <w:rsid w:val="00C26162"/>
    <w:rsid w:val="00C26197"/>
    <w:rsid w:val="00C2619D"/>
    <w:rsid w:val="00C2624B"/>
    <w:rsid w:val="00C26275"/>
    <w:rsid w:val="00C2629A"/>
    <w:rsid w:val="00C262C3"/>
    <w:rsid w:val="00C26323"/>
    <w:rsid w:val="00C2641D"/>
    <w:rsid w:val="00C26487"/>
    <w:rsid w:val="00C266A9"/>
    <w:rsid w:val="00C266C7"/>
    <w:rsid w:val="00C266D3"/>
    <w:rsid w:val="00C2676A"/>
    <w:rsid w:val="00C267D2"/>
    <w:rsid w:val="00C26856"/>
    <w:rsid w:val="00C268B1"/>
    <w:rsid w:val="00C26997"/>
    <w:rsid w:val="00C26A06"/>
    <w:rsid w:val="00C26A11"/>
    <w:rsid w:val="00C26A6C"/>
    <w:rsid w:val="00C26ABE"/>
    <w:rsid w:val="00C26B0D"/>
    <w:rsid w:val="00C26BE4"/>
    <w:rsid w:val="00C26BEB"/>
    <w:rsid w:val="00C26DCA"/>
    <w:rsid w:val="00C26DEF"/>
    <w:rsid w:val="00C26EAD"/>
    <w:rsid w:val="00C27022"/>
    <w:rsid w:val="00C27195"/>
    <w:rsid w:val="00C27259"/>
    <w:rsid w:val="00C2747E"/>
    <w:rsid w:val="00C274AF"/>
    <w:rsid w:val="00C27588"/>
    <w:rsid w:val="00C27629"/>
    <w:rsid w:val="00C27632"/>
    <w:rsid w:val="00C27687"/>
    <w:rsid w:val="00C2774D"/>
    <w:rsid w:val="00C277A0"/>
    <w:rsid w:val="00C279B1"/>
    <w:rsid w:val="00C279B4"/>
    <w:rsid w:val="00C27A02"/>
    <w:rsid w:val="00C27AFC"/>
    <w:rsid w:val="00C27BA1"/>
    <w:rsid w:val="00C27C21"/>
    <w:rsid w:val="00C27C77"/>
    <w:rsid w:val="00C27C91"/>
    <w:rsid w:val="00C27E05"/>
    <w:rsid w:val="00C27E24"/>
    <w:rsid w:val="00C30033"/>
    <w:rsid w:val="00C3018D"/>
    <w:rsid w:val="00C301B2"/>
    <w:rsid w:val="00C301DC"/>
    <w:rsid w:val="00C301ED"/>
    <w:rsid w:val="00C30302"/>
    <w:rsid w:val="00C30306"/>
    <w:rsid w:val="00C30363"/>
    <w:rsid w:val="00C3041F"/>
    <w:rsid w:val="00C305A9"/>
    <w:rsid w:val="00C305F2"/>
    <w:rsid w:val="00C306AE"/>
    <w:rsid w:val="00C30719"/>
    <w:rsid w:val="00C30797"/>
    <w:rsid w:val="00C307CE"/>
    <w:rsid w:val="00C309BA"/>
    <w:rsid w:val="00C30A1C"/>
    <w:rsid w:val="00C30A39"/>
    <w:rsid w:val="00C30AA1"/>
    <w:rsid w:val="00C30C03"/>
    <w:rsid w:val="00C30C36"/>
    <w:rsid w:val="00C30C4E"/>
    <w:rsid w:val="00C30C87"/>
    <w:rsid w:val="00C30CB1"/>
    <w:rsid w:val="00C30CE3"/>
    <w:rsid w:val="00C30D20"/>
    <w:rsid w:val="00C30FCF"/>
    <w:rsid w:val="00C31076"/>
    <w:rsid w:val="00C3116D"/>
    <w:rsid w:val="00C31189"/>
    <w:rsid w:val="00C31281"/>
    <w:rsid w:val="00C312B6"/>
    <w:rsid w:val="00C312CA"/>
    <w:rsid w:val="00C312D2"/>
    <w:rsid w:val="00C316EB"/>
    <w:rsid w:val="00C319B0"/>
    <w:rsid w:val="00C31AC1"/>
    <w:rsid w:val="00C31B64"/>
    <w:rsid w:val="00C31BC6"/>
    <w:rsid w:val="00C31C03"/>
    <w:rsid w:val="00C31C22"/>
    <w:rsid w:val="00C31CB6"/>
    <w:rsid w:val="00C31D65"/>
    <w:rsid w:val="00C31DF6"/>
    <w:rsid w:val="00C31F4D"/>
    <w:rsid w:val="00C31FF5"/>
    <w:rsid w:val="00C32052"/>
    <w:rsid w:val="00C32062"/>
    <w:rsid w:val="00C320D1"/>
    <w:rsid w:val="00C3213E"/>
    <w:rsid w:val="00C3215A"/>
    <w:rsid w:val="00C321A1"/>
    <w:rsid w:val="00C321C4"/>
    <w:rsid w:val="00C321E0"/>
    <w:rsid w:val="00C321F0"/>
    <w:rsid w:val="00C3223C"/>
    <w:rsid w:val="00C322F7"/>
    <w:rsid w:val="00C323A1"/>
    <w:rsid w:val="00C323FE"/>
    <w:rsid w:val="00C32485"/>
    <w:rsid w:val="00C324CE"/>
    <w:rsid w:val="00C325F6"/>
    <w:rsid w:val="00C326A8"/>
    <w:rsid w:val="00C326AB"/>
    <w:rsid w:val="00C32759"/>
    <w:rsid w:val="00C32782"/>
    <w:rsid w:val="00C32806"/>
    <w:rsid w:val="00C32847"/>
    <w:rsid w:val="00C328C2"/>
    <w:rsid w:val="00C328CD"/>
    <w:rsid w:val="00C32958"/>
    <w:rsid w:val="00C32A11"/>
    <w:rsid w:val="00C32A14"/>
    <w:rsid w:val="00C32A4A"/>
    <w:rsid w:val="00C32B64"/>
    <w:rsid w:val="00C32BEB"/>
    <w:rsid w:val="00C32CD6"/>
    <w:rsid w:val="00C32D53"/>
    <w:rsid w:val="00C32D75"/>
    <w:rsid w:val="00C32E17"/>
    <w:rsid w:val="00C32E45"/>
    <w:rsid w:val="00C32E5D"/>
    <w:rsid w:val="00C32F25"/>
    <w:rsid w:val="00C33018"/>
    <w:rsid w:val="00C331A7"/>
    <w:rsid w:val="00C331EA"/>
    <w:rsid w:val="00C3329F"/>
    <w:rsid w:val="00C332A4"/>
    <w:rsid w:val="00C332BE"/>
    <w:rsid w:val="00C332BF"/>
    <w:rsid w:val="00C33360"/>
    <w:rsid w:val="00C33370"/>
    <w:rsid w:val="00C33539"/>
    <w:rsid w:val="00C33756"/>
    <w:rsid w:val="00C337E2"/>
    <w:rsid w:val="00C33868"/>
    <w:rsid w:val="00C3387C"/>
    <w:rsid w:val="00C338F3"/>
    <w:rsid w:val="00C33928"/>
    <w:rsid w:val="00C339AE"/>
    <w:rsid w:val="00C339BF"/>
    <w:rsid w:val="00C33A0E"/>
    <w:rsid w:val="00C33A37"/>
    <w:rsid w:val="00C33AF6"/>
    <w:rsid w:val="00C33B0E"/>
    <w:rsid w:val="00C33B13"/>
    <w:rsid w:val="00C33BA1"/>
    <w:rsid w:val="00C33C7C"/>
    <w:rsid w:val="00C33F81"/>
    <w:rsid w:val="00C33FAD"/>
    <w:rsid w:val="00C33FBC"/>
    <w:rsid w:val="00C34218"/>
    <w:rsid w:val="00C3422A"/>
    <w:rsid w:val="00C342EB"/>
    <w:rsid w:val="00C3433C"/>
    <w:rsid w:val="00C3442B"/>
    <w:rsid w:val="00C3442D"/>
    <w:rsid w:val="00C34481"/>
    <w:rsid w:val="00C344FF"/>
    <w:rsid w:val="00C34515"/>
    <w:rsid w:val="00C3453F"/>
    <w:rsid w:val="00C3471A"/>
    <w:rsid w:val="00C3481B"/>
    <w:rsid w:val="00C348BE"/>
    <w:rsid w:val="00C348BF"/>
    <w:rsid w:val="00C34980"/>
    <w:rsid w:val="00C34A1C"/>
    <w:rsid w:val="00C34AE8"/>
    <w:rsid w:val="00C34B29"/>
    <w:rsid w:val="00C34B53"/>
    <w:rsid w:val="00C34BB5"/>
    <w:rsid w:val="00C34C7C"/>
    <w:rsid w:val="00C34CDD"/>
    <w:rsid w:val="00C34DB7"/>
    <w:rsid w:val="00C34DDE"/>
    <w:rsid w:val="00C34EA0"/>
    <w:rsid w:val="00C35089"/>
    <w:rsid w:val="00C350A6"/>
    <w:rsid w:val="00C3519D"/>
    <w:rsid w:val="00C351B8"/>
    <w:rsid w:val="00C351EA"/>
    <w:rsid w:val="00C35226"/>
    <w:rsid w:val="00C352A4"/>
    <w:rsid w:val="00C35519"/>
    <w:rsid w:val="00C355BF"/>
    <w:rsid w:val="00C355D1"/>
    <w:rsid w:val="00C356CB"/>
    <w:rsid w:val="00C35726"/>
    <w:rsid w:val="00C35796"/>
    <w:rsid w:val="00C3582B"/>
    <w:rsid w:val="00C35885"/>
    <w:rsid w:val="00C359FE"/>
    <w:rsid w:val="00C35A0B"/>
    <w:rsid w:val="00C35B96"/>
    <w:rsid w:val="00C35CF2"/>
    <w:rsid w:val="00C35D3E"/>
    <w:rsid w:val="00C35DDD"/>
    <w:rsid w:val="00C35E42"/>
    <w:rsid w:val="00C35F23"/>
    <w:rsid w:val="00C35F3B"/>
    <w:rsid w:val="00C36161"/>
    <w:rsid w:val="00C3618E"/>
    <w:rsid w:val="00C361D3"/>
    <w:rsid w:val="00C361DD"/>
    <w:rsid w:val="00C36273"/>
    <w:rsid w:val="00C3628C"/>
    <w:rsid w:val="00C363F8"/>
    <w:rsid w:val="00C364A6"/>
    <w:rsid w:val="00C366CF"/>
    <w:rsid w:val="00C367FD"/>
    <w:rsid w:val="00C36889"/>
    <w:rsid w:val="00C36962"/>
    <w:rsid w:val="00C369A3"/>
    <w:rsid w:val="00C36A1F"/>
    <w:rsid w:val="00C36AE9"/>
    <w:rsid w:val="00C36AFC"/>
    <w:rsid w:val="00C36B81"/>
    <w:rsid w:val="00C36BEA"/>
    <w:rsid w:val="00C36C49"/>
    <w:rsid w:val="00C36ECE"/>
    <w:rsid w:val="00C36EE2"/>
    <w:rsid w:val="00C36FCE"/>
    <w:rsid w:val="00C37151"/>
    <w:rsid w:val="00C37273"/>
    <w:rsid w:val="00C372AC"/>
    <w:rsid w:val="00C372CB"/>
    <w:rsid w:val="00C3734C"/>
    <w:rsid w:val="00C3738F"/>
    <w:rsid w:val="00C3741E"/>
    <w:rsid w:val="00C3745C"/>
    <w:rsid w:val="00C37500"/>
    <w:rsid w:val="00C3761C"/>
    <w:rsid w:val="00C376CC"/>
    <w:rsid w:val="00C3773B"/>
    <w:rsid w:val="00C3775A"/>
    <w:rsid w:val="00C377BC"/>
    <w:rsid w:val="00C37853"/>
    <w:rsid w:val="00C37966"/>
    <w:rsid w:val="00C3798A"/>
    <w:rsid w:val="00C37B0F"/>
    <w:rsid w:val="00C37B3C"/>
    <w:rsid w:val="00C37B55"/>
    <w:rsid w:val="00C37C0D"/>
    <w:rsid w:val="00C37C3C"/>
    <w:rsid w:val="00C37CBA"/>
    <w:rsid w:val="00C37CEB"/>
    <w:rsid w:val="00C37D2D"/>
    <w:rsid w:val="00C37D77"/>
    <w:rsid w:val="00C37E0A"/>
    <w:rsid w:val="00C40000"/>
    <w:rsid w:val="00C40125"/>
    <w:rsid w:val="00C4016B"/>
    <w:rsid w:val="00C4018A"/>
    <w:rsid w:val="00C401C6"/>
    <w:rsid w:val="00C40384"/>
    <w:rsid w:val="00C404A1"/>
    <w:rsid w:val="00C40549"/>
    <w:rsid w:val="00C405AA"/>
    <w:rsid w:val="00C40628"/>
    <w:rsid w:val="00C4066A"/>
    <w:rsid w:val="00C40782"/>
    <w:rsid w:val="00C40918"/>
    <w:rsid w:val="00C409A3"/>
    <w:rsid w:val="00C409C5"/>
    <w:rsid w:val="00C40A37"/>
    <w:rsid w:val="00C40B6E"/>
    <w:rsid w:val="00C40B94"/>
    <w:rsid w:val="00C40C08"/>
    <w:rsid w:val="00C40C5D"/>
    <w:rsid w:val="00C40C87"/>
    <w:rsid w:val="00C40CAD"/>
    <w:rsid w:val="00C40DB7"/>
    <w:rsid w:val="00C40DEE"/>
    <w:rsid w:val="00C40E4E"/>
    <w:rsid w:val="00C40EAB"/>
    <w:rsid w:val="00C40EC4"/>
    <w:rsid w:val="00C40F2F"/>
    <w:rsid w:val="00C40F5E"/>
    <w:rsid w:val="00C40FD6"/>
    <w:rsid w:val="00C41001"/>
    <w:rsid w:val="00C410DA"/>
    <w:rsid w:val="00C41197"/>
    <w:rsid w:val="00C4124B"/>
    <w:rsid w:val="00C4129C"/>
    <w:rsid w:val="00C412BE"/>
    <w:rsid w:val="00C412C0"/>
    <w:rsid w:val="00C41332"/>
    <w:rsid w:val="00C41348"/>
    <w:rsid w:val="00C41381"/>
    <w:rsid w:val="00C413AB"/>
    <w:rsid w:val="00C413EE"/>
    <w:rsid w:val="00C41440"/>
    <w:rsid w:val="00C4149E"/>
    <w:rsid w:val="00C41525"/>
    <w:rsid w:val="00C415EE"/>
    <w:rsid w:val="00C41634"/>
    <w:rsid w:val="00C41683"/>
    <w:rsid w:val="00C41693"/>
    <w:rsid w:val="00C416AC"/>
    <w:rsid w:val="00C418DD"/>
    <w:rsid w:val="00C41946"/>
    <w:rsid w:val="00C4198A"/>
    <w:rsid w:val="00C419E0"/>
    <w:rsid w:val="00C41AFD"/>
    <w:rsid w:val="00C41B17"/>
    <w:rsid w:val="00C41B38"/>
    <w:rsid w:val="00C41BA4"/>
    <w:rsid w:val="00C41C5B"/>
    <w:rsid w:val="00C41D41"/>
    <w:rsid w:val="00C41DD7"/>
    <w:rsid w:val="00C41E27"/>
    <w:rsid w:val="00C41E2B"/>
    <w:rsid w:val="00C41E46"/>
    <w:rsid w:val="00C41EBF"/>
    <w:rsid w:val="00C41ED8"/>
    <w:rsid w:val="00C41F7E"/>
    <w:rsid w:val="00C42004"/>
    <w:rsid w:val="00C42010"/>
    <w:rsid w:val="00C42028"/>
    <w:rsid w:val="00C42081"/>
    <w:rsid w:val="00C42255"/>
    <w:rsid w:val="00C4227D"/>
    <w:rsid w:val="00C42307"/>
    <w:rsid w:val="00C42314"/>
    <w:rsid w:val="00C423D3"/>
    <w:rsid w:val="00C42527"/>
    <w:rsid w:val="00C4254A"/>
    <w:rsid w:val="00C4284D"/>
    <w:rsid w:val="00C42878"/>
    <w:rsid w:val="00C4287F"/>
    <w:rsid w:val="00C428A8"/>
    <w:rsid w:val="00C428F1"/>
    <w:rsid w:val="00C428FD"/>
    <w:rsid w:val="00C42986"/>
    <w:rsid w:val="00C429A0"/>
    <w:rsid w:val="00C429DD"/>
    <w:rsid w:val="00C42B9B"/>
    <w:rsid w:val="00C42C52"/>
    <w:rsid w:val="00C42CB1"/>
    <w:rsid w:val="00C42CD3"/>
    <w:rsid w:val="00C42D9F"/>
    <w:rsid w:val="00C42ECF"/>
    <w:rsid w:val="00C42F2C"/>
    <w:rsid w:val="00C4300A"/>
    <w:rsid w:val="00C43075"/>
    <w:rsid w:val="00C430A3"/>
    <w:rsid w:val="00C43114"/>
    <w:rsid w:val="00C431A8"/>
    <w:rsid w:val="00C431E3"/>
    <w:rsid w:val="00C43261"/>
    <w:rsid w:val="00C433F2"/>
    <w:rsid w:val="00C433F5"/>
    <w:rsid w:val="00C4348A"/>
    <w:rsid w:val="00C4351E"/>
    <w:rsid w:val="00C4363C"/>
    <w:rsid w:val="00C43659"/>
    <w:rsid w:val="00C4368E"/>
    <w:rsid w:val="00C437C3"/>
    <w:rsid w:val="00C4385B"/>
    <w:rsid w:val="00C438A2"/>
    <w:rsid w:val="00C4395F"/>
    <w:rsid w:val="00C43AA7"/>
    <w:rsid w:val="00C43AB9"/>
    <w:rsid w:val="00C43AF2"/>
    <w:rsid w:val="00C43BF4"/>
    <w:rsid w:val="00C43C27"/>
    <w:rsid w:val="00C43CB3"/>
    <w:rsid w:val="00C43D28"/>
    <w:rsid w:val="00C43F41"/>
    <w:rsid w:val="00C43FAB"/>
    <w:rsid w:val="00C43FD7"/>
    <w:rsid w:val="00C43FE9"/>
    <w:rsid w:val="00C44028"/>
    <w:rsid w:val="00C44082"/>
    <w:rsid w:val="00C44118"/>
    <w:rsid w:val="00C441DE"/>
    <w:rsid w:val="00C441FC"/>
    <w:rsid w:val="00C4425B"/>
    <w:rsid w:val="00C4429E"/>
    <w:rsid w:val="00C44341"/>
    <w:rsid w:val="00C44394"/>
    <w:rsid w:val="00C44410"/>
    <w:rsid w:val="00C444ED"/>
    <w:rsid w:val="00C4470B"/>
    <w:rsid w:val="00C447A7"/>
    <w:rsid w:val="00C448A3"/>
    <w:rsid w:val="00C448D0"/>
    <w:rsid w:val="00C44954"/>
    <w:rsid w:val="00C4499B"/>
    <w:rsid w:val="00C449C2"/>
    <w:rsid w:val="00C44A38"/>
    <w:rsid w:val="00C44A85"/>
    <w:rsid w:val="00C44AC9"/>
    <w:rsid w:val="00C44B51"/>
    <w:rsid w:val="00C44CBC"/>
    <w:rsid w:val="00C44D7D"/>
    <w:rsid w:val="00C44DCA"/>
    <w:rsid w:val="00C44DCE"/>
    <w:rsid w:val="00C44DEB"/>
    <w:rsid w:val="00C44E3B"/>
    <w:rsid w:val="00C44E9E"/>
    <w:rsid w:val="00C44F30"/>
    <w:rsid w:val="00C44F42"/>
    <w:rsid w:val="00C44F44"/>
    <w:rsid w:val="00C44FBD"/>
    <w:rsid w:val="00C44FEC"/>
    <w:rsid w:val="00C4506C"/>
    <w:rsid w:val="00C45151"/>
    <w:rsid w:val="00C451FA"/>
    <w:rsid w:val="00C4521D"/>
    <w:rsid w:val="00C45222"/>
    <w:rsid w:val="00C4523C"/>
    <w:rsid w:val="00C45261"/>
    <w:rsid w:val="00C4537C"/>
    <w:rsid w:val="00C45417"/>
    <w:rsid w:val="00C4544D"/>
    <w:rsid w:val="00C4551E"/>
    <w:rsid w:val="00C45526"/>
    <w:rsid w:val="00C45535"/>
    <w:rsid w:val="00C4558B"/>
    <w:rsid w:val="00C45598"/>
    <w:rsid w:val="00C4559D"/>
    <w:rsid w:val="00C455F5"/>
    <w:rsid w:val="00C4587A"/>
    <w:rsid w:val="00C4587C"/>
    <w:rsid w:val="00C458CC"/>
    <w:rsid w:val="00C45C41"/>
    <w:rsid w:val="00C45D30"/>
    <w:rsid w:val="00C45DAD"/>
    <w:rsid w:val="00C45DBE"/>
    <w:rsid w:val="00C45EA6"/>
    <w:rsid w:val="00C45FCA"/>
    <w:rsid w:val="00C45FE2"/>
    <w:rsid w:val="00C4602A"/>
    <w:rsid w:val="00C460DC"/>
    <w:rsid w:val="00C4611A"/>
    <w:rsid w:val="00C4616C"/>
    <w:rsid w:val="00C46230"/>
    <w:rsid w:val="00C462ED"/>
    <w:rsid w:val="00C464E9"/>
    <w:rsid w:val="00C46540"/>
    <w:rsid w:val="00C4672E"/>
    <w:rsid w:val="00C4684A"/>
    <w:rsid w:val="00C468C3"/>
    <w:rsid w:val="00C469C3"/>
    <w:rsid w:val="00C46B3E"/>
    <w:rsid w:val="00C46B8B"/>
    <w:rsid w:val="00C46BD8"/>
    <w:rsid w:val="00C46CF8"/>
    <w:rsid w:val="00C46D47"/>
    <w:rsid w:val="00C46D82"/>
    <w:rsid w:val="00C46DBA"/>
    <w:rsid w:val="00C46DC7"/>
    <w:rsid w:val="00C46EEF"/>
    <w:rsid w:val="00C46F67"/>
    <w:rsid w:val="00C46F70"/>
    <w:rsid w:val="00C46FB0"/>
    <w:rsid w:val="00C46FB7"/>
    <w:rsid w:val="00C47016"/>
    <w:rsid w:val="00C47075"/>
    <w:rsid w:val="00C4709D"/>
    <w:rsid w:val="00C470D7"/>
    <w:rsid w:val="00C4713A"/>
    <w:rsid w:val="00C471B3"/>
    <w:rsid w:val="00C47349"/>
    <w:rsid w:val="00C47366"/>
    <w:rsid w:val="00C4736D"/>
    <w:rsid w:val="00C473AC"/>
    <w:rsid w:val="00C473CC"/>
    <w:rsid w:val="00C474EA"/>
    <w:rsid w:val="00C47582"/>
    <w:rsid w:val="00C475FB"/>
    <w:rsid w:val="00C47669"/>
    <w:rsid w:val="00C476C2"/>
    <w:rsid w:val="00C4773A"/>
    <w:rsid w:val="00C477D8"/>
    <w:rsid w:val="00C47A93"/>
    <w:rsid w:val="00C47AD1"/>
    <w:rsid w:val="00C47B71"/>
    <w:rsid w:val="00C47BBE"/>
    <w:rsid w:val="00C47C79"/>
    <w:rsid w:val="00C47CFB"/>
    <w:rsid w:val="00C47D02"/>
    <w:rsid w:val="00C47DD2"/>
    <w:rsid w:val="00C47E40"/>
    <w:rsid w:val="00C47FE9"/>
    <w:rsid w:val="00C50149"/>
    <w:rsid w:val="00C5015F"/>
    <w:rsid w:val="00C501CD"/>
    <w:rsid w:val="00C50233"/>
    <w:rsid w:val="00C50250"/>
    <w:rsid w:val="00C50357"/>
    <w:rsid w:val="00C50361"/>
    <w:rsid w:val="00C503AC"/>
    <w:rsid w:val="00C5040E"/>
    <w:rsid w:val="00C50494"/>
    <w:rsid w:val="00C50523"/>
    <w:rsid w:val="00C5065D"/>
    <w:rsid w:val="00C50730"/>
    <w:rsid w:val="00C5078E"/>
    <w:rsid w:val="00C50813"/>
    <w:rsid w:val="00C509F0"/>
    <w:rsid w:val="00C50A3E"/>
    <w:rsid w:val="00C50B2A"/>
    <w:rsid w:val="00C50B47"/>
    <w:rsid w:val="00C50BA4"/>
    <w:rsid w:val="00C50BD5"/>
    <w:rsid w:val="00C50C21"/>
    <w:rsid w:val="00C50C88"/>
    <w:rsid w:val="00C50CFD"/>
    <w:rsid w:val="00C50D5C"/>
    <w:rsid w:val="00C50D6B"/>
    <w:rsid w:val="00C50D7C"/>
    <w:rsid w:val="00C50D8C"/>
    <w:rsid w:val="00C50DB6"/>
    <w:rsid w:val="00C50DDA"/>
    <w:rsid w:val="00C50EBB"/>
    <w:rsid w:val="00C50EFF"/>
    <w:rsid w:val="00C50F25"/>
    <w:rsid w:val="00C50F5F"/>
    <w:rsid w:val="00C51061"/>
    <w:rsid w:val="00C5111C"/>
    <w:rsid w:val="00C5117E"/>
    <w:rsid w:val="00C51180"/>
    <w:rsid w:val="00C51226"/>
    <w:rsid w:val="00C51381"/>
    <w:rsid w:val="00C51455"/>
    <w:rsid w:val="00C514AA"/>
    <w:rsid w:val="00C51516"/>
    <w:rsid w:val="00C51564"/>
    <w:rsid w:val="00C515CF"/>
    <w:rsid w:val="00C51661"/>
    <w:rsid w:val="00C51672"/>
    <w:rsid w:val="00C51802"/>
    <w:rsid w:val="00C5180E"/>
    <w:rsid w:val="00C5182E"/>
    <w:rsid w:val="00C51A2B"/>
    <w:rsid w:val="00C51D22"/>
    <w:rsid w:val="00C51D63"/>
    <w:rsid w:val="00C51DC9"/>
    <w:rsid w:val="00C51EE8"/>
    <w:rsid w:val="00C51F10"/>
    <w:rsid w:val="00C51F96"/>
    <w:rsid w:val="00C520D0"/>
    <w:rsid w:val="00C52112"/>
    <w:rsid w:val="00C5223A"/>
    <w:rsid w:val="00C523C7"/>
    <w:rsid w:val="00C5246F"/>
    <w:rsid w:val="00C52824"/>
    <w:rsid w:val="00C52843"/>
    <w:rsid w:val="00C52992"/>
    <w:rsid w:val="00C529A3"/>
    <w:rsid w:val="00C52A1B"/>
    <w:rsid w:val="00C52A53"/>
    <w:rsid w:val="00C52A99"/>
    <w:rsid w:val="00C52BBF"/>
    <w:rsid w:val="00C52BD0"/>
    <w:rsid w:val="00C52C0A"/>
    <w:rsid w:val="00C52C56"/>
    <w:rsid w:val="00C52D5D"/>
    <w:rsid w:val="00C52DD8"/>
    <w:rsid w:val="00C52DEA"/>
    <w:rsid w:val="00C52E0D"/>
    <w:rsid w:val="00C52E28"/>
    <w:rsid w:val="00C52E42"/>
    <w:rsid w:val="00C52FCA"/>
    <w:rsid w:val="00C52FEF"/>
    <w:rsid w:val="00C53048"/>
    <w:rsid w:val="00C53055"/>
    <w:rsid w:val="00C530F1"/>
    <w:rsid w:val="00C530F9"/>
    <w:rsid w:val="00C53235"/>
    <w:rsid w:val="00C53268"/>
    <w:rsid w:val="00C53319"/>
    <w:rsid w:val="00C53343"/>
    <w:rsid w:val="00C533E2"/>
    <w:rsid w:val="00C533E4"/>
    <w:rsid w:val="00C534B6"/>
    <w:rsid w:val="00C534C8"/>
    <w:rsid w:val="00C535A4"/>
    <w:rsid w:val="00C535AD"/>
    <w:rsid w:val="00C5360E"/>
    <w:rsid w:val="00C536B0"/>
    <w:rsid w:val="00C53784"/>
    <w:rsid w:val="00C537B9"/>
    <w:rsid w:val="00C537D6"/>
    <w:rsid w:val="00C5387C"/>
    <w:rsid w:val="00C53A5A"/>
    <w:rsid w:val="00C53AAD"/>
    <w:rsid w:val="00C53B3D"/>
    <w:rsid w:val="00C53BDE"/>
    <w:rsid w:val="00C53C27"/>
    <w:rsid w:val="00C53C5E"/>
    <w:rsid w:val="00C53C76"/>
    <w:rsid w:val="00C53CBE"/>
    <w:rsid w:val="00C53D95"/>
    <w:rsid w:val="00C53DC4"/>
    <w:rsid w:val="00C540BC"/>
    <w:rsid w:val="00C540E6"/>
    <w:rsid w:val="00C54102"/>
    <w:rsid w:val="00C54197"/>
    <w:rsid w:val="00C54252"/>
    <w:rsid w:val="00C542AF"/>
    <w:rsid w:val="00C542D9"/>
    <w:rsid w:val="00C54332"/>
    <w:rsid w:val="00C5433D"/>
    <w:rsid w:val="00C5435C"/>
    <w:rsid w:val="00C54376"/>
    <w:rsid w:val="00C543C2"/>
    <w:rsid w:val="00C54449"/>
    <w:rsid w:val="00C5445C"/>
    <w:rsid w:val="00C544B6"/>
    <w:rsid w:val="00C5450C"/>
    <w:rsid w:val="00C546AB"/>
    <w:rsid w:val="00C5482B"/>
    <w:rsid w:val="00C5484E"/>
    <w:rsid w:val="00C54891"/>
    <w:rsid w:val="00C549A5"/>
    <w:rsid w:val="00C54A0B"/>
    <w:rsid w:val="00C54AC1"/>
    <w:rsid w:val="00C54B0F"/>
    <w:rsid w:val="00C54B56"/>
    <w:rsid w:val="00C54B67"/>
    <w:rsid w:val="00C54BAA"/>
    <w:rsid w:val="00C54CE2"/>
    <w:rsid w:val="00C54D01"/>
    <w:rsid w:val="00C54E53"/>
    <w:rsid w:val="00C54E9A"/>
    <w:rsid w:val="00C54F28"/>
    <w:rsid w:val="00C55010"/>
    <w:rsid w:val="00C55107"/>
    <w:rsid w:val="00C55111"/>
    <w:rsid w:val="00C55186"/>
    <w:rsid w:val="00C551FD"/>
    <w:rsid w:val="00C55220"/>
    <w:rsid w:val="00C55232"/>
    <w:rsid w:val="00C55290"/>
    <w:rsid w:val="00C5530D"/>
    <w:rsid w:val="00C55450"/>
    <w:rsid w:val="00C554A5"/>
    <w:rsid w:val="00C55577"/>
    <w:rsid w:val="00C5557F"/>
    <w:rsid w:val="00C555A0"/>
    <w:rsid w:val="00C55614"/>
    <w:rsid w:val="00C5561B"/>
    <w:rsid w:val="00C55697"/>
    <w:rsid w:val="00C55977"/>
    <w:rsid w:val="00C559DB"/>
    <w:rsid w:val="00C55A3C"/>
    <w:rsid w:val="00C55A9D"/>
    <w:rsid w:val="00C55ACD"/>
    <w:rsid w:val="00C55C04"/>
    <w:rsid w:val="00C55C95"/>
    <w:rsid w:val="00C55CBF"/>
    <w:rsid w:val="00C55CD3"/>
    <w:rsid w:val="00C55CDA"/>
    <w:rsid w:val="00C55D1E"/>
    <w:rsid w:val="00C55DF8"/>
    <w:rsid w:val="00C55E4E"/>
    <w:rsid w:val="00C55E73"/>
    <w:rsid w:val="00C55EBD"/>
    <w:rsid w:val="00C55FC2"/>
    <w:rsid w:val="00C5607F"/>
    <w:rsid w:val="00C560C6"/>
    <w:rsid w:val="00C5613D"/>
    <w:rsid w:val="00C56162"/>
    <w:rsid w:val="00C56172"/>
    <w:rsid w:val="00C56258"/>
    <w:rsid w:val="00C56265"/>
    <w:rsid w:val="00C5626D"/>
    <w:rsid w:val="00C5636F"/>
    <w:rsid w:val="00C564A1"/>
    <w:rsid w:val="00C564DA"/>
    <w:rsid w:val="00C56710"/>
    <w:rsid w:val="00C56765"/>
    <w:rsid w:val="00C567C5"/>
    <w:rsid w:val="00C567FD"/>
    <w:rsid w:val="00C5687B"/>
    <w:rsid w:val="00C56953"/>
    <w:rsid w:val="00C56960"/>
    <w:rsid w:val="00C569CE"/>
    <w:rsid w:val="00C56A47"/>
    <w:rsid w:val="00C56A6B"/>
    <w:rsid w:val="00C56BC0"/>
    <w:rsid w:val="00C56C33"/>
    <w:rsid w:val="00C56EBE"/>
    <w:rsid w:val="00C56F19"/>
    <w:rsid w:val="00C56F39"/>
    <w:rsid w:val="00C56F8D"/>
    <w:rsid w:val="00C5707E"/>
    <w:rsid w:val="00C57081"/>
    <w:rsid w:val="00C570B9"/>
    <w:rsid w:val="00C57129"/>
    <w:rsid w:val="00C571D6"/>
    <w:rsid w:val="00C571F4"/>
    <w:rsid w:val="00C57270"/>
    <w:rsid w:val="00C5735D"/>
    <w:rsid w:val="00C57404"/>
    <w:rsid w:val="00C5743E"/>
    <w:rsid w:val="00C574EB"/>
    <w:rsid w:val="00C575E9"/>
    <w:rsid w:val="00C576B6"/>
    <w:rsid w:val="00C576D5"/>
    <w:rsid w:val="00C57742"/>
    <w:rsid w:val="00C5784B"/>
    <w:rsid w:val="00C5789A"/>
    <w:rsid w:val="00C57956"/>
    <w:rsid w:val="00C57AEA"/>
    <w:rsid w:val="00C57B69"/>
    <w:rsid w:val="00C57C05"/>
    <w:rsid w:val="00C57C69"/>
    <w:rsid w:val="00C57E03"/>
    <w:rsid w:val="00C57E21"/>
    <w:rsid w:val="00C57E92"/>
    <w:rsid w:val="00C57FA0"/>
    <w:rsid w:val="00C60121"/>
    <w:rsid w:val="00C601DA"/>
    <w:rsid w:val="00C601E1"/>
    <w:rsid w:val="00C60285"/>
    <w:rsid w:val="00C603A0"/>
    <w:rsid w:val="00C603A6"/>
    <w:rsid w:val="00C603A8"/>
    <w:rsid w:val="00C6045A"/>
    <w:rsid w:val="00C6045C"/>
    <w:rsid w:val="00C60585"/>
    <w:rsid w:val="00C605C9"/>
    <w:rsid w:val="00C606DC"/>
    <w:rsid w:val="00C60729"/>
    <w:rsid w:val="00C60817"/>
    <w:rsid w:val="00C60855"/>
    <w:rsid w:val="00C608B3"/>
    <w:rsid w:val="00C608BF"/>
    <w:rsid w:val="00C608CE"/>
    <w:rsid w:val="00C6099E"/>
    <w:rsid w:val="00C609BC"/>
    <w:rsid w:val="00C60B35"/>
    <w:rsid w:val="00C60B4A"/>
    <w:rsid w:val="00C60C1D"/>
    <w:rsid w:val="00C60C51"/>
    <w:rsid w:val="00C60C88"/>
    <w:rsid w:val="00C60D8B"/>
    <w:rsid w:val="00C60D93"/>
    <w:rsid w:val="00C60DAE"/>
    <w:rsid w:val="00C60DE2"/>
    <w:rsid w:val="00C60F1C"/>
    <w:rsid w:val="00C60F4E"/>
    <w:rsid w:val="00C61053"/>
    <w:rsid w:val="00C6106F"/>
    <w:rsid w:val="00C610CD"/>
    <w:rsid w:val="00C611DE"/>
    <w:rsid w:val="00C612D1"/>
    <w:rsid w:val="00C61336"/>
    <w:rsid w:val="00C6134D"/>
    <w:rsid w:val="00C61501"/>
    <w:rsid w:val="00C61526"/>
    <w:rsid w:val="00C61588"/>
    <w:rsid w:val="00C615A7"/>
    <w:rsid w:val="00C615D9"/>
    <w:rsid w:val="00C6164A"/>
    <w:rsid w:val="00C61661"/>
    <w:rsid w:val="00C6168E"/>
    <w:rsid w:val="00C616ED"/>
    <w:rsid w:val="00C61774"/>
    <w:rsid w:val="00C61857"/>
    <w:rsid w:val="00C61886"/>
    <w:rsid w:val="00C618A0"/>
    <w:rsid w:val="00C618DF"/>
    <w:rsid w:val="00C619CC"/>
    <w:rsid w:val="00C619E3"/>
    <w:rsid w:val="00C61B22"/>
    <w:rsid w:val="00C61B8C"/>
    <w:rsid w:val="00C61B8D"/>
    <w:rsid w:val="00C61BB1"/>
    <w:rsid w:val="00C61CDA"/>
    <w:rsid w:val="00C61E4A"/>
    <w:rsid w:val="00C61E73"/>
    <w:rsid w:val="00C61F2E"/>
    <w:rsid w:val="00C61F5C"/>
    <w:rsid w:val="00C61FA8"/>
    <w:rsid w:val="00C61FA9"/>
    <w:rsid w:val="00C61FBF"/>
    <w:rsid w:val="00C6205B"/>
    <w:rsid w:val="00C6218F"/>
    <w:rsid w:val="00C621B8"/>
    <w:rsid w:val="00C622A8"/>
    <w:rsid w:val="00C62314"/>
    <w:rsid w:val="00C623D6"/>
    <w:rsid w:val="00C62659"/>
    <w:rsid w:val="00C627CB"/>
    <w:rsid w:val="00C6284F"/>
    <w:rsid w:val="00C628A4"/>
    <w:rsid w:val="00C628EB"/>
    <w:rsid w:val="00C628EF"/>
    <w:rsid w:val="00C62930"/>
    <w:rsid w:val="00C62A1B"/>
    <w:rsid w:val="00C62A6E"/>
    <w:rsid w:val="00C62A8B"/>
    <w:rsid w:val="00C62B82"/>
    <w:rsid w:val="00C62BC4"/>
    <w:rsid w:val="00C62C60"/>
    <w:rsid w:val="00C62C9D"/>
    <w:rsid w:val="00C62D2D"/>
    <w:rsid w:val="00C62D54"/>
    <w:rsid w:val="00C62DFF"/>
    <w:rsid w:val="00C62F6F"/>
    <w:rsid w:val="00C630C9"/>
    <w:rsid w:val="00C632BC"/>
    <w:rsid w:val="00C632F4"/>
    <w:rsid w:val="00C63387"/>
    <w:rsid w:val="00C63409"/>
    <w:rsid w:val="00C6341D"/>
    <w:rsid w:val="00C63457"/>
    <w:rsid w:val="00C63475"/>
    <w:rsid w:val="00C63632"/>
    <w:rsid w:val="00C636CC"/>
    <w:rsid w:val="00C63726"/>
    <w:rsid w:val="00C6374F"/>
    <w:rsid w:val="00C63756"/>
    <w:rsid w:val="00C637D5"/>
    <w:rsid w:val="00C639BC"/>
    <w:rsid w:val="00C639CF"/>
    <w:rsid w:val="00C639F4"/>
    <w:rsid w:val="00C63A26"/>
    <w:rsid w:val="00C63A70"/>
    <w:rsid w:val="00C63AF7"/>
    <w:rsid w:val="00C63BC9"/>
    <w:rsid w:val="00C63C06"/>
    <w:rsid w:val="00C63CAA"/>
    <w:rsid w:val="00C63CD3"/>
    <w:rsid w:val="00C63CF1"/>
    <w:rsid w:val="00C63D02"/>
    <w:rsid w:val="00C63E2E"/>
    <w:rsid w:val="00C63EB6"/>
    <w:rsid w:val="00C63ED3"/>
    <w:rsid w:val="00C63F70"/>
    <w:rsid w:val="00C64003"/>
    <w:rsid w:val="00C64037"/>
    <w:rsid w:val="00C640B5"/>
    <w:rsid w:val="00C640ED"/>
    <w:rsid w:val="00C64179"/>
    <w:rsid w:val="00C6418F"/>
    <w:rsid w:val="00C64191"/>
    <w:rsid w:val="00C642B8"/>
    <w:rsid w:val="00C6437E"/>
    <w:rsid w:val="00C643E6"/>
    <w:rsid w:val="00C6448B"/>
    <w:rsid w:val="00C64494"/>
    <w:rsid w:val="00C64502"/>
    <w:rsid w:val="00C64528"/>
    <w:rsid w:val="00C645AE"/>
    <w:rsid w:val="00C645C2"/>
    <w:rsid w:val="00C645F8"/>
    <w:rsid w:val="00C64785"/>
    <w:rsid w:val="00C647BB"/>
    <w:rsid w:val="00C647E0"/>
    <w:rsid w:val="00C64863"/>
    <w:rsid w:val="00C64895"/>
    <w:rsid w:val="00C6495F"/>
    <w:rsid w:val="00C64A06"/>
    <w:rsid w:val="00C64AC2"/>
    <w:rsid w:val="00C64ACC"/>
    <w:rsid w:val="00C64AE0"/>
    <w:rsid w:val="00C64B31"/>
    <w:rsid w:val="00C64B62"/>
    <w:rsid w:val="00C64BAA"/>
    <w:rsid w:val="00C64BF6"/>
    <w:rsid w:val="00C64C06"/>
    <w:rsid w:val="00C64C3E"/>
    <w:rsid w:val="00C64D6F"/>
    <w:rsid w:val="00C64D9D"/>
    <w:rsid w:val="00C64DC7"/>
    <w:rsid w:val="00C64DFE"/>
    <w:rsid w:val="00C64E87"/>
    <w:rsid w:val="00C64FCF"/>
    <w:rsid w:val="00C65008"/>
    <w:rsid w:val="00C65027"/>
    <w:rsid w:val="00C650DF"/>
    <w:rsid w:val="00C650FB"/>
    <w:rsid w:val="00C6510C"/>
    <w:rsid w:val="00C65248"/>
    <w:rsid w:val="00C65296"/>
    <w:rsid w:val="00C65371"/>
    <w:rsid w:val="00C6538A"/>
    <w:rsid w:val="00C654A4"/>
    <w:rsid w:val="00C65502"/>
    <w:rsid w:val="00C6580C"/>
    <w:rsid w:val="00C658B7"/>
    <w:rsid w:val="00C659F2"/>
    <w:rsid w:val="00C65A41"/>
    <w:rsid w:val="00C65A92"/>
    <w:rsid w:val="00C65A9A"/>
    <w:rsid w:val="00C65ACF"/>
    <w:rsid w:val="00C65CFC"/>
    <w:rsid w:val="00C65E4D"/>
    <w:rsid w:val="00C65F19"/>
    <w:rsid w:val="00C65F73"/>
    <w:rsid w:val="00C660B8"/>
    <w:rsid w:val="00C660C8"/>
    <w:rsid w:val="00C66126"/>
    <w:rsid w:val="00C661E8"/>
    <w:rsid w:val="00C6620B"/>
    <w:rsid w:val="00C662C5"/>
    <w:rsid w:val="00C662E3"/>
    <w:rsid w:val="00C663A7"/>
    <w:rsid w:val="00C663B0"/>
    <w:rsid w:val="00C663B9"/>
    <w:rsid w:val="00C663D5"/>
    <w:rsid w:val="00C66433"/>
    <w:rsid w:val="00C66479"/>
    <w:rsid w:val="00C6647F"/>
    <w:rsid w:val="00C664DF"/>
    <w:rsid w:val="00C6650E"/>
    <w:rsid w:val="00C665AD"/>
    <w:rsid w:val="00C665BB"/>
    <w:rsid w:val="00C665D4"/>
    <w:rsid w:val="00C6663C"/>
    <w:rsid w:val="00C6673D"/>
    <w:rsid w:val="00C667C9"/>
    <w:rsid w:val="00C66829"/>
    <w:rsid w:val="00C66846"/>
    <w:rsid w:val="00C66943"/>
    <w:rsid w:val="00C66B42"/>
    <w:rsid w:val="00C66BBF"/>
    <w:rsid w:val="00C66BE5"/>
    <w:rsid w:val="00C66CE6"/>
    <w:rsid w:val="00C66D05"/>
    <w:rsid w:val="00C66D39"/>
    <w:rsid w:val="00C66DB6"/>
    <w:rsid w:val="00C66F48"/>
    <w:rsid w:val="00C67041"/>
    <w:rsid w:val="00C6704C"/>
    <w:rsid w:val="00C6709B"/>
    <w:rsid w:val="00C67158"/>
    <w:rsid w:val="00C671CA"/>
    <w:rsid w:val="00C67345"/>
    <w:rsid w:val="00C67353"/>
    <w:rsid w:val="00C673E3"/>
    <w:rsid w:val="00C67407"/>
    <w:rsid w:val="00C6748A"/>
    <w:rsid w:val="00C674AD"/>
    <w:rsid w:val="00C6752C"/>
    <w:rsid w:val="00C6752D"/>
    <w:rsid w:val="00C676A4"/>
    <w:rsid w:val="00C6779F"/>
    <w:rsid w:val="00C677D5"/>
    <w:rsid w:val="00C67815"/>
    <w:rsid w:val="00C67884"/>
    <w:rsid w:val="00C679B0"/>
    <w:rsid w:val="00C67A74"/>
    <w:rsid w:val="00C67C26"/>
    <w:rsid w:val="00C67D3C"/>
    <w:rsid w:val="00C67D83"/>
    <w:rsid w:val="00C67EAB"/>
    <w:rsid w:val="00C67EB7"/>
    <w:rsid w:val="00C67F00"/>
    <w:rsid w:val="00C700AA"/>
    <w:rsid w:val="00C70149"/>
    <w:rsid w:val="00C70159"/>
    <w:rsid w:val="00C701A7"/>
    <w:rsid w:val="00C7020B"/>
    <w:rsid w:val="00C702F6"/>
    <w:rsid w:val="00C70373"/>
    <w:rsid w:val="00C703BF"/>
    <w:rsid w:val="00C703E0"/>
    <w:rsid w:val="00C704C7"/>
    <w:rsid w:val="00C7054F"/>
    <w:rsid w:val="00C70651"/>
    <w:rsid w:val="00C7066C"/>
    <w:rsid w:val="00C7069D"/>
    <w:rsid w:val="00C706C2"/>
    <w:rsid w:val="00C70723"/>
    <w:rsid w:val="00C70758"/>
    <w:rsid w:val="00C7081B"/>
    <w:rsid w:val="00C7093A"/>
    <w:rsid w:val="00C7097F"/>
    <w:rsid w:val="00C709CD"/>
    <w:rsid w:val="00C709F8"/>
    <w:rsid w:val="00C70A68"/>
    <w:rsid w:val="00C70A6C"/>
    <w:rsid w:val="00C70A8F"/>
    <w:rsid w:val="00C70B7E"/>
    <w:rsid w:val="00C70BF3"/>
    <w:rsid w:val="00C70CD9"/>
    <w:rsid w:val="00C70D09"/>
    <w:rsid w:val="00C70D0F"/>
    <w:rsid w:val="00C70D72"/>
    <w:rsid w:val="00C70DE5"/>
    <w:rsid w:val="00C70E04"/>
    <w:rsid w:val="00C70E44"/>
    <w:rsid w:val="00C70E79"/>
    <w:rsid w:val="00C7102D"/>
    <w:rsid w:val="00C710B4"/>
    <w:rsid w:val="00C7110B"/>
    <w:rsid w:val="00C711C0"/>
    <w:rsid w:val="00C711FC"/>
    <w:rsid w:val="00C71329"/>
    <w:rsid w:val="00C713A0"/>
    <w:rsid w:val="00C713C7"/>
    <w:rsid w:val="00C713D6"/>
    <w:rsid w:val="00C713E8"/>
    <w:rsid w:val="00C714C8"/>
    <w:rsid w:val="00C71694"/>
    <w:rsid w:val="00C71705"/>
    <w:rsid w:val="00C71852"/>
    <w:rsid w:val="00C7189C"/>
    <w:rsid w:val="00C719A7"/>
    <w:rsid w:val="00C71B58"/>
    <w:rsid w:val="00C71BC6"/>
    <w:rsid w:val="00C71C56"/>
    <w:rsid w:val="00C71CAC"/>
    <w:rsid w:val="00C71CCE"/>
    <w:rsid w:val="00C71D62"/>
    <w:rsid w:val="00C71E21"/>
    <w:rsid w:val="00C71EB0"/>
    <w:rsid w:val="00C71EB3"/>
    <w:rsid w:val="00C71F11"/>
    <w:rsid w:val="00C72043"/>
    <w:rsid w:val="00C72057"/>
    <w:rsid w:val="00C7207C"/>
    <w:rsid w:val="00C720FC"/>
    <w:rsid w:val="00C721D9"/>
    <w:rsid w:val="00C7228F"/>
    <w:rsid w:val="00C7230B"/>
    <w:rsid w:val="00C72435"/>
    <w:rsid w:val="00C72514"/>
    <w:rsid w:val="00C7251C"/>
    <w:rsid w:val="00C72743"/>
    <w:rsid w:val="00C7277B"/>
    <w:rsid w:val="00C72793"/>
    <w:rsid w:val="00C72841"/>
    <w:rsid w:val="00C728B3"/>
    <w:rsid w:val="00C728C4"/>
    <w:rsid w:val="00C728D0"/>
    <w:rsid w:val="00C7292C"/>
    <w:rsid w:val="00C7296F"/>
    <w:rsid w:val="00C72A45"/>
    <w:rsid w:val="00C72A78"/>
    <w:rsid w:val="00C72A97"/>
    <w:rsid w:val="00C72B05"/>
    <w:rsid w:val="00C72B11"/>
    <w:rsid w:val="00C72B55"/>
    <w:rsid w:val="00C72BA2"/>
    <w:rsid w:val="00C72C09"/>
    <w:rsid w:val="00C72C2E"/>
    <w:rsid w:val="00C72D21"/>
    <w:rsid w:val="00C72DC8"/>
    <w:rsid w:val="00C73024"/>
    <w:rsid w:val="00C73072"/>
    <w:rsid w:val="00C7307B"/>
    <w:rsid w:val="00C730C5"/>
    <w:rsid w:val="00C730CE"/>
    <w:rsid w:val="00C730D6"/>
    <w:rsid w:val="00C7317D"/>
    <w:rsid w:val="00C73333"/>
    <w:rsid w:val="00C734F7"/>
    <w:rsid w:val="00C73564"/>
    <w:rsid w:val="00C735C6"/>
    <w:rsid w:val="00C73613"/>
    <w:rsid w:val="00C736B4"/>
    <w:rsid w:val="00C7381E"/>
    <w:rsid w:val="00C73886"/>
    <w:rsid w:val="00C738A6"/>
    <w:rsid w:val="00C738E8"/>
    <w:rsid w:val="00C7395D"/>
    <w:rsid w:val="00C73B94"/>
    <w:rsid w:val="00C73BCC"/>
    <w:rsid w:val="00C73BE6"/>
    <w:rsid w:val="00C73C6F"/>
    <w:rsid w:val="00C73CD0"/>
    <w:rsid w:val="00C73E61"/>
    <w:rsid w:val="00C73F29"/>
    <w:rsid w:val="00C73FA1"/>
    <w:rsid w:val="00C74001"/>
    <w:rsid w:val="00C74005"/>
    <w:rsid w:val="00C74016"/>
    <w:rsid w:val="00C741B7"/>
    <w:rsid w:val="00C741E6"/>
    <w:rsid w:val="00C7420D"/>
    <w:rsid w:val="00C7436D"/>
    <w:rsid w:val="00C743DE"/>
    <w:rsid w:val="00C74447"/>
    <w:rsid w:val="00C74470"/>
    <w:rsid w:val="00C7448D"/>
    <w:rsid w:val="00C74568"/>
    <w:rsid w:val="00C745CC"/>
    <w:rsid w:val="00C7460C"/>
    <w:rsid w:val="00C74614"/>
    <w:rsid w:val="00C74694"/>
    <w:rsid w:val="00C746CF"/>
    <w:rsid w:val="00C7473D"/>
    <w:rsid w:val="00C747F5"/>
    <w:rsid w:val="00C748CF"/>
    <w:rsid w:val="00C74919"/>
    <w:rsid w:val="00C7492D"/>
    <w:rsid w:val="00C74946"/>
    <w:rsid w:val="00C74A61"/>
    <w:rsid w:val="00C74B4E"/>
    <w:rsid w:val="00C74C9A"/>
    <w:rsid w:val="00C74DA5"/>
    <w:rsid w:val="00C74E39"/>
    <w:rsid w:val="00C74E9B"/>
    <w:rsid w:val="00C74FCA"/>
    <w:rsid w:val="00C75020"/>
    <w:rsid w:val="00C75174"/>
    <w:rsid w:val="00C7517F"/>
    <w:rsid w:val="00C75207"/>
    <w:rsid w:val="00C753D7"/>
    <w:rsid w:val="00C75435"/>
    <w:rsid w:val="00C7549E"/>
    <w:rsid w:val="00C75530"/>
    <w:rsid w:val="00C75856"/>
    <w:rsid w:val="00C75889"/>
    <w:rsid w:val="00C758C7"/>
    <w:rsid w:val="00C75916"/>
    <w:rsid w:val="00C75951"/>
    <w:rsid w:val="00C75A57"/>
    <w:rsid w:val="00C75C3D"/>
    <w:rsid w:val="00C75C6C"/>
    <w:rsid w:val="00C75DEF"/>
    <w:rsid w:val="00C75E1B"/>
    <w:rsid w:val="00C75EA2"/>
    <w:rsid w:val="00C75EC1"/>
    <w:rsid w:val="00C75EC2"/>
    <w:rsid w:val="00C75F33"/>
    <w:rsid w:val="00C75FB2"/>
    <w:rsid w:val="00C75FF6"/>
    <w:rsid w:val="00C76207"/>
    <w:rsid w:val="00C76280"/>
    <w:rsid w:val="00C762A5"/>
    <w:rsid w:val="00C763E3"/>
    <w:rsid w:val="00C763F5"/>
    <w:rsid w:val="00C7642B"/>
    <w:rsid w:val="00C76539"/>
    <w:rsid w:val="00C76549"/>
    <w:rsid w:val="00C765AE"/>
    <w:rsid w:val="00C765FF"/>
    <w:rsid w:val="00C76659"/>
    <w:rsid w:val="00C7673B"/>
    <w:rsid w:val="00C76790"/>
    <w:rsid w:val="00C76825"/>
    <w:rsid w:val="00C768A8"/>
    <w:rsid w:val="00C768C5"/>
    <w:rsid w:val="00C76982"/>
    <w:rsid w:val="00C769C3"/>
    <w:rsid w:val="00C769D9"/>
    <w:rsid w:val="00C769DA"/>
    <w:rsid w:val="00C76A3D"/>
    <w:rsid w:val="00C76B36"/>
    <w:rsid w:val="00C76B49"/>
    <w:rsid w:val="00C76C5A"/>
    <w:rsid w:val="00C76CE0"/>
    <w:rsid w:val="00C76D3D"/>
    <w:rsid w:val="00C76E60"/>
    <w:rsid w:val="00C76E95"/>
    <w:rsid w:val="00C76EA7"/>
    <w:rsid w:val="00C76F67"/>
    <w:rsid w:val="00C76FB3"/>
    <w:rsid w:val="00C76FDC"/>
    <w:rsid w:val="00C77077"/>
    <w:rsid w:val="00C7708F"/>
    <w:rsid w:val="00C77185"/>
    <w:rsid w:val="00C7722C"/>
    <w:rsid w:val="00C772ED"/>
    <w:rsid w:val="00C77351"/>
    <w:rsid w:val="00C773F5"/>
    <w:rsid w:val="00C77461"/>
    <w:rsid w:val="00C774E8"/>
    <w:rsid w:val="00C77562"/>
    <w:rsid w:val="00C7762F"/>
    <w:rsid w:val="00C77667"/>
    <w:rsid w:val="00C776C2"/>
    <w:rsid w:val="00C776EE"/>
    <w:rsid w:val="00C777E7"/>
    <w:rsid w:val="00C77948"/>
    <w:rsid w:val="00C7799B"/>
    <w:rsid w:val="00C77A3F"/>
    <w:rsid w:val="00C77AD5"/>
    <w:rsid w:val="00C77AD8"/>
    <w:rsid w:val="00C77CC7"/>
    <w:rsid w:val="00C77D6B"/>
    <w:rsid w:val="00C77F3B"/>
    <w:rsid w:val="00C77FC4"/>
    <w:rsid w:val="00C8002E"/>
    <w:rsid w:val="00C8004C"/>
    <w:rsid w:val="00C800C9"/>
    <w:rsid w:val="00C80131"/>
    <w:rsid w:val="00C801A1"/>
    <w:rsid w:val="00C80281"/>
    <w:rsid w:val="00C802AE"/>
    <w:rsid w:val="00C8039C"/>
    <w:rsid w:val="00C803D8"/>
    <w:rsid w:val="00C80490"/>
    <w:rsid w:val="00C804BD"/>
    <w:rsid w:val="00C80519"/>
    <w:rsid w:val="00C80670"/>
    <w:rsid w:val="00C807F3"/>
    <w:rsid w:val="00C80821"/>
    <w:rsid w:val="00C80844"/>
    <w:rsid w:val="00C80862"/>
    <w:rsid w:val="00C80877"/>
    <w:rsid w:val="00C80BC2"/>
    <w:rsid w:val="00C80D32"/>
    <w:rsid w:val="00C80DD9"/>
    <w:rsid w:val="00C80DEA"/>
    <w:rsid w:val="00C80E18"/>
    <w:rsid w:val="00C80E4B"/>
    <w:rsid w:val="00C80FBE"/>
    <w:rsid w:val="00C810AF"/>
    <w:rsid w:val="00C810DC"/>
    <w:rsid w:val="00C8110A"/>
    <w:rsid w:val="00C8110B"/>
    <w:rsid w:val="00C81210"/>
    <w:rsid w:val="00C812F7"/>
    <w:rsid w:val="00C81586"/>
    <w:rsid w:val="00C8163A"/>
    <w:rsid w:val="00C81661"/>
    <w:rsid w:val="00C816ED"/>
    <w:rsid w:val="00C817D0"/>
    <w:rsid w:val="00C81821"/>
    <w:rsid w:val="00C8182C"/>
    <w:rsid w:val="00C81972"/>
    <w:rsid w:val="00C819D1"/>
    <w:rsid w:val="00C81A10"/>
    <w:rsid w:val="00C81A43"/>
    <w:rsid w:val="00C81A83"/>
    <w:rsid w:val="00C81B12"/>
    <w:rsid w:val="00C81B32"/>
    <w:rsid w:val="00C81C03"/>
    <w:rsid w:val="00C81C25"/>
    <w:rsid w:val="00C81C8A"/>
    <w:rsid w:val="00C81DD6"/>
    <w:rsid w:val="00C81E54"/>
    <w:rsid w:val="00C81E75"/>
    <w:rsid w:val="00C81EAC"/>
    <w:rsid w:val="00C82000"/>
    <w:rsid w:val="00C82082"/>
    <w:rsid w:val="00C820BF"/>
    <w:rsid w:val="00C82117"/>
    <w:rsid w:val="00C8216C"/>
    <w:rsid w:val="00C82205"/>
    <w:rsid w:val="00C82324"/>
    <w:rsid w:val="00C82334"/>
    <w:rsid w:val="00C82338"/>
    <w:rsid w:val="00C82473"/>
    <w:rsid w:val="00C8247B"/>
    <w:rsid w:val="00C82489"/>
    <w:rsid w:val="00C824D3"/>
    <w:rsid w:val="00C82600"/>
    <w:rsid w:val="00C8264F"/>
    <w:rsid w:val="00C82776"/>
    <w:rsid w:val="00C8278D"/>
    <w:rsid w:val="00C82805"/>
    <w:rsid w:val="00C828DB"/>
    <w:rsid w:val="00C82A0F"/>
    <w:rsid w:val="00C82CD7"/>
    <w:rsid w:val="00C82D10"/>
    <w:rsid w:val="00C82DCD"/>
    <w:rsid w:val="00C82E12"/>
    <w:rsid w:val="00C82EBE"/>
    <w:rsid w:val="00C82F50"/>
    <w:rsid w:val="00C82FC3"/>
    <w:rsid w:val="00C8303C"/>
    <w:rsid w:val="00C83074"/>
    <w:rsid w:val="00C830D5"/>
    <w:rsid w:val="00C8315A"/>
    <w:rsid w:val="00C83205"/>
    <w:rsid w:val="00C83296"/>
    <w:rsid w:val="00C832A2"/>
    <w:rsid w:val="00C83305"/>
    <w:rsid w:val="00C833A8"/>
    <w:rsid w:val="00C8345F"/>
    <w:rsid w:val="00C83507"/>
    <w:rsid w:val="00C8353C"/>
    <w:rsid w:val="00C835A5"/>
    <w:rsid w:val="00C83623"/>
    <w:rsid w:val="00C83678"/>
    <w:rsid w:val="00C836EA"/>
    <w:rsid w:val="00C8380B"/>
    <w:rsid w:val="00C83A29"/>
    <w:rsid w:val="00C83AE8"/>
    <w:rsid w:val="00C83B2F"/>
    <w:rsid w:val="00C83B35"/>
    <w:rsid w:val="00C83B5D"/>
    <w:rsid w:val="00C83B7F"/>
    <w:rsid w:val="00C83C27"/>
    <w:rsid w:val="00C83CB5"/>
    <w:rsid w:val="00C83D93"/>
    <w:rsid w:val="00C83DC2"/>
    <w:rsid w:val="00C83E60"/>
    <w:rsid w:val="00C83E99"/>
    <w:rsid w:val="00C83F26"/>
    <w:rsid w:val="00C83F29"/>
    <w:rsid w:val="00C83F88"/>
    <w:rsid w:val="00C84003"/>
    <w:rsid w:val="00C840C3"/>
    <w:rsid w:val="00C8410B"/>
    <w:rsid w:val="00C84278"/>
    <w:rsid w:val="00C842C5"/>
    <w:rsid w:val="00C84351"/>
    <w:rsid w:val="00C8437D"/>
    <w:rsid w:val="00C8443B"/>
    <w:rsid w:val="00C844DC"/>
    <w:rsid w:val="00C84579"/>
    <w:rsid w:val="00C84608"/>
    <w:rsid w:val="00C84663"/>
    <w:rsid w:val="00C8475F"/>
    <w:rsid w:val="00C84885"/>
    <w:rsid w:val="00C849DD"/>
    <w:rsid w:val="00C84A66"/>
    <w:rsid w:val="00C84A84"/>
    <w:rsid w:val="00C84AA7"/>
    <w:rsid w:val="00C84BE2"/>
    <w:rsid w:val="00C84C8C"/>
    <w:rsid w:val="00C84CE1"/>
    <w:rsid w:val="00C84E2D"/>
    <w:rsid w:val="00C84E3D"/>
    <w:rsid w:val="00C84E9E"/>
    <w:rsid w:val="00C84F00"/>
    <w:rsid w:val="00C84F59"/>
    <w:rsid w:val="00C84FE6"/>
    <w:rsid w:val="00C850DD"/>
    <w:rsid w:val="00C850FC"/>
    <w:rsid w:val="00C85127"/>
    <w:rsid w:val="00C8518F"/>
    <w:rsid w:val="00C851F8"/>
    <w:rsid w:val="00C851FB"/>
    <w:rsid w:val="00C85263"/>
    <w:rsid w:val="00C8526F"/>
    <w:rsid w:val="00C85291"/>
    <w:rsid w:val="00C853B7"/>
    <w:rsid w:val="00C853D4"/>
    <w:rsid w:val="00C855A2"/>
    <w:rsid w:val="00C855DA"/>
    <w:rsid w:val="00C8568F"/>
    <w:rsid w:val="00C856DD"/>
    <w:rsid w:val="00C85948"/>
    <w:rsid w:val="00C859C7"/>
    <w:rsid w:val="00C85ACF"/>
    <w:rsid w:val="00C85AFE"/>
    <w:rsid w:val="00C85BB7"/>
    <w:rsid w:val="00C85CB4"/>
    <w:rsid w:val="00C85CFF"/>
    <w:rsid w:val="00C85D29"/>
    <w:rsid w:val="00C85D3B"/>
    <w:rsid w:val="00C85D5D"/>
    <w:rsid w:val="00C85E18"/>
    <w:rsid w:val="00C85E3C"/>
    <w:rsid w:val="00C85EA0"/>
    <w:rsid w:val="00C85F74"/>
    <w:rsid w:val="00C85FA6"/>
    <w:rsid w:val="00C85FF2"/>
    <w:rsid w:val="00C86071"/>
    <w:rsid w:val="00C8621A"/>
    <w:rsid w:val="00C86233"/>
    <w:rsid w:val="00C86283"/>
    <w:rsid w:val="00C86290"/>
    <w:rsid w:val="00C86309"/>
    <w:rsid w:val="00C8633D"/>
    <w:rsid w:val="00C86488"/>
    <w:rsid w:val="00C86523"/>
    <w:rsid w:val="00C86528"/>
    <w:rsid w:val="00C865BF"/>
    <w:rsid w:val="00C8661C"/>
    <w:rsid w:val="00C86673"/>
    <w:rsid w:val="00C8668D"/>
    <w:rsid w:val="00C86766"/>
    <w:rsid w:val="00C86783"/>
    <w:rsid w:val="00C8684E"/>
    <w:rsid w:val="00C86947"/>
    <w:rsid w:val="00C86979"/>
    <w:rsid w:val="00C86A2B"/>
    <w:rsid w:val="00C86A4F"/>
    <w:rsid w:val="00C86A79"/>
    <w:rsid w:val="00C86A84"/>
    <w:rsid w:val="00C86AF9"/>
    <w:rsid w:val="00C86B4A"/>
    <w:rsid w:val="00C86C1D"/>
    <w:rsid w:val="00C86CF4"/>
    <w:rsid w:val="00C86D03"/>
    <w:rsid w:val="00C86D78"/>
    <w:rsid w:val="00C86DA3"/>
    <w:rsid w:val="00C86E2D"/>
    <w:rsid w:val="00C86F76"/>
    <w:rsid w:val="00C86FE2"/>
    <w:rsid w:val="00C870B1"/>
    <w:rsid w:val="00C87106"/>
    <w:rsid w:val="00C87130"/>
    <w:rsid w:val="00C8714C"/>
    <w:rsid w:val="00C871D6"/>
    <w:rsid w:val="00C8722C"/>
    <w:rsid w:val="00C87236"/>
    <w:rsid w:val="00C87388"/>
    <w:rsid w:val="00C87391"/>
    <w:rsid w:val="00C873EE"/>
    <w:rsid w:val="00C8748F"/>
    <w:rsid w:val="00C874BE"/>
    <w:rsid w:val="00C87714"/>
    <w:rsid w:val="00C87788"/>
    <w:rsid w:val="00C878D5"/>
    <w:rsid w:val="00C8792C"/>
    <w:rsid w:val="00C87935"/>
    <w:rsid w:val="00C8794C"/>
    <w:rsid w:val="00C87962"/>
    <w:rsid w:val="00C87A41"/>
    <w:rsid w:val="00C87C0C"/>
    <w:rsid w:val="00C87C33"/>
    <w:rsid w:val="00C87C3D"/>
    <w:rsid w:val="00C87C71"/>
    <w:rsid w:val="00C87CD8"/>
    <w:rsid w:val="00C87CF6"/>
    <w:rsid w:val="00C87D42"/>
    <w:rsid w:val="00C87D9D"/>
    <w:rsid w:val="00C87E0B"/>
    <w:rsid w:val="00C87E48"/>
    <w:rsid w:val="00C87EEA"/>
    <w:rsid w:val="00C87F2B"/>
    <w:rsid w:val="00C87F57"/>
    <w:rsid w:val="00C87FB7"/>
    <w:rsid w:val="00C87FC7"/>
    <w:rsid w:val="00C87FD2"/>
    <w:rsid w:val="00C87FF7"/>
    <w:rsid w:val="00C87FFC"/>
    <w:rsid w:val="00C901AE"/>
    <w:rsid w:val="00C90263"/>
    <w:rsid w:val="00C902F8"/>
    <w:rsid w:val="00C90300"/>
    <w:rsid w:val="00C9032A"/>
    <w:rsid w:val="00C90361"/>
    <w:rsid w:val="00C903BD"/>
    <w:rsid w:val="00C90511"/>
    <w:rsid w:val="00C9053D"/>
    <w:rsid w:val="00C906D6"/>
    <w:rsid w:val="00C9071D"/>
    <w:rsid w:val="00C9075D"/>
    <w:rsid w:val="00C90761"/>
    <w:rsid w:val="00C9079A"/>
    <w:rsid w:val="00C908C7"/>
    <w:rsid w:val="00C909C1"/>
    <w:rsid w:val="00C909CC"/>
    <w:rsid w:val="00C90A04"/>
    <w:rsid w:val="00C90B35"/>
    <w:rsid w:val="00C90B67"/>
    <w:rsid w:val="00C90B7E"/>
    <w:rsid w:val="00C90D9E"/>
    <w:rsid w:val="00C90E7C"/>
    <w:rsid w:val="00C90E8D"/>
    <w:rsid w:val="00C90E97"/>
    <w:rsid w:val="00C90EC8"/>
    <w:rsid w:val="00C90ED8"/>
    <w:rsid w:val="00C90EDB"/>
    <w:rsid w:val="00C90EEA"/>
    <w:rsid w:val="00C90F46"/>
    <w:rsid w:val="00C90F7F"/>
    <w:rsid w:val="00C90FBE"/>
    <w:rsid w:val="00C91033"/>
    <w:rsid w:val="00C9108B"/>
    <w:rsid w:val="00C910CD"/>
    <w:rsid w:val="00C91114"/>
    <w:rsid w:val="00C91116"/>
    <w:rsid w:val="00C9112A"/>
    <w:rsid w:val="00C9113D"/>
    <w:rsid w:val="00C9114D"/>
    <w:rsid w:val="00C912AA"/>
    <w:rsid w:val="00C912D3"/>
    <w:rsid w:val="00C913F5"/>
    <w:rsid w:val="00C914B0"/>
    <w:rsid w:val="00C9154E"/>
    <w:rsid w:val="00C915F0"/>
    <w:rsid w:val="00C91646"/>
    <w:rsid w:val="00C916B3"/>
    <w:rsid w:val="00C91738"/>
    <w:rsid w:val="00C9179D"/>
    <w:rsid w:val="00C917AF"/>
    <w:rsid w:val="00C917E8"/>
    <w:rsid w:val="00C919D7"/>
    <w:rsid w:val="00C91A24"/>
    <w:rsid w:val="00C91A50"/>
    <w:rsid w:val="00C91AF4"/>
    <w:rsid w:val="00C91B0A"/>
    <w:rsid w:val="00C91B0D"/>
    <w:rsid w:val="00C91B6D"/>
    <w:rsid w:val="00C91B8B"/>
    <w:rsid w:val="00C91B9E"/>
    <w:rsid w:val="00C91CE3"/>
    <w:rsid w:val="00C91D4E"/>
    <w:rsid w:val="00C91D9D"/>
    <w:rsid w:val="00C91EA2"/>
    <w:rsid w:val="00C9209B"/>
    <w:rsid w:val="00C920C5"/>
    <w:rsid w:val="00C9213E"/>
    <w:rsid w:val="00C92255"/>
    <w:rsid w:val="00C922FC"/>
    <w:rsid w:val="00C92341"/>
    <w:rsid w:val="00C9235A"/>
    <w:rsid w:val="00C9241C"/>
    <w:rsid w:val="00C9242A"/>
    <w:rsid w:val="00C92490"/>
    <w:rsid w:val="00C92499"/>
    <w:rsid w:val="00C924F5"/>
    <w:rsid w:val="00C92675"/>
    <w:rsid w:val="00C92691"/>
    <w:rsid w:val="00C926A0"/>
    <w:rsid w:val="00C927DB"/>
    <w:rsid w:val="00C927E8"/>
    <w:rsid w:val="00C928C1"/>
    <w:rsid w:val="00C928C4"/>
    <w:rsid w:val="00C92974"/>
    <w:rsid w:val="00C92A3D"/>
    <w:rsid w:val="00C92AD2"/>
    <w:rsid w:val="00C92C01"/>
    <w:rsid w:val="00C92D5D"/>
    <w:rsid w:val="00C92F0A"/>
    <w:rsid w:val="00C92F19"/>
    <w:rsid w:val="00C92F85"/>
    <w:rsid w:val="00C92F8C"/>
    <w:rsid w:val="00C92FB1"/>
    <w:rsid w:val="00C93096"/>
    <w:rsid w:val="00C930E7"/>
    <w:rsid w:val="00C93128"/>
    <w:rsid w:val="00C931CE"/>
    <w:rsid w:val="00C93337"/>
    <w:rsid w:val="00C93361"/>
    <w:rsid w:val="00C933B5"/>
    <w:rsid w:val="00C933C1"/>
    <w:rsid w:val="00C933C5"/>
    <w:rsid w:val="00C9349D"/>
    <w:rsid w:val="00C936AB"/>
    <w:rsid w:val="00C937A6"/>
    <w:rsid w:val="00C93899"/>
    <w:rsid w:val="00C938B6"/>
    <w:rsid w:val="00C938F7"/>
    <w:rsid w:val="00C93A53"/>
    <w:rsid w:val="00C93BAE"/>
    <w:rsid w:val="00C93CBD"/>
    <w:rsid w:val="00C93CD0"/>
    <w:rsid w:val="00C93E1F"/>
    <w:rsid w:val="00C93F2F"/>
    <w:rsid w:val="00C93F44"/>
    <w:rsid w:val="00C94085"/>
    <w:rsid w:val="00C9408C"/>
    <w:rsid w:val="00C940A6"/>
    <w:rsid w:val="00C9410F"/>
    <w:rsid w:val="00C9416A"/>
    <w:rsid w:val="00C9416C"/>
    <w:rsid w:val="00C9416F"/>
    <w:rsid w:val="00C941A0"/>
    <w:rsid w:val="00C94258"/>
    <w:rsid w:val="00C942F1"/>
    <w:rsid w:val="00C94451"/>
    <w:rsid w:val="00C94574"/>
    <w:rsid w:val="00C9461D"/>
    <w:rsid w:val="00C94785"/>
    <w:rsid w:val="00C947AF"/>
    <w:rsid w:val="00C947F5"/>
    <w:rsid w:val="00C94826"/>
    <w:rsid w:val="00C94969"/>
    <w:rsid w:val="00C94998"/>
    <w:rsid w:val="00C94A01"/>
    <w:rsid w:val="00C94A2A"/>
    <w:rsid w:val="00C94A40"/>
    <w:rsid w:val="00C94ACF"/>
    <w:rsid w:val="00C94B9D"/>
    <w:rsid w:val="00C94C79"/>
    <w:rsid w:val="00C94CDE"/>
    <w:rsid w:val="00C94E37"/>
    <w:rsid w:val="00C94E42"/>
    <w:rsid w:val="00C94E73"/>
    <w:rsid w:val="00C94EF0"/>
    <w:rsid w:val="00C94EF7"/>
    <w:rsid w:val="00C94FBF"/>
    <w:rsid w:val="00C95005"/>
    <w:rsid w:val="00C950ED"/>
    <w:rsid w:val="00C95188"/>
    <w:rsid w:val="00C951BD"/>
    <w:rsid w:val="00C951E1"/>
    <w:rsid w:val="00C95241"/>
    <w:rsid w:val="00C952E9"/>
    <w:rsid w:val="00C95455"/>
    <w:rsid w:val="00C9545D"/>
    <w:rsid w:val="00C954A2"/>
    <w:rsid w:val="00C95503"/>
    <w:rsid w:val="00C95574"/>
    <w:rsid w:val="00C955E6"/>
    <w:rsid w:val="00C95614"/>
    <w:rsid w:val="00C9562B"/>
    <w:rsid w:val="00C95701"/>
    <w:rsid w:val="00C95785"/>
    <w:rsid w:val="00C957CD"/>
    <w:rsid w:val="00C95840"/>
    <w:rsid w:val="00C958A8"/>
    <w:rsid w:val="00C95A3C"/>
    <w:rsid w:val="00C95C37"/>
    <w:rsid w:val="00C95D11"/>
    <w:rsid w:val="00C95D9A"/>
    <w:rsid w:val="00C95E98"/>
    <w:rsid w:val="00C95E9C"/>
    <w:rsid w:val="00C95EC9"/>
    <w:rsid w:val="00C95F00"/>
    <w:rsid w:val="00C95F78"/>
    <w:rsid w:val="00C96065"/>
    <w:rsid w:val="00C96260"/>
    <w:rsid w:val="00C96289"/>
    <w:rsid w:val="00C96364"/>
    <w:rsid w:val="00C96373"/>
    <w:rsid w:val="00C9639B"/>
    <w:rsid w:val="00C963F8"/>
    <w:rsid w:val="00C96403"/>
    <w:rsid w:val="00C96404"/>
    <w:rsid w:val="00C964EA"/>
    <w:rsid w:val="00C966B5"/>
    <w:rsid w:val="00C966D5"/>
    <w:rsid w:val="00C967C9"/>
    <w:rsid w:val="00C967DF"/>
    <w:rsid w:val="00C967E9"/>
    <w:rsid w:val="00C96998"/>
    <w:rsid w:val="00C96A56"/>
    <w:rsid w:val="00C96B39"/>
    <w:rsid w:val="00C96B88"/>
    <w:rsid w:val="00C96B9B"/>
    <w:rsid w:val="00C96CCA"/>
    <w:rsid w:val="00C96CE0"/>
    <w:rsid w:val="00C96D3B"/>
    <w:rsid w:val="00C96E04"/>
    <w:rsid w:val="00C96EBF"/>
    <w:rsid w:val="00C96ED7"/>
    <w:rsid w:val="00C96F7C"/>
    <w:rsid w:val="00C96FE9"/>
    <w:rsid w:val="00C97029"/>
    <w:rsid w:val="00C9720E"/>
    <w:rsid w:val="00C97229"/>
    <w:rsid w:val="00C97297"/>
    <w:rsid w:val="00C97362"/>
    <w:rsid w:val="00C9736E"/>
    <w:rsid w:val="00C9737B"/>
    <w:rsid w:val="00C973DA"/>
    <w:rsid w:val="00C97562"/>
    <w:rsid w:val="00C975E8"/>
    <w:rsid w:val="00C97668"/>
    <w:rsid w:val="00C9777E"/>
    <w:rsid w:val="00C977EF"/>
    <w:rsid w:val="00C97816"/>
    <w:rsid w:val="00C978D4"/>
    <w:rsid w:val="00C978E8"/>
    <w:rsid w:val="00C9791B"/>
    <w:rsid w:val="00C97AEA"/>
    <w:rsid w:val="00C97AF1"/>
    <w:rsid w:val="00C97BE6"/>
    <w:rsid w:val="00C97C10"/>
    <w:rsid w:val="00C97CEA"/>
    <w:rsid w:val="00C97D0C"/>
    <w:rsid w:val="00C97D53"/>
    <w:rsid w:val="00C97D89"/>
    <w:rsid w:val="00C97DF1"/>
    <w:rsid w:val="00C97E87"/>
    <w:rsid w:val="00C97E9C"/>
    <w:rsid w:val="00C97FA4"/>
    <w:rsid w:val="00CA0013"/>
    <w:rsid w:val="00CA00A2"/>
    <w:rsid w:val="00CA014E"/>
    <w:rsid w:val="00CA0166"/>
    <w:rsid w:val="00CA01F4"/>
    <w:rsid w:val="00CA022D"/>
    <w:rsid w:val="00CA03BD"/>
    <w:rsid w:val="00CA03FA"/>
    <w:rsid w:val="00CA0477"/>
    <w:rsid w:val="00CA04C4"/>
    <w:rsid w:val="00CA0554"/>
    <w:rsid w:val="00CA05A4"/>
    <w:rsid w:val="00CA0698"/>
    <w:rsid w:val="00CA06C7"/>
    <w:rsid w:val="00CA0712"/>
    <w:rsid w:val="00CA0807"/>
    <w:rsid w:val="00CA092E"/>
    <w:rsid w:val="00CA0993"/>
    <w:rsid w:val="00CA0A15"/>
    <w:rsid w:val="00CA0A41"/>
    <w:rsid w:val="00CA0A49"/>
    <w:rsid w:val="00CA0A93"/>
    <w:rsid w:val="00CA0AB3"/>
    <w:rsid w:val="00CA0ABD"/>
    <w:rsid w:val="00CA0AF5"/>
    <w:rsid w:val="00CA0B42"/>
    <w:rsid w:val="00CA0B67"/>
    <w:rsid w:val="00CA0B7D"/>
    <w:rsid w:val="00CA0BA9"/>
    <w:rsid w:val="00CA0BFC"/>
    <w:rsid w:val="00CA0D4C"/>
    <w:rsid w:val="00CA0F49"/>
    <w:rsid w:val="00CA0FC1"/>
    <w:rsid w:val="00CA0FD9"/>
    <w:rsid w:val="00CA1022"/>
    <w:rsid w:val="00CA105A"/>
    <w:rsid w:val="00CA106A"/>
    <w:rsid w:val="00CA113B"/>
    <w:rsid w:val="00CA119B"/>
    <w:rsid w:val="00CA121C"/>
    <w:rsid w:val="00CA1236"/>
    <w:rsid w:val="00CA13A7"/>
    <w:rsid w:val="00CA13B5"/>
    <w:rsid w:val="00CA13C8"/>
    <w:rsid w:val="00CA13DE"/>
    <w:rsid w:val="00CA1407"/>
    <w:rsid w:val="00CA142D"/>
    <w:rsid w:val="00CA1430"/>
    <w:rsid w:val="00CA14DC"/>
    <w:rsid w:val="00CA150D"/>
    <w:rsid w:val="00CA1513"/>
    <w:rsid w:val="00CA152F"/>
    <w:rsid w:val="00CA165A"/>
    <w:rsid w:val="00CA16DC"/>
    <w:rsid w:val="00CA171B"/>
    <w:rsid w:val="00CA1886"/>
    <w:rsid w:val="00CA18C0"/>
    <w:rsid w:val="00CA1B69"/>
    <w:rsid w:val="00CA1D59"/>
    <w:rsid w:val="00CA1D93"/>
    <w:rsid w:val="00CA1DA6"/>
    <w:rsid w:val="00CA1E0E"/>
    <w:rsid w:val="00CA1FC4"/>
    <w:rsid w:val="00CA22ED"/>
    <w:rsid w:val="00CA2449"/>
    <w:rsid w:val="00CA2486"/>
    <w:rsid w:val="00CA2517"/>
    <w:rsid w:val="00CA2581"/>
    <w:rsid w:val="00CA25D6"/>
    <w:rsid w:val="00CA25E4"/>
    <w:rsid w:val="00CA270D"/>
    <w:rsid w:val="00CA2831"/>
    <w:rsid w:val="00CA284C"/>
    <w:rsid w:val="00CA2864"/>
    <w:rsid w:val="00CA28F8"/>
    <w:rsid w:val="00CA295E"/>
    <w:rsid w:val="00CA2974"/>
    <w:rsid w:val="00CA299E"/>
    <w:rsid w:val="00CA29B3"/>
    <w:rsid w:val="00CA29D3"/>
    <w:rsid w:val="00CA2A54"/>
    <w:rsid w:val="00CA2A5D"/>
    <w:rsid w:val="00CA2A68"/>
    <w:rsid w:val="00CA2A9D"/>
    <w:rsid w:val="00CA2B78"/>
    <w:rsid w:val="00CA2C32"/>
    <w:rsid w:val="00CA2CEF"/>
    <w:rsid w:val="00CA2DE9"/>
    <w:rsid w:val="00CA2DEA"/>
    <w:rsid w:val="00CA2E2A"/>
    <w:rsid w:val="00CA2E7A"/>
    <w:rsid w:val="00CA2EB5"/>
    <w:rsid w:val="00CA2ED8"/>
    <w:rsid w:val="00CA2EFC"/>
    <w:rsid w:val="00CA2F89"/>
    <w:rsid w:val="00CA2FC0"/>
    <w:rsid w:val="00CA2FD8"/>
    <w:rsid w:val="00CA301F"/>
    <w:rsid w:val="00CA3067"/>
    <w:rsid w:val="00CA3278"/>
    <w:rsid w:val="00CA3337"/>
    <w:rsid w:val="00CA3386"/>
    <w:rsid w:val="00CA33E9"/>
    <w:rsid w:val="00CA343A"/>
    <w:rsid w:val="00CA349D"/>
    <w:rsid w:val="00CA34A2"/>
    <w:rsid w:val="00CA3515"/>
    <w:rsid w:val="00CA352B"/>
    <w:rsid w:val="00CA3558"/>
    <w:rsid w:val="00CA358F"/>
    <w:rsid w:val="00CA3668"/>
    <w:rsid w:val="00CA37E7"/>
    <w:rsid w:val="00CA37EB"/>
    <w:rsid w:val="00CA387D"/>
    <w:rsid w:val="00CA38AA"/>
    <w:rsid w:val="00CA3945"/>
    <w:rsid w:val="00CA3A03"/>
    <w:rsid w:val="00CA3AD4"/>
    <w:rsid w:val="00CA3B2F"/>
    <w:rsid w:val="00CA3BE8"/>
    <w:rsid w:val="00CA3C7D"/>
    <w:rsid w:val="00CA3CEE"/>
    <w:rsid w:val="00CA3CFF"/>
    <w:rsid w:val="00CA3D0C"/>
    <w:rsid w:val="00CA3E8F"/>
    <w:rsid w:val="00CA4299"/>
    <w:rsid w:val="00CA42BF"/>
    <w:rsid w:val="00CA42D0"/>
    <w:rsid w:val="00CA4387"/>
    <w:rsid w:val="00CA43C5"/>
    <w:rsid w:val="00CA43DE"/>
    <w:rsid w:val="00CA442D"/>
    <w:rsid w:val="00CA443D"/>
    <w:rsid w:val="00CA4443"/>
    <w:rsid w:val="00CA444D"/>
    <w:rsid w:val="00CA449E"/>
    <w:rsid w:val="00CA44D2"/>
    <w:rsid w:val="00CA44D9"/>
    <w:rsid w:val="00CA4506"/>
    <w:rsid w:val="00CA4611"/>
    <w:rsid w:val="00CA4645"/>
    <w:rsid w:val="00CA468E"/>
    <w:rsid w:val="00CA46AB"/>
    <w:rsid w:val="00CA46D2"/>
    <w:rsid w:val="00CA46D8"/>
    <w:rsid w:val="00CA46F3"/>
    <w:rsid w:val="00CA486A"/>
    <w:rsid w:val="00CA496F"/>
    <w:rsid w:val="00CA49E4"/>
    <w:rsid w:val="00CA4A10"/>
    <w:rsid w:val="00CA4A44"/>
    <w:rsid w:val="00CA4AA9"/>
    <w:rsid w:val="00CA4C45"/>
    <w:rsid w:val="00CA4CC4"/>
    <w:rsid w:val="00CA4DC8"/>
    <w:rsid w:val="00CA4E13"/>
    <w:rsid w:val="00CA4EB3"/>
    <w:rsid w:val="00CA4F2E"/>
    <w:rsid w:val="00CA4F33"/>
    <w:rsid w:val="00CA5033"/>
    <w:rsid w:val="00CA5149"/>
    <w:rsid w:val="00CA5172"/>
    <w:rsid w:val="00CA5190"/>
    <w:rsid w:val="00CA51DC"/>
    <w:rsid w:val="00CA5221"/>
    <w:rsid w:val="00CA52CD"/>
    <w:rsid w:val="00CA538F"/>
    <w:rsid w:val="00CA53EB"/>
    <w:rsid w:val="00CA5463"/>
    <w:rsid w:val="00CA5545"/>
    <w:rsid w:val="00CA557F"/>
    <w:rsid w:val="00CA55C9"/>
    <w:rsid w:val="00CA5635"/>
    <w:rsid w:val="00CA566B"/>
    <w:rsid w:val="00CA572C"/>
    <w:rsid w:val="00CA575F"/>
    <w:rsid w:val="00CA57AB"/>
    <w:rsid w:val="00CA5970"/>
    <w:rsid w:val="00CA597F"/>
    <w:rsid w:val="00CA59BA"/>
    <w:rsid w:val="00CA5B6D"/>
    <w:rsid w:val="00CA5C98"/>
    <w:rsid w:val="00CA5D1C"/>
    <w:rsid w:val="00CA5D53"/>
    <w:rsid w:val="00CA5D5B"/>
    <w:rsid w:val="00CA5D97"/>
    <w:rsid w:val="00CA5DE9"/>
    <w:rsid w:val="00CA5DEF"/>
    <w:rsid w:val="00CA5E97"/>
    <w:rsid w:val="00CA5F09"/>
    <w:rsid w:val="00CA6091"/>
    <w:rsid w:val="00CA6118"/>
    <w:rsid w:val="00CA6275"/>
    <w:rsid w:val="00CA627D"/>
    <w:rsid w:val="00CA62CC"/>
    <w:rsid w:val="00CA640B"/>
    <w:rsid w:val="00CA6425"/>
    <w:rsid w:val="00CA64E8"/>
    <w:rsid w:val="00CA64F4"/>
    <w:rsid w:val="00CA64FE"/>
    <w:rsid w:val="00CA65EC"/>
    <w:rsid w:val="00CA6675"/>
    <w:rsid w:val="00CA6695"/>
    <w:rsid w:val="00CA669F"/>
    <w:rsid w:val="00CA6783"/>
    <w:rsid w:val="00CA678E"/>
    <w:rsid w:val="00CA6938"/>
    <w:rsid w:val="00CA6946"/>
    <w:rsid w:val="00CA6947"/>
    <w:rsid w:val="00CA69CF"/>
    <w:rsid w:val="00CA6A51"/>
    <w:rsid w:val="00CA6A57"/>
    <w:rsid w:val="00CA6A69"/>
    <w:rsid w:val="00CA6AD5"/>
    <w:rsid w:val="00CA6B69"/>
    <w:rsid w:val="00CA6BA2"/>
    <w:rsid w:val="00CA6C34"/>
    <w:rsid w:val="00CA6C98"/>
    <w:rsid w:val="00CA6D48"/>
    <w:rsid w:val="00CA6E0E"/>
    <w:rsid w:val="00CA6E2D"/>
    <w:rsid w:val="00CA6EE1"/>
    <w:rsid w:val="00CA6FBC"/>
    <w:rsid w:val="00CA70E3"/>
    <w:rsid w:val="00CA710A"/>
    <w:rsid w:val="00CA717B"/>
    <w:rsid w:val="00CA71C3"/>
    <w:rsid w:val="00CA7219"/>
    <w:rsid w:val="00CA724E"/>
    <w:rsid w:val="00CA7266"/>
    <w:rsid w:val="00CA72F3"/>
    <w:rsid w:val="00CA7393"/>
    <w:rsid w:val="00CA73F6"/>
    <w:rsid w:val="00CA76A4"/>
    <w:rsid w:val="00CA76BF"/>
    <w:rsid w:val="00CA776C"/>
    <w:rsid w:val="00CA77F0"/>
    <w:rsid w:val="00CA77F7"/>
    <w:rsid w:val="00CA7803"/>
    <w:rsid w:val="00CA7872"/>
    <w:rsid w:val="00CA7A70"/>
    <w:rsid w:val="00CA7A7A"/>
    <w:rsid w:val="00CA7B42"/>
    <w:rsid w:val="00CA7BD8"/>
    <w:rsid w:val="00CA7BDB"/>
    <w:rsid w:val="00CA7C2E"/>
    <w:rsid w:val="00CA7E11"/>
    <w:rsid w:val="00CA7E4C"/>
    <w:rsid w:val="00CA7EDE"/>
    <w:rsid w:val="00CB00DC"/>
    <w:rsid w:val="00CB00F5"/>
    <w:rsid w:val="00CB01C8"/>
    <w:rsid w:val="00CB0210"/>
    <w:rsid w:val="00CB02C6"/>
    <w:rsid w:val="00CB0351"/>
    <w:rsid w:val="00CB035B"/>
    <w:rsid w:val="00CB03B6"/>
    <w:rsid w:val="00CB0401"/>
    <w:rsid w:val="00CB04B4"/>
    <w:rsid w:val="00CB0504"/>
    <w:rsid w:val="00CB05E9"/>
    <w:rsid w:val="00CB0641"/>
    <w:rsid w:val="00CB0671"/>
    <w:rsid w:val="00CB070D"/>
    <w:rsid w:val="00CB07BE"/>
    <w:rsid w:val="00CB0865"/>
    <w:rsid w:val="00CB08BF"/>
    <w:rsid w:val="00CB09C5"/>
    <w:rsid w:val="00CB0A07"/>
    <w:rsid w:val="00CB0A92"/>
    <w:rsid w:val="00CB0AE1"/>
    <w:rsid w:val="00CB0B96"/>
    <w:rsid w:val="00CB0BA5"/>
    <w:rsid w:val="00CB0BD9"/>
    <w:rsid w:val="00CB0C7E"/>
    <w:rsid w:val="00CB0CB2"/>
    <w:rsid w:val="00CB0CF0"/>
    <w:rsid w:val="00CB0CF1"/>
    <w:rsid w:val="00CB0CF7"/>
    <w:rsid w:val="00CB0E8F"/>
    <w:rsid w:val="00CB0EEE"/>
    <w:rsid w:val="00CB0F3A"/>
    <w:rsid w:val="00CB1012"/>
    <w:rsid w:val="00CB1032"/>
    <w:rsid w:val="00CB1034"/>
    <w:rsid w:val="00CB1168"/>
    <w:rsid w:val="00CB11BE"/>
    <w:rsid w:val="00CB124F"/>
    <w:rsid w:val="00CB1261"/>
    <w:rsid w:val="00CB128D"/>
    <w:rsid w:val="00CB12B9"/>
    <w:rsid w:val="00CB130A"/>
    <w:rsid w:val="00CB1379"/>
    <w:rsid w:val="00CB13BC"/>
    <w:rsid w:val="00CB13EF"/>
    <w:rsid w:val="00CB13F3"/>
    <w:rsid w:val="00CB14E5"/>
    <w:rsid w:val="00CB1625"/>
    <w:rsid w:val="00CB165C"/>
    <w:rsid w:val="00CB167D"/>
    <w:rsid w:val="00CB16F7"/>
    <w:rsid w:val="00CB176E"/>
    <w:rsid w:val="00CB17E3"/>
    <w:rsid w:val="00CB1831"/>
    <w:rsid w:val="00CB18A3"/>
    <w:rsid w:val="00CB1949"/>
    <w:rsid w:val="00CB19D5"/>
    <w:rsid w:val="00CB1A6F"/>
    <w:rsid w:val="00CB1AAA"/>
    <w:rsid w:val="00CB1AC5"/>
    <w:rsid w:val="00CB1ACC"/>
    <w:rsid w:val="00CB1B49"/>
    <w:rsid w:val="00CB1B82"/>
    <w:rsid w:val="00CB1BC0"/>
    <w:rsid w:val="00CB1C38"/>
    <w:rsid w:val="00CB1CC7"/>
    <w:rsid w:val="00CB1CFA"/>
    <w:rsid w:val="00CB1DA9"/>
    <w:rsid w:val="00CB1DD0"/>
    <w:rsid w:val="00CB1E9C"/>
    <w:rsid w:val="00CB1F0F"/>
    <w:rsid w:val="00CB1F32"/>
    <w:rsid w:val="00CB1F3C"/>
    <w:rsid w:val="00CB1FA5"/>
    <w:rsid w:val="00CB1FFB"/>
    <w:rsid w:val="00CB2058"/>
    <w:rsid w:val="00CB2090"/>
    <w:rsid w:val="00CB2198"/>
    <w:rsid w:val="00CB21BD"/>
    <w:rsid w:val="00CB21D2"/>
    <w:rsid w:val="00CB2231"/>
    <w:rsid w:val="00CB2534"/>
    <w:rsid w:val="00CB253C"/>
    <w:rsid w:val="00CB2579"/>
    <w:rsid w:val="00CB2622"/>
    <w:rsid w:val="00CB2635"/>
    <w:rsid w:val="00CB2647"/>
    <w:rsid w:val="00CB2712"/>
    <w:rsid w:val="00CB27FA"/>
    <w:rsid w:val="00CB2877"/>
    <w:rsid w:val="00CB2889"/>
    <w:rsid w:val="00CB2923"/>
    <w:rsid w:val="00CB2AB6"/>
    <w:rsid w:val="00CB2B27"/>
    <w:rsid w:val="00CB2BC1"/>
    <w:rsid w:val="00CB2BEA"/>
    <w:rsid w:val="00CB2CB0"/>
    <w:rsid w:val="00CB2CE4"/>
    <w:rsid w:val="00CB2CED"/>
    <w:rsid w:val="00CB2E17"/>
    <w:rsid w:val="00CB2F18"/>
    <w:rsid w:val="00CB2F3F"/>
    <w:rsid w:val="00CB2FBC"/>
    <w:rsid w:val="00CB30A8"/>
    <w:rsid w:val="00CB313D"/>
    <w:rsid w:val="00CB3247"/>
    <w:rsid w:val="00CB3317"/>
    <w:rsid w:val="00CB3383"/>
    <w:rsid w:val="00CB338A"/>
    <w:rsid w:val="00CB33A5"/>
    <w:rsid w:val="00CB33BE"/>
    <w:rsid w:val="00CB3400"/>
    <w:rsid w:val="00CB3449"/>
    <w:rsid w:val="00CB34D3"/>
    <w:rsid w:val="00CB358E"/>
    <w:rsid w:val="00CB364B"/>
    <w:rsid w:val="00CB36C9"/>
    <w:rsid w:val="00CB38D2"/>
    <w:rsid w:val="00CB3902"/>
    <w:rsid w:val="00CB39B5"/>
    <w:rsid w:val="00CB3A25"/>
    <w:rsid w:val="00CB3AF6"/>
    <w:rsid w:val="00CB3B10"/>
    <w:rsid w:val="00CB3B1D"/>
    <w:rsid w:val="00CB3B3C"/>
    <w:rsid w:val="00CB3B50"/>
    <w:rsid w:val="00CB3B96"/>
    <w:rsid w:val="00CB3DC0"/>
    <w:rsid w:val="00CB3E2B"/>
    <w:rsid w:val="00CB3EA9"/>
    <w:rsid w:val="00CB3F24"/>
    <w:rsid w:val="00CB3FED"/>
    <w:rsid w:val="00CB40DE"/>
    <w:rsid w:val="00CB416F"/>
    <w:rsid w:val="00CB4186"/>
    <w:rsid w:val="00CB41E4"/>
    <w:rsid w:val="00CB425B"/>
    <w:rsid w:val="00CB42CA"/>
    <w:rsid w:val="00CB4325"/>
    <w:rsid w:val="00CB43B9"/>
    <w:rsid w:val="00CB457A"/>
    <w:rsid w:val="00CB45DF"/>
    <w:rsid w:val="00CB4607"/>
    <w:rsid w:val="00CB46C7"/>
    <w:rsid w:val="00CB46F1"/>
    <w:rsid w:val="00CB470C"/>
    <w:rsid w:val="00CB4899"/>
    <w:rsid w:val="00CB496C"/>
    <w:rsid w:val="00CB49A0"/>
    <w:rsid w:val="00CB4B2A"/>
    <w:rsid w:val="00CB4B49"/>
    <w:rsid w:val="00CB4C66"/>
    <w:rsid w:val="00CB4C68"/>
    <w:rsid w:val="00CB4DB4"/>
    <w:rsid w:val="00CB4DFF"/>
    <w:rsid w:val="00CB4E72"/>
    <w:rsid w:val="00CB4EB0"/>
    <w:rsid w:val="00CB4F59"/>
    <w:rsid w:val="00CB510E"/>
    <w:rsid w:val="00CB5152"/>
    <w:rsid w:val="00CB5179"/>
    <w:rsid w:val="00CB523C"/>
    <w:rsid w:val="00CB5251"/>
    <w:rsid w:val="00CB543F"/>
    <w:rsid w:val="00CB5478"/>
    <w:rsid w:val="00CB54A2"/>
    <w:rsid w:val="00CB5554"/>
    <w:rsid w:val="00CB5649"/>
    <w:rsid w:val="00CB5793"/>
    <w:rsid w:val="00CB580A"/>
    <w:rsid w:val="00CB5824"/>
    <w:rsid w:val="00CB5881"/>
    <w:rsid w:val="00CB59BC"/>
    <w:rsid w:val="00CB5A13"/>
    <w:rsid w:val="00CB5A22"/>
    <w:rsid w:val="00CB5A33"/>
    <w:rsid w:val="00CB5A5A"/>
    <w:rsid w:val="00CB5AB9"/>
    <w:rsid w:val="00CB5B54"/>
    <w:rsid w:val="00CB5BCB"/>
    <w:rsid w:val="00CB5C04"/>
    <w:rsid w:val="00CB5D05"/>
    <w:rsid w:val="00CB5D53"/>
    <w:rsid w:val="00CB5D9C"/>
    <w:rsid w:val="00CB5DED"/>
    <w:rsid w:val="00CB5E69"/>
    <w:rsid w:val="00CB5ED2"/>
    <w:rsid w:val="00CB6057"/>
    <w:rsid w:val="00CB607A"/>
    <w:rsid w:val="00CB621F"/>
    <w:rsid w:val="00CB6237"/>
    <w:rsid w:val="00CB6265"/>
    <w:rsid w:val="00CB6306"/>
    <w:rsid w:val="00CB6352"/>
    <w:rsid w:val="00CB643E"/>
    <w:rsid w:val="00CB6522"/>
    <w:rsid w:val="00CB65EB"/>
    <w:rsid w:val="00CB6632"/>
    <w:rsid w:val="00CB66A1"/>
    <w:rsid w:val="00CB66BF"/>
    <w:rsid w:val="00CB67BD"/>
    <w:rsid w:val="00CB67DC"/>
    <w:rsid w:val="00CB67E4"/>
    <w:rsid w:val="00CB6861"/>
    <w:rsid w:val="00CB686D"/>
    <w:rsid w:val="00CB68F7"/>
    <w:rsid w:val="00CB693C"/>
    <w:rsid w:val="00CB694F"/>
    <w:rsid w:val="00CB6957"/>
    <w:rsid w:val="00CB6BDA"/>
    <w:rsid w:val="00CB6C0B"/>
    <w:rsid w:val="00CB6D37"/>
    <w:rsid w:val="00CB6DDD"/>
    <w:rsid w:val="00CB6DFC"/>
    <w:rsid w:val="00CB6E15"/>
    <w:rsid w:val="00CB6E7F"/>
    <w:rsid w:val="00CB6E81"/>
    <w:rsid w:val="00CB6F65"/>
    <w:rsid w:val="00CB7037"/>
    <w:rsid w:val="00CB703E"/>
    <w:rsid w:val="00CB707A"/>
    <w:rsid w:val="00CB70AD"/>
    <w:rsid w:val="00CB70D2"/>
    <w:rsid w:val="00CB713E"/>
    <w:rsid w:val="00CB717B"/>
    <w:rsid w:val="00CB7186"/>
    <w:rsid w:val="00CB71D8"/>
    <w:rsid w:val="00CB7209"/>
    <w:rsid w:val="00CB7281"/>
    <w:rsid w:val="00CB72C0"/>
    <w:rsid w:val="00CB73B7"/>
    <w:rsid w:val="00CB744B"/>
    <w:rsid w:val="00CB7558"/>
    <w:rsid w:val="00CB755D"/>
    <w:rsid w:val="00CB7693"/>
    <w:rsid w:val="00CB76E4"/>
    <w:rsid w:val="00CB76F8"/>
    <w:rsid w:val="00CB7883"/>
    <w:rsid w:val="00CB7923"/>
    <w:rsid w:val="00CB7938"/>
    <w:rsid w:val="00CB7A08"/>
    <w:rsid w:val="00CB7A09"/>
    <w:rsid w:val="00CB7ADF"/>
    <w:rsid w:val="00CB7B1E"/>
    <w:rsid w:val="00CB7B6F"/>
    <w:rsid w:val="00CB7BB9"/>
    <w:rsid w:val="00CB7C6E"/>
    <w:rsid w:val="00CB7CDE"/>
    <w:rsid w:val="00CB7CF9"/>
    <w:rsid w:val="00CB7D3A"/>
    <w:rsid w:val="00CB7D6F"/>
    <w:rsid w:val="00CB7ED4"/>
    <w:rsid w:val="00CB7F46"/>
    <w:rsid w:val="00CB7FD8"/>
    <w:rsid w:val="00CC0110"/>
    <w:rsid w:val="00CC01F3"/>
    <w:rsid w:val="00CC023F"/>
    <w:rsid w:val="00CC025F"/>
    <w:rsid w:val="00CC02DC"/>
    <w:rsid w:val="00CC03DD"/>
    <w:rsid w:val="00CC0577"/>
    <w:rsid w:val="00CC05D3"/>
    <w:rsid w:val="00CC0614"/>
    <w:rsid w:val="00CC067F"/>
    <w:rsid w:val="00CC06CB"/>
    <w:rsid w:val="00CC06EE"/>
    <w:rsid w:val="00CC0721"/>
    <w:rsid w:val="00CC0806"/>
    <w:rsid w:val="00CC091B"/>
    <w:rsid w:val="00CC09D0"/>
    <w:rsid w:val="00CC0A17"/>
    <w:rsid w:val="00CC0B72"/>
    <w:rsid w:val="00CC0C46"/>
    <w:rsid w:val="00CC0C54"/>
    <w:rsid w:val="00CC0CEC"/>
    <w:rsid w:val="00CC0D1E"/>
    <w:rsid w:val="00CC0D33"/>
    <w:rsid w:val="00CC0D5B"/>
    <w:rsid w:val="00CC0DE7"/>
    <w:rsid w:val="00CC0F23"/>
    <w:rsid w:val="00CC10B9"/>
    <w:rsid w:val="00CC10F9"/>
    <w:rsid w:val="00CC114C"/>
    <w:rsid w:val="00CC1191"/>
    <w:rsid w:val="00CC11C6"/>
    <w:rsid w:val="00CC11FE"/>
    <w:rsid w:val="00CC1273"/>
    <w:rsid w:val="00CC1288"/>
    <w:rsid w:val="00CC12E8"/>
    <w:rsid w:val="00CC13B9"/>
    <w:rsid w:val="00CC13E9"/>
    <w:rsid w:val="00CC1453"/>
    <w:rsid w:val="00CC1459"/>
    <w:rsid w:val="00CC1471"/>
    <w:rsid w:val="00CC15C4"/>
    <w:rsid w:val="00CC16C7"/>
    <w:rsid w:val="00CC16DE"/>
    <w:rsid w:val="00CC1849"/>
    <w:rsid w:val="00CC184C"/>
    <w:rsid w:val="00CC19CB"/>
    <w:rsid w:val="00CC19F1"/>
    <w:rsid w:val="00CC1A2D"/>
    <w:rsid w:val="00CC1A76"/>
    <w:rsid w:val="00CC1A98"/>
    <w:rsid w:val="00CC1BEA"/>
    <w:rsid w:val="00CC1C09"/>
    <w:rsid w:val="00CC1C38"/>
    <w:rsid w:val="00CC1D44"/>
    <w:rsid w:val="00CC1D5E"/>
    <w:rsid w:val="00CC1DEE"/>
    <w:rsid w:val="00CC1DF3"/>
    <w:rsid w:val="00CC1E4A"/>
    <w:rsid w:val="00CC1ECA"/>
    <w:rsid w:val="00CC1FFB"/>
    <w:rsid w:val="00CC2026"/>
    <w:rsid w:val="00CC2037"/>
    <w:rsid w:val="00CC203D"/>
    <w:rsid w:val="00CC212C"/>
    <w:rsid w:val="00CC217D"/>
    <w:rsid w:val="00CC21EA"/>
    <w:rsid w:val="00CC2268"/>
    <w:rsid w:val="00CC23D6"/>
    <w:rsid w:val="00CC23DF"/>
    <w:rsid w:val="00CC2403"/>
    <w:rsid w:val="00CC2502"/>
    <w:rsid w:val="00CC2560"/>
    <w:rsid w:val="00CC2705"/>
    <w:rsid w:val="00CC2777"/>
    <w:rsid w:val="00CC27A5"/>
    <w:rsid w:val="00CC27F4"/>
    <w:rsid w:val="00CC2871"/>
    <w:rsid w:val="00CC28EA"/>
    <w:rsid w:val="00CC2978"/>
    <w:rsid w:val="00CC2997"/>
    <w:rsid w:val="00CC29A2"/>
    <w:rsid w:val="00CC2A2F"/>
    <w:rsid w:val="00CC2AAA"/>
    <w:rsid w:val="00CC2ADB"/>
    <w:rsid w:val="00CC2ADF"/>
    <w:rsid w:val="00CC2B50"/>
    <w:rsid w:val="00CC2BBC"/>
    <w:rsid w:val="00CC2BD5"/>
    <w:rsid w:val="00CC2C04"/>
    <w:rsid w:val="00CC2C2E"/>
    <w:rsid w:val="00CC2C2F"/>
    <w:rsid w:val="00CC2D67"/>
    <w:rsid w:val="00CC2E48"/>
    <w:rsid w:val="00CC2E5E"/>
    <w:rsid w:val="00CC2EB7"/>
    <w:rsid w:val="00CC2F01"/>
    <w:rsid w:val="00CC2FF8"/>
    <w:rsid w:val="00CC3074"/>
    <w:rsid w:val="00CC308B"/>
    <w:rsid w:val="00CC30AD"/>
    <w:rsid w:val="00CC30B6"/>
    <w:rsid w:val="00CC3191"/>
    <w:rsid w:val="00CC323F"/>
    <w:rsid w:val="00CC331F"/>
    <w:rsid w:val="00CC3420"/>
    <w:rsid w:val="00CC343C"/>
    <w:rsid w:val="00CC34B3"/>
    <w:rsid w:val="00CC354E"/>
    <w:rsid w:val="00CC35AF"/>
    <w:rsid w:val="00CC35FE"/>
    <w:rsid w:val="00CC387A"/>
    <w:rsid w:val="00CC38EE"/>
    <w:rsid w:val="00CC39A7"/>
    <w:rsid w:val="00CC3A4C"/>
    <w:rsid w:val="00CC3ABB"/>
    <w:rsid w:val="00CC3B13"/>
    <w:rsid w:val="00CC3B5F"/>
    <w:rsid w:val="00CC3B94"/>
    <w:rsid w:val="00CC3BAE"/>
    <w:rsid w:val="00CC3D20"/>
    <w:rsid w:val="00CC3DE9"/>
    <w:rsid w:val="00CC3E48"/>
    <w:rsid w:val="00CC3EA9"/>
    <w:rsid w:val="00CC3EFF"/>
    <w:rsid w:val="00CC3F0E"/>
    <w:rsid w:val="00CC3F1C"/>
    <w:rsid w:val="00CC4022"/>
    <w:rsid w:val="00CC4052"/>
    <w:rsid w:val="00CC4087"/>
    <w:rsid w:val="00CC4099"/>
    <w:rsid w:val="00CC4194"/>
    <w:rsid w:val="00CC41E0"/>
    <w:rsid w:val="00CC4210"/>
    <w:rsid w:val="00CC427B"/>
    <w:rsid w:val="00CC42D8"/>
    <w:rsid w:val="00CC42F6"/>
    <w:rsid w:val="00CC4321"/>
    <w:rsid w:val="00CC4375"/>
    <w:rsid w:val="00CC43D4"/>
    <w:rsid w:val="00CC4441"/>
    <w:rsid w:val="00CC4456"/>
    <w:rsid w:val="00CC4482"/>
    <w:rsid w:val="00CC4528"/>
    <w:rsid w:val="00CC45AC"/>
    <w:rsid w:val="00CC461C"/>
    <w:rsid w:val="00CC4681"/>
    <w:rsid w:val="00CC47A5"/>
    <w:rsid w:val="00CC48E8"/>
    <w:rsid w:val="00CC48EE"/>
    <w:rsid w:val="00CC48F8"/>
    <w:rsid w:val="00CC494A"/>
    <w:rsid w:val="00CC4962"/>
    <w:rsid w:val="00CC4B38"/>
    <w:rsid w:val="00CC4B40"/>
    <w:rsid w:val="00CC4BAA"/>
    <w:rsid w:val="00CC4C4E"/>
    <w:rsid w:val="00CC4CB5"/>
    <w:rsid w:val="00CC4CCE"/>
    <w:rsid w:val="00CC4D33"/>
    <w:rsid w:val="00CC4D4B"/>
    <w:rsid w:val="00CC4ED4"/>
    <w:rsid w:val="00CC500B"/>
    <w:rsid w:val="00CC5029"/>
    <w:rsid w:val="00CC51F3"/>
    <w:rsid w:val="00CC5291"/>
    <w:rsid w:val="00CC52AC"/>
    <w:rsid w:val="00CC52ED"/>
    <w:rsid w:val="00CC52F6"/>
    <w:rsid w:val="00CC531E"/>
    <w:rsid w:val="00CC55E0"/>
    <w:rsid w:val="00CC55E1"/>
    <w:rsid w:val="00CC55E2"/>
    <w:rsid w:val="00CC566E"/>
    <w:rsid w:val="00CC569D"/>
    <w:rsid w:val="00CC56C8"/>
    <w:rsid w:val="00CC57D0"/>
    <w:rsid w:val="00CC57DE"/>
    <w:rsid w:val="00CC58FA"/>
    <w:rsid w:val="00CC59CD"/>
    <w:rsid w:val="00CC5ABD"/>
    <w:rsid w:val="00CC5AD4"/>
    <w:rsid w:val="00CC5BDF"/>
    <w:rsid w:val="00CC5D4C"/>
    <w:rsid w:val="00CC5EB7"/>
    <w:rsid w:val="00CC5FDD"/>
    <w:rsid w:val="00CC6167"/>
    <w:rsid w:val="00CC61EA"/>
    <w:rsid w:val="00CC6436"/>
    <w:rsid w:val="00CC65EB"/>
    <w:rsid w:val="00CC6877"/>
    <w:rsid w:val="00CC69C8"/>
    <w:rsid w:val="00CC69E5"/>
    <w:rsid w:val="00CC6AF2"/>
    <w:rsid w:val="00CC6B23"/>
    <w:rsid w:val="00CC6C06"/>
    <w:rsid w:val="00CC6D2D"/>
    <w:rsid w:val="00CC6D40"/>
    <w:rsid w:val="00CC6D7D"/>
    <w:rsid w:val="00CC6DB1"/>
    <w:rsid w:val="00CC6DFD"/>
    <w:rsid w:val="00CC6EB5"/>
    <w:rsid w:val="00CC6EF9"/>
    <w:rsid w:val="00CC6F04"/>
    <w:rsid w:val="00CC6F5E"/>
    <w:rsid w:val="00CC705E"/>
    <w:rsid w:val="00CC7154"/>
    <w:rsid w:val="00CC7170"/>
    <w:rsid w:val="00CC719D"/>
    <w:rsid w:val="00CC71A4"/>
    <w:rsid w:val="00CC7268"/>
    <w:rsid w:val="00CC7279"/>
    <w:rsid w:val="00CC72CC"/>
    <w:rsid w:val="00CC72DE"/>
    <w:rsid w:val="00CC73A9"/>
    <w:rsid w:val="00CC749C"/>
    <w:rsid w:val="00CC74A7"/>
    <w:rsid w:val="00CC74B9"/>
    <w:rsid w:val="00CC755A"/>
    <w:rsid w:val="00CC767E"/>
    <w:rsid w:val="00CC76E2"/>
    <w:rsid w:val="00CC783E"/>
    <w:rsid w:val="00CC79AC"/>
    <w:rsid w:val="00CC7AC2"/>
    <w:rsid w:val="00CC7AF5"/>
    <w:rsid w:val="00CC7B18"/>
    <w:rsid w:val="00CC7BCD"/>
    <w:rsid w:val="00CC7BD4"/>
    <w:rsid w:val="00CC7BDD"/>
    <w:rsid w:val="00CC7C01"/>
    <w:rsid w:val="00CC7CC1"/>
    <w:rsid w:val="00CC7D2E"/>
    <w:rsid w:val="00CC7D42"/>
    <w:rsid w:val="00CC7DC8"/>
    <w:rsid w:val="00CC7E59"/>
    <w:rsid w:val="00CC7EA8"/>
    <w:rsid w:val="00CC7EBB"/>
    <w:rsid w:val="00CC7FAF"/>
    <w:rsid w:val="00CD00C8"/>
    <w:rsid w:val="00CD01B8"/>
    <w:rsid w:val="00CD0260"/>
    <w:rsid w:val="00CD02EB"/>
    <w:rsid w:val="00CD033E"/>
    <w:rsid w:val="00CD0342"/>
    <w:rsid w:val="00CD0382"/>
    <w:rsid w:val="00CD03A1"/>
    <w:rsid w:val="00CD03BB"/>
    <w:rsid w:val="00CD0464"/>
    <w:rsid w:val="00CD0507"/>
    <w:rsid w:val="00CD0589"/>
    <w:rsid w:val="00CD0594"/>
    <w:rsid w:val="00CD05CF"/>
    <w:rsid w:val="00CD05E3"/>
    <w:rsid w:val="00CD0633"/>
    <w:rsid w:val="00CD065C"/>
    <w:rsid w:val="00CD065E"/>
    <w:rsid w:val="00CD066E"/>
    <w:rsid w:val="00CD0689"/>
    <w:rsid w:val="00CD06DF"/>
    <w:rsid w:val="00CD06E0"/>
    <w:rsid w:val="00CD076E"/>
    <w:rsid w:val="00CD07B8"/>
    <w:rsid w:val="00CD082C"/>
    <w:rsid w:val="00CD0887"/>
    <w:rsid w:val="00CD088B"/>
    <w:rsid w:val="00CD08A5"/>
    <w:rsid w:val="00CD0915"/>
    <w:rsid w:val="00CD093D"/>
    <w:rsid w:val="00CD0A74"/>
    <w:rsid w:val="00CD0BF1"/>
    <w:rsid w:val="00CD0BFB"/>
    <w:rsid w:val="00CD0CA9"/>
    <w:rsid w:val="00CD0D3A"/>
    <w:rsid w:val="00CD0DAF"/>
    <w:rsid w:val="00CD0F3B"/>
    <w:rsid w:val="00CD0FBB"/>
    <w:rsid w:val="00CD11F1"/>
    <w:rsid w:val="00CD1224"/>
    <w:rsid w:val="00CD12B5"/>
    <w:rsid w:val="00CD12C2"/>
    <w:rsid w:val="00CD12C7"/>
    <w:rsid w:val="00CD12D2"/>
    <w:rsid w:val="00CD12E2"/>
    <w:rsid w:val="00CD131D"/>
    <w:rsid w:val="00CD136C"/>
    <w:rsid w:val="00CD14B7"/>
    <w:rsid w:val="00CD1529"/>
    <w:rsid w:val="00CD1536"/>
    <w:rsid w:val="00CD162D"/>
    <w:rsid w:val="00CD1641"/>
    <w:rsid w:val="00CD17AE"/>
    <w:rsid w:val="00CD17D7"/>
    <w:rsid w:val="00CD18C3"/>
    <w:rsid w:val="00CD18F2"/>
    <w:rsid w:val="00CD1953"/>
    <w:rsid w:val="00CD1A69"/>
    <w:rsid w:val="00CD1AD8"/>
    <w:rsid w:val="00CD1B1C"/>
    <w:rsid w:val="00CD1B8B"/>
    <w:rsid w:val="00CD1BA9"/>
    <w:rsid w:val="00CD1C30"/>
    <w:rsid w:val="00CD1C39"/>
    <w:rsid w:val="00CD1C5B"/>
    <w:rsid w:val="00CD1E75"/>
    <w:rsid w:val="00CD1F89"/>
    <w:rsid w:val="00CD1FC7"/>
    <w:rsid w:val="00CD202A"/>
    <w:rsid w:val="00CD20E5"/>
    <w:rsid w:val="00CD2161"/>
    <w:rsid w:val="00CD218E"/>
    <w:rsid w:val="00CD21F0"/>
    <w:rsid w:val="00CD2200"/>
    <w:rsid w:val="00CD231F"/>
    <w:rsid w:val="00CD2323"/>
    <w:rsid w:val="00CD233C"/>
    <w:rsid w:val="00CD24AA"/>
    <w:rsid w:val="00CD24E9"/>
    <w:rsid w:val="00CD251C"/>
    <w:rsid w:val="00CD2596"/>
    <w:rsid w:val="00CD2616"/>
    <w:rsid w:val="00CD2635"/>
    <w:rsid w:val="00CD2637"/>
    <w:rsid w:val="00CD265F"/>
    <w:rsid w:val="00CD26EB"/>
    <w:rsid w:val="00CD26FB"/>
    <w:rsid w:val="00CD26FE"/>
    <w:rsid w:val="00CD272E"/>
    <w:rsid w:val="00CD2866"/>
    <w:rsid w:val="00CD28A6"/>
    <w:rsid w:val="00CD28DB"/>
    <w:rsid w:val="00CD2965"/>
    <w:rsid w:val="00CD29A8"/>
    <w:rsid w:val="00CD2A51"/>
    <w:rsid w:val="00CD2AAF"/>
    <w:rsid w:val="00CD2ADB"/>
    <w:rsid w:val="00CD2AED"/>
    <w:rsid w:val="00CD2B4A"/>
    <w:rsid w:val="00CD2BCF"/>
    <w:rsid w:val="00CD2C58"/>
    <w:rsid w:val="00CD2CF4"/>
    <w:rsid w:val="00CD2E9F"/>
    <w:rsid w:val="00CD2EC0"/>
    <w:rsid w:val="00CD2F05"/>
    <w:rsid w:val="00CD2F44"/>
    <w:rsid w:val="00CD2F64"/>
    <w:rsid w:val="00CD2F97"/>
    <w:rsid w:val="00CD3044"/>
    <w:rsid w:val="00CD30FF"/>
    <w:rsid w:val="00CD319E"/>
    <w:rsid w:val="00CD3271"/>
    <w:rsid w:val="00CD32C4"/>
    <w:rsid w:val="00CD3330"/>
    <w:rsid w:val="00CD3351"/>
    <w:rsid w:val="00CD33E7"/>
    <w:rsid w:val="00CD33F9"/>
    <w:rsid w:val="00CD3471"/>
    <w:rsid w:val="00CD3552"/>
    <w:rsid w:val="00CD35CA"/>
    <w:rsid w:val="00CD35CE"/>
    <w:rsid w:val="00CD3613"/>
    <w:rsid w:val="00CD36A1"/>
    <w:rsid w:val="00CD3752"/>
    <w:rsid w:val="00CD376D"/>
    <w:rsid w:val="00CD3799"/>
    <w:rsid w:val="00CD37E5"/>
    <w:rsid w:val="00CD3919"/>
    <w:rsid w:val="00CD398A"/>
    <w:rsid w:val="00CD39AE"/>
    <w:rsid w:val="00CD39F7"/>
    <w:rsid w:val="00CD3A13"/>
    <w:rsid w:val="00CD3A19"/>
    <w:rsid w:val="00CD3AF6"/>
    <w:rsid w:val="00CD3C2F"/>
    <w:rsid w:val="00CD3E51"/>
    <w:rsid w:val="00CD3E5E"/>
    <w:rsid w:val="00CD3EBA"/>
    <w:rsid w:val="00CD3F2D"/>
    <w:rsid w:val="00CD3FE4"/>
    <w:rsid w:val="00CD4043"/>
    <w:rsid w:val="00CD4061"/>
    <w:rsid w:val="00CD409F"/>
    <w:rsid w:val="00CD40D5"/>
    <w:rsid w:val="00CD40FA"/>
    <w:rsid w:val="00CD4111"/>
    <w:rsid w:val="00CD417E"/>
    <w:rsid w:val="00CD42AA"/>
    <w:rsid w:val="00CD42C3"/>
    <w:rsid w:val="00CD433A"/>
    <w:rsid w:val="00CD4389"/>
    <w:rsid w:val="00CD43B6"/>
    <w:rsid w:val="00CD4418"/>
    <w:rsid w:val="00CD4638"/>
    <w:rsid w:val="00CD4640"/>
    <w:rsid w:val="00CD4665"/>
    <w:rsid w:val="00CD4763"/>
    <w:rsid w:val="00CD487B"/>
    <w:rsid w:val="00CD4953"/>
    <w:rsid w:val="00CD49DF"/>
    <w:rsid w:val="00CD4A48"/>
    <w:rsid w:val="00CD4A4E"/>
    <w:rsid w:val="00CD4AD8"/>
    <w:rsid w:val="00CD4BAA"/>
    <w:rsid w:val="00CD4D97"/>
    <w:rsid w:val="00CD4ED2"/>
    <w:rsid w:val="00CD4F49"/>
    <w:rsid w:val="00CD4FFD"/>
    <w:rsid w:val="00CD5072"/>
    <w:rsid w:val="00CD5122"/>
    <w:rsid w:val="00CD5207"/>
    <w:rsid w:val="00CD525F"/>
    <w:rsid w:val="00CD537A"/>
    <w:rsid w:val="00CD53D3"/>
    <w:rsid w:val="00CD54FD"/>
    <w:rsid w:val="00CD551C"/>
    <w:rsid w:val="00CD558A"/>
    <w:rsid w:val="00CD5685"/>
    <w:rsid w:val="00CD568D"/>
    <w:rsid w:val="00CD5698"/>
    <w:rsid w:val="00CD56A3"/>
    <w:rsid w:val="00CD572F"/>
    <w:rsid w:val="00CD5813"/>
    <w:rsid w:val="00CD58E8"/>
    <w:rsid w:val="00CD58EC"/>
    <w:rsid w:val="00CD593D"/>
    <w:rsid w:val="00CD597B"/>
    <w:rsid w:val="00CD5A84"/>
    <w:rsid w:val="00CD5AAD"/>
    <w:rsid w:val="00CD5AAF"/>
    <w:rsid w:val="00CD5AE4"/>
    <w:rsid w:val="00CD5B36"/>
    <w:rsid w:val="00CD5B46"/>
    <w:rsid w:val="00CD5BDB"/>
    <w:rsid w:val="00CD5C28"/>
    <w:rsid w:val="00CD5D45"/>
    <w:rsid w:val="00CD5D5E"/>
    <w:rsid w:val="00CD5EFF"/>
    <w:rsid w:val="00CD5FC2"/>
    <w:rsid w:val="00CD60A3"/>
    <w:rsid w:val="00CD6133"/>
    <w:rsid w:val="00CD62D4"/>
    <w:rsid w:val="00CD644A"/>
    <w:rsid w:val="00CD64C9"/>
    <w:rsid w:val="00CD6665"/>
    <w:rsid w:val="00CD6688"/>
    <w:rsid w:val="00CD66A3"/>
    <w:rsid w:val="00CD66AB"/>
    <w:rsid w:val="00CD6719"/>
    <w:rsid w:val="00CD6726"/>
    <w:rsid w:val="00CD6732"/>
    <w:rsid w:val="00CD6735"/>
    <w:rsid w:val="00CD6737"/>
    <w:rsid w:val="00CD6752"/>
    <w:rsid w:val="00CD6790"/>
    <w:rsid w:val="00CD679F"/>
    <w:rsid w:val="00CD682A"/>
    <w:rsid w:val="00CD683C"/>
    <w:rsid w:val="00CD6856"/>
    <w:rsid w:val="00CD688A"/>
    <w:rsid w:val="00CD69C0"/>
    <w:rsid w:val="00CD6A97"/>
    <w:rsid w:val="00CD6A98"/>
    <w:rsid w:val="00CD6B45"/>
    <w:rsid w:val="00CD6B55"/>
    <w:rsid w:val="00CD6BD1"/>
    <w:rsid w:val="00CD6D31"/>
    <w:rsid w:val="00CD6DA8"/>
    <w:rsid w:val="00CD6DEA"/>
    <w:rsid w:val="00CD6E7E"/>
    <w:rsid w:val="00CD6E8E"/>
    <w:rsid w:val="00CD6EEA"/>
    <w:rsid w:val="00CD6F08"/>
    <w:rsid w:val="00CD701A"/>
    <w:rsid w:val="00CD7030"/>
    <w:rsid w:val="00CD70B0"/>
    <w:rsid w:val="00CD70BA"/>
    <w:rsid w:val="00CD711D"/>
    <w:rsid w:val="00CD7179"/>
    <w:rsid w:val="00CD7204"/>
    <w:rsid w:val="00CD7278"/>
    <w:rsid w:val="00CD72FF"/>
    <w:rsid w:val="00CD73AB"/>
    <w:rsid w:val="00CD7592"/>
    <w:rsid w:val="00CD7772"/>
    <w:rsid w:val="00CD778D"/>
    <w:rsid w:val="00CD7AFA"/>
    <w:rsid w:val="00CD7C24"/>
    <w:rsid w:val="00CD7C99"/>
    <w:rsid w:val="00CD7EB3"/>
    <w:rsid w:val="00CD7F26"/>
    <w:rsid w:val="00CD7F70"/>
    <w:rsid w:val="00CD7F76"/>
    <w:rsid w:val="00CE0075"/>
    <w:rsid w:val="00CE00CB"/>
    <w:rsid w:val="00CE0253"/>
    <w:rsid w:val="00CE026E"/>
    <w:rsid w:val="00CE0294"/>
    <w:rsid w:val="00CE0346"/>
    <w:rsid w:val="00CE0499"/>
    <w:rsid w:val="00CE04E9"/>
    <w:rsid w:val="00CE06A5"/>
    <w:rsid w:val="00CE06A7"/>
    <w:rsid w:val="00CE06CF"/>
    <w:rsid w:val="00CE0714"/>
    <w:rsid w:val="00CE0895"/>
    <w:rsid w:val="00CE093D"/>
    <w:rsid w:val="00CE0AAB"/>
    <w:rsid w:val="00CE0B50"/>
    <w:rsid w:val="00CE0C9B"/>
    <w:rsid w:val="00CE0DEE"/>
    <w:rsid w:val="00CE109E"/>
    <w:rsid w:val="00CE10C1"/>
    <w:rsid w:val="00CE1116"/>
    <w:rsid w:val="00CE11A4"/>
    <w:rsid w:val="00CE126D"/>
    <w:rsid w:val="00CE12F7"/>
    <w:rsid w:val="00CE1341"/>
    <w:rsid w:val="00CE1578"/>
    <w:rsid w:val="00CE15C2"/>
    <w:rsid w:val="00CE15F5"/>
    <w:rsid w:val="00CE1620"/>
    <w:rsid w:val="00CE169A"/>
    <w:rsid w:val="00CE169B"/>
    <w:rsid w:val="00CE1749"/>
    <w:rsid w:val="00CE17E0"/>
    <w:rsid w:val="00CE186C"/>
    <w:rsid w:val="00CE1942"/>
    <w:rsid w:val="00CE1958"/>
    <w:rsid w:val="00CE19EB"/>
    <w:rsid w:val="00CE19F6"/>
    <w:rsid w:val="00CE1A69"/>
    <w:rsid w:val="00CE1AF8"/>
    <w:rsid w:val="00CE1F5E"/>
    <w:rsid w:val="00CE1F7C"/>
    <w:rsid w:val="00CE1F81"/>
    <w:rsid w:val="00CE205F"/>
    <w:rsid w:val="00CE208F"/>
    <w:rsid w:val="00CE2101"/>
    <w:rsid w:val="00CE2130"/>
    <w:rsid w:val="00CE22CA"/>
    <w:rsid w:val="00CE2336"/>
    <w:rsid w:val="00CE2416"/>
    <w:rsid w:val="00CE25A5"/>
    <w:rsid w:val="00CE25C0"/>
    <w:rsid w:val="00CE25DF"/>
    <w:rsid w:val="00CE26F2"/>
    <w:rsid w:val="00CE27CB"/>
    <w:rsid w:val="00CE28F3"/>
    <w:rsid w:val="00CE29D8"/>
    <w:rsid w:val="00CE2A54"/>
    <w:rsid w:val="00CE2ABB"/>
    <w:rsid w:val="00CE2AC3"/>
    <w:rsid w:val="00CE2B0D"/>
    <w:rsid w:val="00CE2B83"/>
    <w:rsid w:val="00CE2C4B"/>
    <w:rsid w:val="00CE2C58"/>
    <w:rsid w:val="00CE2C8D"/>
    <w:rsid w:val="00CE2E56"/>
    <w:rsid w:val="00CE310C"/>
    <w:rsid w:val="00CE3131"/>
    <w:rsid w:val="00CE317A"/>
    <w:rsid w:val="00CE3225"/>
    <w:rsid w:val="00CE3406"/>
    <w:rsid w:val="00CE3635"/>
    <w:rsid w:val="00CE3641"/>
    <w:rsid w:val="00CE3648"/>
    <w:rsid w:val="00CE3671"/>
    <w:rsid w:val="00CE36D9"/>
    <w:rsid w:val="00CE377C"/>
    <w:rsid w:val="00CE3856"/>
    <w:rsid w:val="00CE387A"/>
    <w:rsid w:val="00CE38C4"/>
    <w:rsid w:val="00CE39BC"/>
    <w:rsid w:val="00CE3AFB"/>
    <w:rsid w:val="00CE3B8C"/>
    <w:rsid w:val="00CE3D4C"/>
    <w:rsid w:val="00CE3DA4"/>
    <w:rsid w:val="00CE3DF8"/>
    <w:rsid w:val="00CE3E32"/>
    <w:rsid w:val="00CE3E68"/>
    <w:rsid w:val="00CE3E9A"/>
    <w:rsid w:val="00CE3EB1"/>
    <w:rsid w:val="00CE3EEB"/>
    <w:rsid w:val="00CE3F04"/>
    <w:rsid w:val="00CE3FDF"/>
    <w:rsid w:val="00CE42B6"/>
    <w:rsid w:val="00CE431E"/>
    <w:rsid w:val="00CE4324"/>
    <w:rsid w:val="00CE4516"/>
    <w:rsid w:val="00CE4525"/>
    <w:rsid w:val="00CE4658"/>
    <w:rsid w:val="00CE4668"/>
    <w:rsid w:val="00CE4669"/>
    <w:rsid w:val="00CE46FE"/>
    <w:rsid w:val="00CE4700"/>
    <w:rsid w:val="00CE4723"/>
    <w:rsid w:val="00CE4767"/>
    <w:rsid w:val="00CE4860"/>
    <w:rsid w:val="00CE486F"/>
    <w:rsid w:val="00CE4B78"/>
    <w:rsid w:val="00CE4BC5"/>
    <w:rsid w:val="00CE4BFC"/>
    <w:rsid w:val="00CE4C0D"/>
    <w:rsid w:val="00CE4C4F"/>
    <w:rsid w:val="00CE4CBD"/>
    <w:rsid w:val="00CE4D20"/>
    <w:rsid w:val="00CE4D40"/>
    <w:rsid w:val="00CE4D9C"/>
    <w:rsid w:val="00CE4EDA"/>
    <w:rsid w:val="00CE4EE5"/>
    <w:rsid w:val="00CE4FBA"/>
    <w:rsid w:val="00CE4FCA"/>
    <w:rsid w:val="00CE4FF7"/>
    <w:rsid w:val="00CE50A4"/>
    <w:rsid w:val="00CE511C"/>
    <w:rsid w:val="00CE5184"/>
    <w:rsid w:val="00CE52BB"/>
    <w:rsid w:val="00CE5340"/>
    <w:rsid w:val="00CE5364"/>
    <w:rsid w:val="00CE53C3"/>
    <w:rsid w:val="00CE54BB"/>
    <w:rsid w:val="00CE56D6"/>
    <w:rsid w:val="00CE5735"/>
    <w:rsid w:val="00CE574B"/>
    <w:rsid w:val="00CE5817"/>
    <w:rsid w:val="00CE584A"/>
    <w:rsid w:val="00CE5887"/>
    <w:rsid w:val="00CE58A9"/>
    <w:rsid w:val="00CE590C"/>
    <w:rsid w:val="00CE59E8"/>
    <w:rsid w:val="00CE59F2"/>
    <w:rsid w:val="00CE5A82"/>
    <w:rsid w:val="00CE5B85"/>
    <w:rsid w:val="00CE5C73"/>
    <w:rsid w:val="00CE5C85"/>
    <w:rsid w:val="00CE5D6B"/>
    <w:rsid w:val="00CE5E10"/>
    <w:rsid w:val="00CE5F1D"/>
    <w:rsid w:val="00CE5F9C"/>
    <w:rsid w:val="00CE5FF1"/>
    <w:rsid w:val="00CE609B"/>
    <w:rsid w:val="00CE610F"/>
    <w:rsid w:val="00CE6154"/>
    <w:rsid w:val="00CE62B0"/>
    <w:rsid w:val="00CE62DF"/>
    <w:rsid w:val="00CE6355"/>
    <w:rsid w:val="00CE63BF"/>
    <w:rsid w:val="00CE6426"/>
    <w:rsid w:val="00CE643C"/>
    <w:rsid w:val="00CE6444"/>
    <w:rsid w:val="00CE64D8"/>
    <w:rsid w:val="00CE66B3"/>
    <w:rsid w:val="00CE674D"/>
    <w:rsid w:val="00CE67AC"/>
    <w:rsid w:val="00CE693D"/>
    <w:rsid w:val="00CE6A31"/>
    <w:rsid w:val="00CE6A35"/>
    <w:rsid w:val="00CE6AF3"/>
    <w:rsid w:val="00CE6AF8"/>
    <w:rsid w:val="00CE6BE7"/>
    <w:rsid w:val="00CE6C50"/>
    <w:rsid w:val="00CE6C79"/>
    <w:rsid w:val="00CE6CDC"/>
    <w:rsid w:val="00CE6D58"/>
    <w:rsid w:val="00CE6D5E"/>
    <w:rsid w:val="00CE6D75"/>
    <w:rsid w:val="00CE6DA9"/>
    <w:rsid w:val="00CE6E61"/>
    <w:rsid w:val="00CE6E8F"/>
    <w:rsid w:val="00CE6F2E"/>
    <w:rsid w:val="00CE6F9E"/>
    <w:rsid w:val="00CE6FC0"/>
    <w:rsid w:val="00CE7083"/>
    <w:rsid w:val="00CE70AC"/>
    <w:rsid w:val="00CE7106"/>
    <w:rsid w:val="00CE713A"/>
    <w:rsid w:val="00CE717A"/>
    <w:rsid w:val="00CE717C"/>
    <w:rsid w:val="00CE71F7"/>
    <w:rsid w:val="00CE71FA"/>
    <w:rsid w:val="00CE71FD"/>
    <w:rsid w:val="00CE7202"/>
    <w:rsid w:val="00CE7217"/>
    <w:rsid w:val="00CE72A5"/>
    <w:rsid w:val="00CE730D"/>
    <w:rsid w:val="00CE731F"/>
    <w:rsid w:val="00CE732F"/>
    <w:rsid w:val="00CE7473"/>
    <w:rsid w:val="00CE74F6"/>
    <w:rsid w:val="00CE7513"/>
    <w:rsid w:val="00CE7514"/>
    <w:rsid w:val="00CE768B"/>
    <w:rsid w:val="00CE769D"/>
    <w:rsid w:val="00CE778A"/>
    <w:rsid w:val="00CE77A0"/>
    <w:rsid w:val="00CE7840"/>
    <w:rsid w:val="00CE78B8"/>
    <w:rsid w:val="00CE78FD"/>
    <w:rsid w:val="00CE7A24"/>
    <w:rsid w:val="00CE7AB8"/>
    <w:rsid w:val="00CE7AD9"/>
    <w:rsid w:val="00CE7B53"/>
    <w:rsid w:val="00CE7C58"/>
    <w:rsid w:val="00CE7DA2"/>
    <w:rsid w:val="00CE7E13"/>
    <w:rsid w:val="00CE7E1B"/>
    <w:rsid w:val="00CE7E31"/>
    <w:rsid w:val="00CE7E7F"/>
    <w:rsid w:val="00CE7F39"/>
    <w:rsid w:val="00CE7FE1"/>
    <w:rsid w:val="00CF001C"/>
    <w:rsid w:val="00CF00E1"/>
    <w:rsid w:val="00CF00E3"/>
    <w:rsid w:val="00CF0149"/>
    <w:rsid w:val="00CF015E"/>
    <w:rsid w:val="00CF026E"/>
    <w:rsid w:val="00CF02F5"/>
    <w:rsid w:val="00CF0370"/>
    <w:rsid w:val="00CF0403"/>
    <w:rsid w:val="00CF042A"/>
    <w:rsid w:val="00CF04FB"/>
    <w:rsid w:val="00CF0500"/>
    <w:rsid w:val="00CF056F"/>
    <w:rsid w:val="00CF05B2"/>
    <w:rsid w:val="00CF05C4"/>
    <w:rsid w:val="00CF0655"/>
    <w:rsid w:val="00CF065B"/>
    <w:rsid w:val="00CF09D8"/>
    <w:rsid w:val="00CF0ABB"/>
    <w:rsid w:val="00CF0B0E"/>
    <w:rsid w:val="00CF0BB3"/>
    <w:rsid w:val="00CF0C33"/>
    <w:rsid w:val="00CF0C98"/>
    <w:rsid w:val="00CF0E8F"/>
    <w:rsid w:val="00CF0EA4"/>
    <w:rsid w:val="00CF0EBF"/>
    <w:rsid w:val="00CF0F8E"/>
    <w:rsid w:val="00CF11D4"/>
    <w:rsid w:val="00CF12B3"/>
    <w:rsid w:val="00CF12F1"/>
    <w:rsid w:val="00CF133E"/>
    <w:rsid w:val="00CF1497"/>
    <w:rsid w:val="00CF1566"/>
    <w:rsid w:val="00CF1593"/>
    <w:rsid w:val="00CF15C9"/>
    <w:rsid w:val="00CF1661"/>
    <w:rsid w:val="00CF1695"/>
    <w:rsid w:val="00CF16A7"/>
    <w:rsid w:val="00CF16AC"/>
    <w:rsid w:val="00CF16DF"/>
    <w:rsid w:val="00CF1708"/>
    <w:rsid w:val="00CF177B"/>
    <w:rsid w:val="00CF17CA"/>
    <w:rsid w:val="00CF17EA"/>
    <w:rsid w:val="00CF182B"/>
    <w:rsid w:val="00CF182F"/>
    <w:rsid w:val="00CF1ABD"/>
    <w:rsid w:val="00CF1ACF"/>
    <w:rsid w:val="00CF1C0C"/>
    <w:rsid w:val="00CF1CF3"/>
    <w:rsid w:val="00CF1E08"/>
    <w:rsid w:val="00CF1E35"/>
    <w:rsid w:val="00CF1E68"/>
    <w:rsid w:val="00CF1ECE"/>
    <w:rsid w:val="00CF1F5F"/>
    <w:rsid w:val="00CF1FA3"/>
    <w:rsid w:val="00CF1FA5"/>
    <w:rsid w:val="00CF2022"/>
    <w:rsid w:val="00CF2073"/>
    <w:rsid w:val="00CF2456"/>
    <w:rsid w:val="00CF252E"/>
    <w:rsid w:val="00CF259C"/>
    <w:rsid w:val="00CF2625"/>
    <w:rsid w:val="00CF262B"/>
    <w:rsid w:val="00CF265D"/>
    <w:rsid w:val="00CF2663"/>
    <w:rsid w:val="00CF269C"/>
    <w:rsid w:val="00CF270F"/>
    <w:rsid w:val="00CF28D5"/>
    <w:rsid w:val="00CF290C"/>
    <w:rsid w:val="00CF2999"/>
    <w:rsid w:val="00CF2A83"/>
    <w:rsid w:val="00CF2AA3"/>
    <w:rsid w:val="00CF2AC0"/>
    <w:rsid w:val="00CF2B7F"/>
    <w:rsid w:val="00CF2BD5"/>
    <w:rsid w:val="00CF2CB1"/>
    <w:rsid w:val="00CF2CD4"/>
    <w:rsid w:val="00CF2D1D"/>
    <w:rsid w:val="00CF2D31"/>
    <w:rsid w:val="00CF2D3E"/>
    <w:rsid w:val="00CF2D83"/>
    <w:rsid w:val="00CF2DEA"/>
    <w:rsid w:val="00CF2EA2"/>
    <w:rsid w:val="00CF2F37"/>
    <w:rsid w:val="00CF2FFC"/>
    <w:rsid w:val="00CF300C"/>
    <w:rsid w:val="00CF3065"/>
    <w:rsid w:val="00CF315C"/>
    <w:rsid w:val="00CF3164"/>
    <w:rsid w:val="00CF323D"/>
    <w:rsid w:val="00CF3379"/>
    <w:rsid w:val="00CF33C3"/>
    <w:rsid w:val="00CF3419"/>
    <w:rsid w:val="00CF3435"/>
    <w:rsid w:val="00CF3519"/>
    <w:rsid w:val="00CF3528"/>
    <w:rsid w:val="00CF366A"/>
    <w:rsid w:val="00CF36A0"/>
    <w:rsid w:val="00CF37E8"/>
    <w:rsid w:val="00CF3802"/>
    <w:rsid w:val="00CF3A2E"/>
    <w:rsid w:val="00CF3ACF"/>
    <w:rsid w:val="00CF3AD7"/>
    <w:rsid w:val="00CF3B22"/>
    <w:rsid w:val="00CF3B83"/>
    <w:rsid w:val="00CF3C58"/>
    <w:rsid w:val="00CF3CE3"/>
    <w:rsid w:val="00CF3D02"/>
    <w:rsid w:val="00CF3D47"/>
    <w:rsid w:val="00CF3D79"/>
    <w:rsid w:val="00CF3DE6"/>
    <w:rsid w:val="00CF3E9B"/>
    <w:rsid w:val="00CF3FB4"/>
    <w:rsid w:val="00CF4056"/>
    <w:rsid w:val="00CF408A"/>
    <w:rsid w:val="00CF40D2"/>
    <w:rsid w:val="00CF40D6"/>
    <w:rsid w:val="00CF4191"/>
    <w:rsid w:val="00CF41C4"/>
    <w:rsid w:val="00CF429A"/>
    <w:rsid w:val="00CF4318"/>
    <w:rsid w:val="00CF433C"/>
    <w:rsid w:val="00CF438F"/>
    <w:rsid w:val="00CF43B8"/>
    <w:rsid w:val="00CF43EE"/>
    <w:rsid w:val="00CF446F"/>
    <w:rsid w:val="00CF44A6"/>
    <w:rsid w:val="00CF44B8"/>
    <w:rsid w:val="00CF453E"/>
    <w:rsid w:val="00CF4600"/>
    <w:rsid w:val="00CF4670"/>
    <w:rsid w:val="00CF470E"/>
    <w:rsid w:val="00CF4793"/>
    <w:rsid w:val="00CF47BC"/>
    <w:rsid w:val="00CF47E8"/>
    <w:rsid w:val="00CF4866"/>
    <w:rsid w:val="00CF489A"/>
    <w:rsid w:val="00CF48AB"/>
    <w:rsid w:val="00CF494E"/>
    <w:rsid w:val="00CF4958"/>
    <w:rsid w:val="00CF495D"/>
    <w:rsid w:val="00CF4A32"/>
    <w:rsid w:val="00CF4A8F"/>
    <w:rsid w:val="00CF4AD5"/>
    <w:rsid w:val="00CF4AD8"/>
    <w:rsid w:val="00CF4CC6"/>
    <w:rsid w:val="00CF4D5C"/>
    <w:rsid w:val="00CF4D98"/>
    <w:rsid w:val="00CF4E05"/>
    <w:rsid w:val="00CF4E60"/>
    <w:rsid w:val="00CF4E81"/>
    <w:rsid w:val="00CF4EF9"/>
    <w:rsid w:val="00CF5043"/>
    <w:rsid w:val="00CF5054"/>
    <w:rsid w:val="00CF51B4"/>
    <w:rsid w:val="00CF52D5"/>
    <w:rsid w:val="00CF536F"/>
    <w:rsid w:val="00CF5403"/>
    <w:rsid w:val="00CF5455"/>
    <w:rsid w:val="00CF5467"/>
    <w:rsid w:val="00CF5472"/>
    <w:rsid w:val="00CF54E3"/>
    <w:rsid w:val="00CF5573"/>
    <w:rsid w:val="00CF557C"/>
    <w:rsid w:val="00CF5649"/>
    <w:rsid w:val="00CF581D"/>
    <w:rsid w:val="00CF5834"/>
    <w:rsid w:val="00CF5937"/>
    <w:rsid w:val="00CF595E"/>
    <w:rsid w:val="00CF59B0"/>
    <w:rsid w:val="00CF59B7"/>
    <w:rsid w:val="00CF5A39"/>
    <w:rsid w:val="00CF5A50"/>
    <w:rsid w:val="00CF5B80"/>
    <w:rsid w:val="00CF5B85"/>
    <w:rsid w:val="00CF5B87"/>
    <w:rsid w:val="00CF5BB9"/>
    <w:rsid w:val="00CF5C46"/>
    <w:rsid w:val="00CF5C76"/>
    <w:rsid w:val="00CF5C9A"/>
    <w:rsid w:val="00CF5D26"/>
    <w:rsid w:val="00CF5D74"/>
    <w:rsid w:val="00CF5E17"/>
    <w:rsid w:val="00CF5E66"/>
    <w:rsid w:val="00CF5EC3"/>
    <w:rsid w:val="00CF5EDC"/>
    <w:rsid w:val="00CF6025"/>
    <w:rsid w:val="00CF6093"/>
    <w:rsid w:val="00CF60F0"/>
    <w:rsid w:val="00CF612E"/>
    <w:rsid w:val="00CF61D6"/>
    <w:rsid w:val="00CF62A6"/>
    <w:rsid w:val="00CF6464"/>
    <w:rsid w:val="00CF659C"/>
    <w:rsid w:val="00CF66FB"/>
    <w:rsid w:val="00CF6726"/>
    <w:rsid w:val="00CF6835"/>
    <w:rsid w:val="00CF6909"/>
    <w:rsid w:val="00CF6940"/>
    <w:rsid w:val="00CF69EB"/>
    <w:rsid w:val="00CF6A11"/>
    <w:rsid w:val="00CF6A81"/>
    <w:rsid w:val="00CF6B6A"/>
    <w:rsid w:val="00CF6DB4"/>
    <w:rsid w:val="00CF6E24"/>
    <w:rsid w:val="00CF6F37"/>
    <w:rsid w:val="00CF7058"/>
    <w:rsid w:val="00CF709F"/>
    <w:rsid w:val="00CF70D5"/>
    <w:rsid w:val="00CF70F8"/>
    <w:rsid w:val="00CF719A"/>
    <w:rsid w:val="00CF733C"/>
    <w:rsid w:val="00CF739E"/>
    <w:rsid w:val="00CF73D3"/>
    <w:rsid w:val="00CF74E2"/>
    <w:rsid w:val="00CF753B"/>
    <w:rsid w:val="00CF75C4"/>
    <w:rsid w:val="00CF75DC"/>
    <w:rsid w:val="00CF760E"/>
    <w:rsid w:val="00CF768F"/>
    <w:rsid w:val="00CF7699"/>
    <w:rsid w:val="00CF7709"/>
    <w:rsid w:val="00CF77A7"/>
    <w:rsid w:val="00CF7851"/>
    <w:rsid w:val="00CF798E"/>
    <w:rsid w:val="00CF79C5"/>
    <w:rsid w:val="00CF79F3"/>
    <w:rsid w:val="00CF7AAF"/>
    <w:rsid w:val="00CF7ACB"/>
    <w:rsid w:val="00CF7B73"/>
    <w:rsid w:val="00CF7C68"/>
    <w:rsid w:val="00CF7CFB"/>
    <w:rsid w:val="00CF7D19"/>
    <w:rsid w:val="00CF7DA1"/>
    <w:rsid w:val="00CF7E4B"/>
    <w:rsid w:val="00CF7EE9"/>
    <w:rsid w:val="00CF7EF6"/>
    <w:rsid w:val="00CF7F5D"/>
    <w:rsid w:val="00CF7FA2"/>
    <w:rsid w:val="00CF7FCD"/>
    <w:rsid w:val="00D00001"/>
    <w:rsid w:val="00D0011E"/>
    <w:rsid w:val="00D0024B"/>
    <w:rsid w:val="00D00253"/>
    <w:rsid w:val="00D00272"/>
    <w:rsid w:val="00D002DA"/>
    <w:rsid w:val="00D00335"/>
    <w:rsid w:val="00D00538"/>
    <w:rsid w:val="00D00578"/>
    <w:rsid w:val="00D00596"/>
    <w:rsid w:val="00D00616"/>
    <w:rsid w:val="00D0069F"/>
    <w:rsid w:val="00D006BD"/>
    <w:rsid w:val="00D006F6"/>
    <w:rsid w:val="00D00736"/>
    <w:rsid w:val="00D00813"/>
    <w:rsid w:val="00D008B1"/>
    <w:rsid w:val="00D008EB"/>
    <w:rsid w:val="00D00974"/>
    <w:rsid w:val="00D00AAD"/>
    <w:rsid w:val="00D00B97"/>
    <w:rsid w:val="00D00D2D"/>
    <w:rsid w:val="00D00D6D"/>
    <w:rsid w:val="00D00DE3"/>
    <w:rsid w:val="00D00DFF"/>
    <w:rsid w:val="00D00E25"/>
    <w:rsid w:val="00D00EBC"/>
    <w:rsid w:val="00D00F9E"/>
    <w:rsid w:val="00D01027"/>
    <w:rsid w:val="00D0105B"/>
    <w:rsid w:val="00D010B4"/>
    <w:rsid w:val="00D010CE"/>
    <w:rsid w:val="00D01100"/>
    <w:rsid w:val="00D01127"/>
    <w:rsid w:val="00D01178"/>
    <w:rsid w:val="00D011AF"/>
    <w:rsid w:val="00D0122A"/>
    <w:rsid w:val="00D012ED"/>
    <w:rsid w:val="00D0137A"/>
    <w:rsid w:val="00D013AF"/>
    <w:rsid w:val="00D013C1"/>
    <w:rsid w:val="00D01442"/>
    <w:rsid w:val="00D01491"/>
    <w:rsid w:val="00D0150C"/>
    <w:rsid w:val="00D015A8"/>
    <w:rsid w:val="00D01750"/>
    <w:rsid w:val="00D017BF"/>
    <w:rsid w:val="00D017C8"/>
    <w:rsid w:val="00D01832"/>
    <w:rsid w:val="00D019CC"/>
    <w:rsid w:val="00D019D4"/>
    <w:rsid w:val="00D01A1A"/>
    <w:rsid w:val="00D01A70"/>
    <w:rsid w:val="00D01A8B"/>
    <w:rsid w:val="00D01A9B"/>
    <w:rsid w:val="00D01B0A"/>
    <w:rsid w:val="00D01B0E"/>
    <w:rsid w:val="00D01B37"/>
    <w:rsid w:val="00D01B7B"/>
    <w:rsid w:val="00D01BEC"/>
    <w:rsid w:val="00D01C6E"/>
    <w:rsid w:val="00D01CFE"/>
    <w:rsid w:val="00D01D1F"/>
    <w:rsid w:val="00D01D52"/>
    <w:rsid w:val="00D01E95"/>
    <w:rsid w:val="00D01E97"/>
    <w:rsid w:val="00D01EAF"/>
    <w:rsid w:val="00D01EC0"/>
    <w:rsid w:val="00D02026"/>
    <w:rsid w:val="00D0207C"/>
    <w:rsid w:val="00D02088"/>
    <w:rsid w:val="00D0212E"/>
    <w:rsid w:val="00D02151"/>
    <w:rsid w:val="00D0218A"/>
    <w:rsid w:val="00D02195"/>
    <w:rsid w:val="00D02200"/>
    <w:rsid w:val="00D02202"/>
    <w:rsid w:val="00D0230F"/>
    <w:rsid w:val="00D0231F"/>
    <w:rsid w:val="00D0238A"/>
    <w:rsid w:val="00D02436"/>
    <w:rsid w:val="00D0248A"/>
    <w:rsid w:val="00D024B3"/>
    <w:rsid w:val="00D02558"/>
    <w:rsid w:val="00D02570"/>
    <w:rsid w:val="00D02576"/>
    <w:rsid w:val="00D02624"/>
    <w:rsid w:val="00D0265A"/>
    <w:rsid w:val="00D02714"/>
    <w:rsid w:val="00D0274E"/>
    <w:rsid w:val="00D027CB"/>
    <w:rsid w:val="00D02858"/>
    <w:rsid w:val="00D02865"/>
    <w:rsid w:val="00D028BA"/>
    <w:rsid w:val="00D02A5F"/>
    <w:rsid w:val="00D02AD8"/>
    <w:rsid w:val="00D02B9E"/>
    <w:rsid w:val="00D02C18"/>
    <w:rsid w:val="00D02CE3"/>
    <w:rsid w:val="00D02CFB"/>
    <w:rsid w:val="00D02D94"/>
    <w:rsid w:val="00D02E15"/>
    <w:rsid w:val="00D02F29"/>
    <w:rsid w:val="00D02F8F"/>
    <w:rsid w:val="00D02FE5"/>
    <w:rsid w:val="00D03095"/>
    <w:rsid w:val="00D030B9"/>
    <w:rsid w:val="00D03139"/>
    <w:rsid w:val="00D0317D"/>
    <w:rsid w:val="00D031DC"/>
    <w:rsid w:val="00D0332C"/>
    <w:rsid w:val="00D034EE"/>
    <w:rsid w:val="00D03599"/>
    <w:rsid w:val="00D035B3"/>
    <w:rsid w:val="00D036E4"/>
    <w:rsid w:val="00D03917"/>
    <w:rsid w:val="00D03924"/>
    <w:rsid w:val="00D0393E"/>
    <w:rsid w:val="00D0399C"/>
    <w:rsid w:val="00D03A04"/>
    <w:rsid w:val="00D03B6C"/>
    <w:rsid w:val="00D03C47"/>
    <w:rsid w:val="00D03CD7"/>
    <w:rsid w:val="00D03CF9"/>
    <w:rsid w:val="00D03D2F"/>
    <w:rsid w:val="00D03F5C"/>
    <w:rsid w:val="00D03F65"/>
    <w:rsid w:val="00D041E4"/>
    <w:rsid w:val="00D04287"/>
    <w:rsid w:val="00D042AB"/>
    <w:rsid w:val="00D0435C"/>
    <w:rsid w:val="00D043FB"/>
    <w:rsid w:val="00D044FD"/>
    <w:rsid w:val="00D04572"/>
    <w:rsid w:val="00D04596"/>
    <w:rsid w:val="00D0463B"/>
    <w:rsid w:val="00D0479F"/>
    <w:rsid w:val="00D0488A"/>
    <w:rsid w:val="00D048B2"/>
    <w:rsid w:val="00D04966"/>
    <w:rsid w:val="00D04A09"/>
    <w:rsid w:val="00D04A47"/>
    <w:rsid w:val="00D04B27"/>
    <w:rsid w:val="00D04BFD"/>
    <w:rsid w:val="00D04C10"/>
    <w:rsid w:val="00D04C32"/>
    <w:rsid w:val="00D04CB5"/>
    <w:rsid w:val="00D04CBE"/>
    <w:rsid w:val="00D04D30"/>
    <w:rsid w:val="00D04DE5"/>
    <w:rsid w:val="00D04DEF"/>
    <w:rsid w:val="00D04EAB"/>
    <w:rsid w:val="00D04ECF"/>
    <w:rsid w:val="00D04EE6"/>
    <w:rsid w:val="00D05066"/>
    <w:rsid w:val="00D050A4"/>
    <w:rsid w:val="00D05156"/>
    <w:rsid w:val="00D051B4"/>
    <w:rsid w:val="00D051C5"/>
    <w:rsid w:val="00D051F1"/>
    <w:rsid w:val="00D05224"/>
    <w:rsid w:val="00D05270"/>
    <w:rsid w:val="00D05288"/>
    <w:rsid w:val="00D0535B"/>
    <w:rsid w:val="00D0537E"/>
    <w:rsid w:val="00D05463"/>
    <w:rsid w:val="00D05469"/>
    <w:rsid w:val="00D054F1"/>
    <w:rsid w:val="00D0561B"/>
    <w:rsid w:val="00D05699"/>
    <w:rsid w:val="00D056B5"/>
    <w:rsid w:val="00D05801"/>
    <w:rsid w:val="00D05817"/>
    <w:rsid w:val="00D0592A"/>
    <w:rsid w:val="00D0592B"/>
    <w:rsid w:val="00D05AF3"/>
    <w:rsid w:val="00D05AFD"/>
    <w:rsid w:val="00D05D15"/>
    <w:rsid w:val="00D05D79"/>
    <w:rsid w:val="00D05D8F"/>
    <w:rsid w:val="00D05D9A"/>
    <w:rsid w:val="00D05F2A"/>
    <w:rsid w:val="00D06021"/>
    <w:rsid w:val="00D060C1"/>
    <w:rsid w:val="00D060EF"/>
    <w:rsid w:val="00D06152"/>
    <w:rsid w:val="00D061A6"/>
    <w:rsid w:val="00D061B8"/>
    <w:rsid w:val="00D061C7"/>
    <w:rsid w:val="00D0621B"/>
    <w:rsid w:val="00D06371"/>
    <w:rsid w:val="00D0643B"/>
    <w:rsid w:val="00D06510"/>
    <w:rsid w:val="00D06620"/>
    <w:rsid w:val="00D06682"/>
    <w:rsid w:val="00D06744"/>
    <w:rsid w:val="00D067B4"/>
    <w:rsid w:val="00D0680A"/>
    <w:rsid w:val="00D06970"/>
    <w:rsid w:val="00D0699F"/>
    <w:rsid w:val="00D069DC"/>
    <w:rsid w:val="00D06A0F"/>
    <w:rsid w:val="00D06A55"/>
    <w:rsid w:val="00D06A81"/>
    <w:rsid w:val="00D06ADE"/>
    <w:rsid w:val="00D06B94"/>
    <w:rsid w:val="00D06B99"/>
    <w:rsid w:val="00D06BCB"/>
    <w:rsid w:val="00D06C90"/>
    <w:rsid w:val="00D06CA2"/>
    <w:rsid w:val="00D06CD3"/>
    <w:rsid w:val="00D06D49"/>
    <w:rsid w:val="00D06DFA"/>
    <w:rsid w:val="00D06FE2"/>
    <w:rsid w:val="00D07015"/>
    <w:rsid w:val="00D0711E"/>
    <w:rsid w:val="00D071B9"/>
    <w:rsid w:val="00D07249"/>
    <w:rsid w:val="00D072A1"/>
    <w:rsid w:val="00D073EA"/>
    <w:rsid w:val="00D07421"/>
    <w:rsid w:val="00D07532"/>
    <w:rsid w:val="00D0759B"/>
    <w:rsid w:val="00D0765A"/>
    <w:rsid w:val="00D076C3"/>
    <w:rsid w:val="00D07795"/>
    <w:rsid w:val="00D07860"/>
    <w:rsid w:val="00D0786D"/>
    <w:rsid w:val="00D078FC"/>
    <w:rsid w:val="00D07947"/>
    <w:rsid w:val="00D07997"/>
    <w:rsid w:val="00D079F7"/>
    <w:rsid w:val="00D07AD5"/>
    <w:rsid w:val="00D07C87"/>
    <w:rsid w:val="00D07CC0"/>
    <w:rsid w:val="00D07D34"/>
    <w:rsid w:val="00D07DEB"/>
    <w:rsid w:val="00D07E58"/>
    <w:rsid w:val="00D10099"/>
    <w:rsid w:val="00D10132"/>
    <w:rsid w:val="00D1016B"/>
    <w:rsid w:val="00D1025C"/>
    <w:rsid w:val="00D1030F"/>
    <w:rsid w:val="00D10412"/>
    <w:rsid w:val="00D1050B"/>
    <w:rsid w:val="00D1054A"/>
    <w:rsid w:val="00D10573"/>
    <w:rsid w:val="00D105F0"/>
    <w:rsid w:val="00D10711"/>
    <w:rsid w:val="00D10741"/>
    <w:rsid w:val="00D10830"/>
    <w:rsid w:val="00D10854"/>
    <w:rsid w:val="00D10A75"/>
    <w:rsid w:val="00D10AED"/>
    <w:rsid w:val="00D10AF5"/>
    <w:rsid w:val="00D10B9E"/>
    <w:rsid w:val="00D10C1C"/>
    <w:rsid w:val="00D10C6F"/>
    <w:rsid w:val="00D10C7F"/>
    <w:rsid w:val="00D10D88"/>
    <w:rsid w:val="00D10EA2"/>
    <w:rsid w:val="00D10F6C"/>
    <w:rsid w:val="00D10FFF"/>
    <w:rsid w:val="00D1103C"/>
    <w:rsid w:val="00D110CD"/>
    <w:rsid w:val="00D111EC"/>
    <w:rsid w:val="00D111EF"/>
    <w:rsid w:val="00D11220"/>
    <w:rsid w:val="00D1127C"/>
    <w:rsid w:val="00D11361"/>
    <w:rsid w:val="00D113CB"/>
    <w:rsid w:val="00D113FC"/>
    <w:rsid w:val="00D11617"/>
    <w:rsid w:val="00D116D8"/>
    <w:rsid w:val="00D117F9"/>
    <w:rsid w:val="00D118DF"/>
    <w:rsid w:val="00D11990"/>
    <w:rsid w:val="00D11A2F"/>
    <w:rsid w:val="00D11A38"/>
    <w:rsid w:val="00D11AFD"/>
    <w:rsid w:val="00D11B28"/>
    <w:rsid w:val="00D11B48"/>
    <w:rsid w:val="00D11B52"/>
    <w:rsid w:val="00D11BCC"/>
    <w:rsid w:val="00D11D10"/>
    <w:rsid w:val="00D11D36"/>
    <w:rsid w:val="00D11DA8"/>
    <w:rsid w:val="00D11E0E"/>
    <w:rsid w:val="00D12037"/>
    <w:rsid w:val="00D1216B"/>
    <w:rsid w:val="00D121C5"/>
    <w:rsid w:val="00D121D6"/>
    <w:rsid w:val="00D121DE"/>
    <w:rsid w:val="00D12267"/>
    <w:rsid w:val="00D122D2"/>
    <w:rsid w:val="00D1236C"/>
    <w:rsid w:val="00D123D4"/>
    <w:rsid w:val="00D123D8"/>
    <w:rsid w:val="00D123EF"/>
    <w:rsid w:val="00D125C2"/>
    <w:rsid w:val="00D12607"/>
    <w:rsid w:val="00D1264B"/>
    <w:rsid w:val="00D126E6"/>
    <w:rsid w:val="00D1273F"/>
    <w:rsid w:val="00D12794"/>
    <w:rsid w:val="00D127EE"/>
    <w:rsid w:val="00D1281B"/>
    <w:rsid w:val="00D12895"/>
    <w:rsid w:val="00D128DB"/>
    <w:rsid w:val="00D128E3"/>
    <w:rsid w:val="00D1291A"/>
    <w:rsid w:val="00D12938"/>
    <w:rsid w:val="00D12976"/>
    <w:rsid w:val="00D12A4A"/>
    <w:rsid w:val="00D12B26"/>
    <w:rsid w:val="00D12B62"/>
    <w:rsid w:val="00D12BDC"/>
    <w:rsid w:val="00D12BF0"/>
    <w:rsid w:val="00D12D43"/>
    <w:rsid w:val="00D12E06"/>
    <w:rsid w:val="00D12F62"/>
    <w:rsid w:val="00D13055"/>
    <w:rsid w:val="00D130F5"/>
    <w:rsid w:val="00D1311F"/>
    <w:rsid w:val="00D13150"/>
    <w:rsid w:val="00D13174"/>
    <w:rsid w:val="00D131E3"/>
    <w:rsid w:val="00D1342D"/>
    <w:rsid w:val="00D13533"/>
    <w:rsid w:val="00D135A2"/>
    <w:rsid w:val="00D135D0"/>
    <w:rsid w:val="00D13672"/>
    <w:rsid w:val="00D136C6"/>
    <w:rsid w:val="00D136EB"/>
    <w:rsid w:val="00D1389D"/>
    <w:rsid w:val="00D13939"/>
    <w:rsid w:val="00D1396E"/>
    <w:rsid w:val="00D13A3B"/>
    <w:rsid w:val="00D13A8F"/>
    <w:rsid w:val="00D13AE5"/>
    <w:rsid w:val="00D13C26"/>
    <w:rsid w:val="00D13C9C"/>
    <w:rsid w:val="00D13CF4"/>
    <w:rsid w:val="00D13D07"/>
    <w:rsid w:val="00D13D6A"/>
    <w:rsid w:val="00D13DB2"/>
    <w:rsid w:val="00D13DD3"/>
    <w:rsid w:val="00D13DE4"/>
    <w:rsid w:val="00D13EE1"/>
    <w:rsid w:val="00D13F06"/>
    <w:rsid w:val="00D13F17"/>
    <w:rsid w:val="00D1405E"/>
    <w:rsid w:val="00D14250"/>
    <w:rsid w:val="00D1425A"/>
    <w:rsid w:val="00D14480"/>
    <w:rsid w:val="00D1448A"/>
    <w:rsid w:val="00D14547"/>
    <w:rsid w:val="00D14598"/>
    <w:rsid w:val="00D146AD"/>
    <w:rsid w:val="00D146BD"/>
    <w:rsid w:val="00D1470F"/>
    <w:rsid w:val="00D14807"/>
    <w:rsid w:val="00D14951"/>
    <w:rsid w:val="00D14955"/>
    <w:rsid w:val="00D149E2"/>
    <w:rsid w:val="00D14A20"/>
    <w:rsid w:val="00D14ACB"/>
    <w:rsid w:val="00D14AF1"/>
    <w:rsid w:val="00D14BC8"/>
    <w:rsid w:val="00D14C28"/>
    <w:rsid w:val="00D14CCF"/>
    <w:rsid w:val="00D14DEC"/>
    <w:rsid w:val="00D14E01"/>
    <w:rsid w:val="00D14E21"/>
    <w:rsid w:val="00D14E88"/>
    <w:rsid w:val="00D14EB4"/>
    <w:rsid w:val="00D14FC6"/>
    <w:rsid w:val="00D14FDD"/>
    <w:rsid w:val="00D151C6"/>
    <w:rsid w:val="00D1525D"/>
    <w:rsid w:val="00D1552E"/>
    <w:rsid w:val="00D15630"/>
    <w:rsid w:val="00D1576F"/>
    <w:rsid w:val="00D15850"/>
    <w:rsid w:val="00D158C2"/>
    <w:rsid w:val="00D1592F"/>
    <w:rsid w:val="00D159EB"/>
    <w:rsid w:val="00D159F8"/>
    <w:rsid w:val="00D15A45"/>
    <w:rsid w:val="00D15B4F"/>
    <w:rsid w:val="00D15BFF"/>
    <w:rsid w:val="00D15D37"/>
    <w:rsid w:val="00D15DD2"/>
    <w:rsid w:val="00D15DD6"/>
    <w:rsid w:val="00D15DD7"/>
    <w:rsid w:val="00D15DFF"/>
    <w:rsid w:val="00D15E1E"/>
    <w:rsid w:val="00D15EB5"/>
    <w:rsid w:val="00D15F74"/>
    <w:rsid w:val="00D16032"/>
    <w:rsid w:val="00D16041"/>
    <w:rsid w:val="00D16108"/>
    <w:rsid w:val="00D161CA"/>
    <w:rsid w:val="00D163F0"/>
    <w:rsid w:val="00D1651C"/>
    <w:rsid w:val="00D16649"/>
    <w:rsid w:val="00D167EC"/>
    <w:rsid w:val="00D1688A"/>
    <w:rsid w:val="00D16902"/>
    <w:rsid w:val="00D16903"/>
    <w:rsid w:val="00D169AA"/>
    <w:rsid w:val="00D169AD"/>
    <w:rsid w:val="00D169CE"/>
    <w:rsid w:val="00D16A16"/>
    <w:rsid w:val="00D16AB9"/>
    <w:rsid w:val="00D16AE5"/>
    <w:rsid w:val="00D16B0F"/>
    <w:rsid w:val="00D16B42"/>
    <w:rsid w:val="00D16B87"/>
    <w:rsid w:val="00D16BAF"/>
    <w:rsid w:val="00D16C02"/>
    <w:rsid w:val="00D16C04"/>
    <w:rsid w:val="00D16C35"/>
    <w:rsid w:val="00D16C9E"/>
    <w:rsid w:val="00D16E4D"/>
    <w:rsid w:val="00D16EF7"/>
    <w:rsid w:val="00D16FE4"/>
    <w:rsid w:val="00D17047"/>
    <w:rsid w:val="00D17054"/>
    <w:rsid w:val="00D17072"/>
    <w:rsid w:val="00D1713F"/>
    <w:rsid w:val="00D17189"/>
    <w:rsid w:val="00D17273"/>
    <w:rsid w:val="00D172A5"/>
    <w:rsid w:val="00D1731F"/>
    <w:rsid w:val="00D17333"/>
    <w:rsid w:val="00D173C0"/>
    <w:rsid w:val="00D173C9"/>
    <w:rsid w:val="00D17401"/>
    <w:rsid w:val="00D17469"/>
    <w:rsid w:val="00D174A9"/>
    <w:rsid w:val="00D17774"/>
    <w:rsid w:val="00D17793"/>
    <w:rsid w:val="00D17897"/>
    <w:rsid w:val="00D17937"/>
    <w:rsid w:val="00D17A0D"/>
    <w:rsid w:val="00D17A23"/>
    <w:rsid w:val="00D17A63"/>
    <w:rsid w:val="00D17A9E"/>
    <w:rsid w:val="00D17AA7"/>
    <w:rsid w:val="00D17AC6"/>
    <w:rsid w:val="00D17B17"/>
    <w:rsid w:val="00D17BB1"/>
    <w:rsid w:val="00D17C76"/>
    <w:rsid w:val="00D17CA3"/>
    <w:rsid w:val="00D17D18"/>
    <w:rsid w:val="00D17D82"/>
    <w:rsid w:val="00D17D83"/>
    <w:rsid w:val="00D17E57"/>
    <w:rsid w:val="00D17E64"/>
    <w:rsid w:val="00D17EDE"/>
    <w:rsid w:val="00D17F36"/>
    <w:rsid w:val="00D201C9"/>
    <w:rsid w:val="00D201E9"/>
    <w:rsid w:val="00D20216"/>
    <w:rsid w:val="00D2023B"/>
    <w:rsid w:val="00D2024F"/>
    <w:rsid w:val="00D2025B"/>
    <w:rsid w:val="00D20309"/>
    <w:rsid w:val="00D20340"/>
    <w:rsid w:val="00D20396"/>
    <w:rsid w:val="00D20525"/>
    <w:rsid w:val="00D2052C"/>
    <w:rsid w:val="00D20533"/>
    <w:rsid w:val="00D205CF"/>
    <w:rsid w:val="00D205D0"/>
    <w:rsid w:val="00D20604"/>
    <w:rsid w:val="00D2061C"/>
    <w:rsid w:val="00D2066B"/>
    <w:rsid w:val="00D2073B"/>
    <w:rsid w:val="00D20797"/>
    <w:rsid w:val="00D20809"/>
    <w:rsid w:val="00D2080C"/>
    <w:rsid w:val="00D208E7"/>
    <w:rsid w:val="00D20924"/>
    <w:rsid w:val="00D20961"/>
    <w:rsid w:val="00D2098A"/>
    <w:rsid w:val="00D20B3B"/>
    <w:rsid w:val="00D20B5E"/>
    <w:rsid w:val="00D20BF2"/>
    <w:rsid w:val="00D20C22"/>
    <w:rsid w:val="00D20D0F"/>
    <w:rsid w:val="00D20DF8"/>
    <w:rsid w:val="00D20DFD"/>
    <w:rsid w:val="00D20E57"/>
    <w:rsid w:val="00D20E70"/>
    <w:rsid w:val="00D20F36"/>
    <w:rsid w:val="00D20FBE"/>
    <w:rsid w:val="00D2104D"/>
    <w:rsid w:val="00D2107B"/>
    <w:rsid w:val="00D210FD"/>
    <w:rsid w:val="00D212A0"/>
    <w:rsid w:val="00D212B2"/>
    <w:rsid w:val="00D21524"/>
    <w:rsid w:val="00D2160B"/>
    <w:rsid w:val="00D21639"/>
    <w:rsid w:val="00D21649"/>
    <w:rsid w:val="00D21699"/>
    <w:rsid w:val="00D216CB"/>
    <w:rsid w:val="00D216F3"/>
    <w:rsid w:val="00D2173F"/>
    <w:rsid w:val="00D21856"/>
    <w:rsid w:val="00D21931"/>
    <w:rsid w:val="00D21A93"/>
    <w:rsid w:val="00D21B11"/>
    <w:rsid w:val="00D21BD5"/>
    <w:rsid w:val="00D21C52"/>
    <w:rsid w:val="00D21C91"/>
    <w:rsid w:val="00D21CA6"/>
    <w:rsid w:val="00D21CAB"/>
    <w:rsid w:val="00D21CB4"/>
    <w:rsid w:val="00D21D38"/>
    <w:rsid w:val="00D21E5C"/>
    <w:rsid w:val="00D21E93"/>
    <w:rsid w:val="00D21F47"/>
    <w:rsid w:val="00D21F52"/>
    <w:rsid w:val="00D22098"/>
    <w:rsid w:val="00D22127"/>
    <w:rsid w:val="00D2219B"/>
    <w:rsid w:val="00D222A0"/>
    <w:rsid w:val="00D222E6"/>
    <w:rsid w:val="00D22345"/>
    <w:rsid w:val="00D223E7"/>
    <w:rsid w:val="00D2251F"/>
    <w:rsid w:val="00D2254A"/>
    <w:rsid w:val="00D2259B"/>
    <w:rsid w:val="00D226F6"/>
    <w:rsid w:val="00D2271A"/>
    <w:rsid w:val="00D22765"/>
    <w:rsid w:val="00D22783"/>
    <w:rsid w:val="00D22802"/>
    <w:rsid w:val="00D228B2"/>
    <w:rsid w:val="00D229D0"/>
    <w:rsid w:val="00D22AC4"/>
    <w:rsid w:val="00D22AD1"/>
    <w:rsid w:val="00D22B6C"/>
    <w:rsid w:val="00D22BD2"/>
    <w:rsid w:val="00D22C9E"/>
    <w:rsid w:val="00D22D25"/>
    <w:rsid w:val="00D22D2A"/>
    <w:rsid w:val="00D22D55"/>
    <w:rsid w:val="00D22DB0"/>
    <w:rsid w:val="00D22DD4"/>
    <w:rsid w:val="00D22ED7"/>
    <w:rsid w:val="00D22F11"/>
    <w:rsid w:val="00D231A6"/>
    <w:rsid w:val="00D23294"/>
    <w:rsid w:val="00D23421"/>
    <w:rsid w:val="00D2344A"/>
    <w:rsid w:val="00D23550"/>
    <w:rsid w:val="00D2378E"/>
    <w:rsid w:val="00D23877"/>
    <w:rsid w:val="00D23A99"/>
    <w:rsid w:val="00D23AC0"/>
    <w:rsid w:val="00D23AC6"/>
    <w:rsid w:val="00D23B9D"/>
    <w:rsid w:val="00D23C82"/>
    <w:rsid w:val="00D23D0E"/>
    <w:rsid w:val="00D23E2A"/>
    <w:rsid w:val="00D23ED9"/>
    <w:rsid w:val="00D23F93"/>
    <w:rsid w:val="00D24158"/>
    <w:rsid w:val="00D2416B"/>
    <w:rsid w:val="00D2422F"/>
    <w:rsid w:val="00D24280"/>
    <w:rsid w:val="00D242B5"/>
    <w:rsid w:val="00D242C7"/>
    <w:rsid w:val="00D2431A"/>
    <w:rsid w:val="00D2444B"/>
    <w:rsid w:val="00D2444C"/>
    <w:rsid w:val="00D244F4"/>
    <w:rsid w:val="00D24536"/>
    <w:rsid w:val="00D2461A"/>
    <w:rsid w:val="00D2461D"/>
    <w:rsid w:val="00D246D5"/>
    <w:rsid w:val="00D2496C"/>
    <w:rsid w:val="00D24A08"/>
    <w:rsid w:val="00D24A55"/>
    <w:rsid w:val="00D24AD2"/>
    <w:rsid w:val="00D24B40"/>
    <w:rsid w:val="00D24B7D"/>
    <w:rsid w:val="00D24BB8"/>
    <w:rsid w:val="00D24C21"/>
    <w:rsid w:val="00D24D2D"/>
    <w:rsid w:val="00D24E29"/>
    <w:rsid w:val="00D24E4E"/>
    <w:rsid w:val="00D24EA2"/>
    <w:rsid w:val="00D24EF1"/>
    <w:rsid w:val="00D24FC0"/>
    <w:rsid w:val="00D24FC9"/>
    <w:rsid w:val="00D250BA"/>
    <w:rsid w:val="00D25173"/>
    <w:rsid w:val="00D251B4"/>
    <w:rsid w:val="00D25212"/>
    <w:rsid w:val="00D2523A"/>
    <w:rsid w:val="00D253F8"/>
    <w:rsid w:val="00D25418"/>
    <w:rsid w:val="00D25532"/>
    <w:rsid w:val="00D2560D"/>
    <w:rsid w:val="00D25682"/>
    <w:rsid w:val="00D257E3"/>
    <w:rsid w:val="00D2582E"/>
    <w:rsid w:val="00D2586D"/>
    <w:rsid w:val="00D258A7"/>
    <w:rsid w:val="00D25905"/>
    <w:rsid w:val="00D25995"/>
    <w:rsid w:val="00D259A2"/>
    <w:rsid w:val="00D25AA9"/>
    <w:rsid w:val="00D25AC9"/>
    <w:rsid w:val="00D25B05"/>
    <w:rsid w:val="00D25B06"/>
    <w:rsid w:val="00D25B7D"/>
    <w:rsid w:val="00D25C85"/>
    <w:rsid w:val="00D25C90"/>
    <w:rsid w:val="00D25CC8"/>
    <w:rsid w:val="00D25D4E"/>
    <w:rsid w:val="00D25DF2"/>
    <w:rsid w:val="00D25EB4"/>
    <w:rsid w:val="00D25EF0"/>
    <w:rsid w:val="00D25FD4"/>
    <w:rsid w:val="00D25FF9"/>
    <w:rsid w:val="00D26001"/>
    <w:rsid w:val="00D260DA"/>
    <w:rsid w:val="00D2615D"/>
    <w:rsid w:val="00D2616A"/>
    <w:rsid w:val="00D2621A"/>
    <w:rsid w:val="00D262BE"/>
    <w:rsid w:val="00D262CE"/>
    <w:rsid w:val="00D2630C"/>
    <w:rsid w:val="00D26488"/>
    <w:rsid w:val="00D2651C"/>
    <w:rsid w:val="00D2659A"/>
    <w:rsid w:val="00D265A9"/>
    <w:rsid w:val="00D265B5"/>
    <w:rsid w:val="00D265DB"/>
    <w:rsid w:val="00D26801"/>
    <w:rsid w:val="00D26980"/>
    <w:rsid w:val="00D26A4A"/>
    <w:rsid w:val="00D26A4D"/>
    <w:rsid w:val="00D26A78"/>
    <w:rsid w:val="00D26C4E"/>
    <w:rsid w:val="00D26C86"/>
    <w:rsid w:val="00D26D23"/>
    <w:rsid w:val="00D26DA3"/>
    <w:rsid w:val="00D26E90"/>
    <w:rsid w:val="00D26E92"/>
    <w:rsid w:val="00D26F91"/>
    <w:rsid w:val="00D26FB9"/>
    <w:rsid w:val="00D2709E"/>
    <w:rsid w:val="00D270A4"/>
    <w:rsid w:val="00D27148"/>
    <w:rsid w:val="00D27159"/>
    <w:rsid w:val="00D2720D"/>
    <w:rsid w:val="00D27226"/>
    <w:rsid w:val="00D272B7"/>
    <w:rsid w:val="00D272EC"/>
    <w:rsid w:val="00D27350"/>
    <w:rsid w:val="00D273C4"/>
    <w:rsid w:val="00D2746B"/>
    <w:rsid w:val="00D275B3"/>
    <w:rsid w:val="00D27603"/>
    <w:rsid w:val="00D27661"/>
    <w:rsid w:val="00D27676"/>
    <w:rsid w:val="00D27733"/>
    <w:rsid w:val="00D2799B"/>
    <w:rsid w:val="00D27ABF"/>
    <w:rsid w:val="00D27B30"/>
    <w:rsid w:val="00D27CFB"/>
    <w:rsid w:val="00D27D95"/>
    <w:rsid w:val="00D27F3A"/>
    <w:rsid w:val="00D3002E"/>
    <w:rsid w:val="00D302D5"/>
    <w:rsid w:val="00D3030D"/>
    <w:rsid w:val="00D303E9"/>
    <w:rsid w:val="00D303F6"/>
    <w:rsid w:val="00D3042A"/>
    <w:rsid w:val="00D30501"/>
    <w:rsid w:val="00D30554"/>
    <w:rsid w:val="00D30823"/>
    <w:rsid w:val="00D30981"/>
    <w:rsid w:val="00D309B1"/>
    <w:rsid w:val="00D309BB"/>
    <w:rsid w:val="00D309FD"/>
    <w:rsid w:val="00D30A55"/>
    <w:rsid w:val="00D30AC2"/>
    <w:rsid w:val="00D30B92"/>
    <w:rsid w:val="00D30BE2"/>
    <w:rsid w:val="00D30C12"/>
    <w:rsid w:val="00D30C9B"/>
    <w:rsid w:val="00D30DF3"/>
    <w:rsid w:val="00D30E47"/>
    <w:rsid w:val="00D30EFA"/>
    <w:rsid w:val="00D30F0B"/>
    <w:rsid w:val="00D3106E"/>
    <w:rsid w:val="00D312DB"/>
    <w:rsid w:val="00D31356"/>
    <w:rsid w:val="00D31375"/>
    <w:rsid w:val="00D31393"/>
    <w:rsid w:val="00D31395"/>
    <w:rsid w:val="00D31435"/>
    <w:rsid w:val="00D3148E"/>
    <w:rsid w:val="00D314A7"/>
    <w:rsid w:val="00D31598"/>
    <w:rsid w:val="00D315B6"/>
    <w:rsid w:val="00D315C5"/>
    <w:rsid w:val="00D31711"/>
    <w:rsid w:val="00D3176A"/>
    <w:rsid w:val="00D31792"/>
    <w:rsid w:val="00D31863"/>
    <w:rsid w:val="00D319CC"/>
    <w:rsid w:val="00D319DA"/>
    <w:rsid w:val="00D31A3F"/>
    <w:rsid w:val="00D31A4E"/>
    <w:rsid w:val="00D31A55"/>
    <w:rsid w:val="00D31A8C"/>
    <w:rsid w:val="00D31A9C"/>
    <w:rsid w:val="00D31B32"/>
    <w:rsid w:val="00D31D80"/>
    <w:rsid w:val="00D31DD6"/>
    <w:rsid w:val="00D31ED1"/>
    <w:rsid w:val="00D3200E"/>
    <w:rsid w:val="00D32073"/>
    <w:rsid w:val="00D3210E"/>
    <w:rsid w:val="00D32195"/>
    <w:rsid w:val="00D322BC"/>
    <w:rsid w:val="00D32300"/>
    <w:rsid w:val="00D32346"/>
    <w:rsid w:val="00D32348"/>
    <w:rsid w:val="00D32373"/>
    <w:rsid w:val="00D324EF"/>
    <w:rsid w:val="00D3250B"/>
    <w:rsid w:val="00D3254D"/>
    <w:rsid w:val="00D32557"/>
    <w:rsid w:val="00D32585"/>
    <w:rsid w:val="00D32613"/>
    <w:rsid w:val="00D32629"/>
    <w:rsid w:val="00D32642"/>
    <w:rsid w:val="00D3264D"/>
    <w:rsid w:val="00D32775"/>
    <w:rsid w:val="00D3286F"/>
    <w:rsid w:val="00D328C7"/>
    <w:rsid w:val="00D329CB"/>
    <w:rsid w:val="00D329CD"/>
    <w:rsid w:val="00D329E0"/>
    <w:rsid w:val="00D32A7C"/>
    <w:rsid w:val="00D32B05"/>
    <w:rsid w:val="00D32C0C"/>
    <w:rsid w:val="00D32C8F"/>
    <w:rsid w:val="00D32D23"/>
    <w:rsid w:val="00D32F78"/>
    <w:rsid w:val="00D330E5"/>
    <w:rsid w:val="00D33261"/>
    <w:rsid w:val="00D332F6"/>
    <w:rsid w:val="00D3333F"/>
    <w:rsid w:val="00D33362"/>
    <w:rsid w:val="00D333AD"/>
    <w:rsid w:val="00D333E0"/>
    <w:rsid w:val="00D33400"/>
    <w:rsid w:val="00D3341B"/>
    <w:rsid w:val="00D334F0"/>
    <w:rsid w:val="00D3350B"/>
    <w:rsid w:val="00D33545"/>
    <w:rsid w:val="00D33634"/>
    <w:rsid w:val="00D33879"/>
    <w:rsid w:val="00D3392A"/>
    <w:rsid w:val="00D339FB"/>
    <w:rsid w:val="00D33A9E"/>
    <w:rsid w:val="00D33B3B"/>
    <w:rsid w:val="00D33BC6"/>
    <w:rsid w:val="00D33C92"/>
    <w:rsid w:val="00D33D24"/>
    <w:rsid w:val="00D33D55"/>
    <w:rsid w:val="00D33DA2"/>
    <w:rsid w:val="00D33E32"/>
    <w:rsid w:val="00D33ED2"/>
    <w:rsid w:val="00D34037"/>
    <w:rsid w:val="00D3411E"/>
    <w:rsid w:val="00D34134"/>
    <w:rsid w:val="00D34163"/>
    <w:rsid w:val="00D341B6"/>
    <w:rsid w:val="00D3423E"/>
    <w:rsid w:val="00D34260"/>
    <w:rsid w:val="00D342E5"/>
    <w:rsid w:val="00D34313"/>
    <w:rsid w:val="00D343C5"/>
    <w:rsid w:val="00D34412"/>
    <w:rsid w:val="00D34575"/>
    <w:rsid w:val="00D345CC"/>
    <w:rsid w:val="00D346CB"/>
    <w:rsid w:val="00D346D6"/>
    <w:rsid w:val="00D34858"/>
    <w:rsid w:val="00D34878"/>
    <w:rsid w:val="00D348AE"/>
    <w:rsid w:val="00D34954"/>
    <w:rsid w:val="00D349CD"/>
    <w:rsid w:val="00D34A66"/>
    <w:rsid w:val="00D34AF0"/>
    <w:rsid w:val="00D34AF8"/>
    <w:rsid w:val="00D34B2F"/>
    <w:rsid w:val="00D34B73"/>
    <w:rsid w:val="00D34BAB"/>
    <w:rsid w:val="00D34C30"/>
    <w:rsid w:val="00D34C4E"/>
    <w:rsid w:val="00D34C9F"/>
    <w:rsid w:val="00D34D89"/>
    <w:rsid w:val="00D34D91"/>
    <w:rsid w:val="00D34D9E"/>
    <w:rsid w:val="00D34DB8"/>
    <w:rsid w:val="00D34EF9"/>
    <w:rsid w:val="00D35045"/>
    <w:rsid w:val="00D35093"/>
    <w:rsid w:val="00D350EB"/>
    <w:rsid w:val="00D351CD"/>
    <w:rsid w:val="00D3530D"/>
    <w:rsid w:val="00D353B0"/>
    <w:rsid w:val="00D35591"/>
    <w:rsid w:val="00D3576C"/>
    <w:rsid w:val="00D35793"/>
    <w:rsid w:val="00D35A32"/>
    <w:rsid w:val="00D35A43"/>
    <w:rsid w:val="00D35AB7"/>
    <w:rsid w:val="00D35B0D"/>
    <w:rsid w:val="00D35BEE"/>
    <w:rsid w:val="00D35BF8"/>
    <w:rsid w:val="00D35C38"/>
    <w:rsid w:val="00D35CC8"/>
    <w:rsid w:val="00D35D7F"/>
    <w:rsid w:val="00D35D87"/>
    <w:rsid w:val="00D35DCB"/>
    <w:rsid w:val="00D35E40"/>
    <w:rsid w:val="00D35E60"/>
    <w:rsid w:val="00D35E74"/>
    <w:rsid w:val="00D35EC1"/>
    <w:rsid w:val="00D35ED1"/>
    <w:rsid w:val="00D35FFD"/>
    <w:rsid w:val="00D360F5"/>
    <w:rsid w:val="00D36197"/>
    <w:rsid w:val="00D361A3"/>
    <w:rsid w:val="00D362B3"/>
    <w:rsid w:val="00D3635B"/>
    <w:rsid w:val="00D36381"/>
    <w:rsid w:val="00D3639C"/>
    <w:rsid w:val="00D36479"/>
    <w:rsid w:val="00D364E9"/>
    <w:rsid w:val="00D36532"/>
    <w:rsid w:val="00D36545"/>
    <w:rsid w:val="00D36548"/>
    <w:rsid w:val="00D3659A"/>
    <w:rsid w:val="00D36641"/>
    <w:rsid w:val="00D3668F"/>
    <w:rsid w:val="00D3686A"/>
    <w:rsid w:val="00D369E6"/>
    <w:rsid w:val="00D369EA"/>
    <w:rsid w:val="00D369F0"/>
    <w:rsid w:val="00D369F3"/>
    <w:rsid w:val="00D36B8D"/>
    <w:rsid w:val="00D36C0A"/>
    <w:rsid w:val="00D36C13"/>
    <w:rsid w:val="00D36C75"/>
    <w:rsid w:val="00D36C7B"/>
    <w:rsid w:val="00D36CEF"/>
    <w:rsid w:val="00D36D0D"/>
    <w:rsid w:val="00D36D14"/>
    <w:rsid w:val="00D36D63"/>
    <w:rsid w:val="00D36DE4"/>
    <w:rsid w:val="00D36E01"/>
    <w:rsid w:val="00D36E4A"/>
    <w:rsid w:val="00D36EC0"/>
    <w:rsid w:val="00D37011"/>
    <w:rsid w:val="00D37057"/>
    <w:rsid w:val="00D37060"/>
    <w:rsid w:val="00D370CE"/>
    <w:rsid w:val="00D3710D"/>
    <w:rsid w:val="00D3712B"/>
    <w:rsid w:val="00D371B3"/>
    <w:rsid w:val="00D371B8"/>
    <w:rsid w:val="00D372AB"/>
    <w:rsid w:val="00D372DE"/>
    <w:rsid w:val="00D372E6"/>
    <w:rsid w:val="00D373AC"/>
    <w:rsid w:val="00D374B6"/>
    <w:rsid w:val="00D37603"/>
    <w:rsid w:val="00D37674"/>
    <w:rsid w:val="00D3782D"/>
    <w:rsid w:val="00D378DC"/>
    <w:rsid w:val="00D379CE"/>
    <w:rsid w:val="00D37B45"/>
    <w:rsid w:val="00D37B53"/>
    <w:rsid w:val="00D37C24"/>
    <w:rsid w:val="00D37C42"/>
    <w:rsid w:val="00D37D25"/>
    <w:rsid w:val="00D37DED"/>
    <w:rsid w:val="00D37E8C"/>
    <w:rsid w:val="00D37EF0"/>
    <w:rsid w:val="00D37F07"/>
    <w:rsid w:val="00D37F37"/>
    <w:rsid w:val="00D37F61"/>
    <w:rsid w:val="00D37FF1"/>
    <w:rsid w:val="00D40091"/>
    <w:rsid w:val="00D40107"/>
    <w:rsid w:val="00D4024D"/>
    <w:rsid w:val="00D402CE"/>
    <w:rsid w:val="00D4034D"/>
    <w:rsid w:val="00D4035B"/>
    <w:rsid w:val="00D4044E"/>
    <w:rsid w:val="00D40480"/>
    <w:rsid w:val="00D40589"/>
    <w:rsid w:val="00D405AF"/>
    <w:rsid w:val="00D40695"/>
    <w:rsid w:val="00D40827"/>
    <w:rsid w:val="00D409E5"/>
    <w:rsid w:val="00D40AA6"/>
    <w:rsid w:val="00D40C09"/>
    <w:rsid w:val="00D40D7E"/>
    <w:rsid w:val="00D40DF6"/>
    <w:rsid w:val="00D40E73"/>
    <w:rsid w:val="00D40EB5"/>
    <w:rsid w:val="00D40F04"/>
    <w:rsid w:val="00D40FCF"/>
    <w:rsid w:val="00D41027"/>
    <w:rsid w:val="00D4119E"/>
    <w:rsid w:val="00D413BD"/>
    <w:rsid w:val="00D41415"/>
    <w:rsid w:val="00D41567"/>
    <w:rsid w:val="00D4158E"/>
    <w:rsid w:val="00D41860"/>
    <w:rsid w:val="00D41A29"/>
    <w:rsid w:val="00D41AE0"/>
    <w:rsid w:val="00D41AF3"/>
    <w:rsid w:val="00D41B14"/>
    <w:rsid w:val="00D41B75"/>
    <w:rsid w:val="00D41BC9"/>
    <w:rsid w:val="00D41C08"/>
    <w:rsid w:val="00D41C8B"/>
    <w:rsid w:val="00D41CA1"/>
    <w:rsid w:val="00D41CA6"/>
    <w:rsid w:val="00D41CE8"/>
    <w:rsid w:val="00D41D2A"/>
    <w:rsid w:val="00D41DE2"/>
    <w:rsid w:val="00D41E7C"/>
    <w:rsid w:val="00D41E84"/>
    <w:rsid w:val="00D41EE2"/>
    <w:rsid w:val="00D41EF0"/>
    <w:rsid w:val="00D41F03"/>
    <w:rsid w:val="00D41F34"/>
    <w:rsid w:val="00D420BF"/>
    <w:rsid w:val="00D42175"/>
    <w:rsid w:val="00D4217F"/>
    <w:rsid w:val="00D421A8"/>
    <w:rsid w:val="00D4228F"/>
    <w:rsid w:val="00D4234D"/>
    <w:rsid w:val="00D4237F"/>
    <w:rsid w:val="00D423F2"/>
    <w:rsid w:val="00D42464"/>
    <w:rsid w:val="00D424AA"/>
    <w:rsid w:val="00D424C0"/>
    <w:rsid w:val="00D42504"/>
    <w:rsid w:val="00D42534"/>
    <w:rsid w:val="00D425AB"/>
    <w:rsid w:val="00D425D5"/>
    <w:rsid w:val="00D42692"/>
    <w:rsid w:val="00D42777"/>
    <w:rsid w:val="00D427C3"/>
    <w:rsid w:val="00D427F0"/>
    <w:rsid w:val="00D42856"/>
    <w:rsid w:val="00D428A0"/>
    <w:rsid w:val="00D428E5"/>
    <w:rsid w:val="00D4295A"/>
    <w:rsid w:val="00D429FC"/>
    <w:rsid w:val="00D42A67"/>
    <w:rsid w:val="00D42ADA"/>
    <w:rsid w:val="00D42BAC"/>
    <w:rsid w:val="00D42CD7"/>
    <w:rsid w:val="00D42D5E"/>
    <w:rsid w:val="00D42D80"/>
    <w:rsid w:val="00D42DF7"/>
    <w:rsid w:val="00D42E51"/>
    <w:rsid w:val="00D42E72"/>
    <w:rsid w:val="00D42E81"/>
    <w:rsid w:val="00D42F0F"/>
    <w:rsid w:val="00D42F2A"/>
    <w:rsid w:val="00D42F4E"/>
    <w:rsid w:val="00D43099"/>
    <w:rsid w:val="00D43150"/>
    <w:rsid w:val="00D43172"/>
    <w:rsid w:val="00D43180"/>
    <w:rsid w:val="00D432FD"/>
    <w:rsid w:val="00D433D6"/>
    <w:rsid w:val="00D433F1"/>
    <w:rsid w:val="00D4345B"/>
    <w:rsid w:val="00D43471"/>
    <w:rsid w:val="00D43492"/>
    <w:rsid w:val="00D434C8"/>
    <w:rsid w:val="00D43574"/>
    <w:rsid w:val="00D43577"/>
    <w:rsid w:val="00D435BF"/>
    <w:rsid w:val="00D4362B"/>
    <w:rsid w:val="00D4374A"/>
    <w:rsid w:val="00D437FA"/>
    <w:rsid w:val="00D438C2"/>
    <w:rsid w:val="00D439B8"/>
    <w:rsid w:val="00D439E8"/>
    <w:rsid w:val="00D43AB7"/>
    <w:rsid w:val="00D43C7D"/>
    <w:rsid w:val="00D43DD5"/>
    <w:rsid w:val="00D43EFB"/>
    <w:rsid w:val="00D43FB0"/>
    <w:rsid w:val="00D4407C"/>
    <w:rsid w:val="00D44094"/>
    <w:rsid w:val="00D440A1"/>
    <w:rsid w:val="00D440A4"/>
    <w:rsid w:val="00D4414C"/>
    <w:rsid w:val="00D441ED"/>
    <w:rsid w:val="00D4424A"/>
    <w:rsid w:val="00D4429D"/>
    <w:rsid w:val="00D44534"/>
    <w:rsid w:val="00D445CE"/>
    <w:rsid w:val="00D44635"/>
    <w:rsid w:val="00D44694"/>
    <w:rsid w:val="00D4469C"/>
    <w:rsid w:val="00D448B3"/>
    <w:rsid w:val="00D4493D"/>
    <w:rsid w:val="00D44982"/>
    <w:rsid w:val="00D4498F"/>
    <w:rsid w:val="00D449B0"/>
    <w:rsid w:val="00D449E9"/>
    <w:rsid w:val="00D44A31"/>
    <w:rsid w:val="00D44B3A"/>
    <w:rsid w:val="00D44CC1"/>
    <w:rsid w:val="00D44D33"/>
    <w:rsid w:val="00D44D37"/>
    <w:rsid w:val="00D44E0A"/>
    <w:rsid w:val="00D44ED1"/>
    <w:rsid w:val="00D44F24"/>
    <w:rsid w:val="00D44FE9"/>
    <w:rsid w:val="00D45223"/>
    <w:rsid w:val="00D4524B"/>
    <w:rsid w:val="00D45337"/>
    <w:rsid w:val="00D45381"/>
    <w:rsid w:val="00D454D4"/>
    <w:rsid w:val="00D45541"/>
    <w:rsid w:val="00D455B7"/>
    <w:rsid w:val="00D456A0"/>
    <w:rsid w:val="00D45770"/>
    <w:rsid w:val="00D457C0"/>
    <w:rsid w:val="00D45848"/>
    <w:rsid w:val="00D458DD"/>
    <w:rsid w:val="00D45946"/>
    <w:rsid w:val="00D459AB"/>
    <w:rsid w:val="00D45A02"/>
    <w:rsid w:val="00D45A78"/>
    <w:rsid w:val="00D45AA4"/>
    <w:rsid w:val="00D45ABF"/>
    <w:rsid w:val="00D45C55"/>
    <w:rsid w:val="00D45C8C"/>
    <w:rsid w:val="00D45CEB"/>
    <w:rsid w:val="00D45EAB"/>
    <w:rsid w:val="00D45ED3"/>
    <w:rsid w:val="00D45F37"/>
    <w:rsid w:val="00D46018"/>
    <w:rsid w:val="00D4618F"/>
    <w:rsid w:val="00D46280"/>
    <w:rsid w:val="00D462AE"/>
    <w:rsid w:val="00D462FF"/>
    <w:rsid w:val="00D46352"/>
    <w:rsid w:val="00D463F0"/>
    <w:rsid w:val="00D46475"/>
    <w:rsid w:val="00D46481"/>
    <w:rsid w:val="00D4649C"/>
    <w:rsid w:val="00D464F6"/>
    <w:rsid w:val="00D4651D"/>
    <w:rsid w:val="00D4672D"/>
    <w:rsid w:val="00D46764"/>
    <w:rsid w:val="00D46785"/>
    <w:rsid w:val="00D4686F"/>
    <w:rsid w:val="00D468FD"/>
    <w:rsid w:val="00D46947"/>
    <w:rsid w:val="00D469E7"/>
    <w:rsid w:val="00D469EF"/>
    <w:rsid w:val="00D469F3"/>
    <w:rsid w:val="00D46A1F"/>
    <w:rsid w:val="00D46AF5"/>
    <w:rsid w:val="00D46C5B"/>
    <w:rsid w:val="00D46D9F"/>
    <w:rsid w:val="00D46DDF"/>
    <w:rsid w:val="00D46F45"/>
    <w:rsid w:val="00D46FD5"/>
    <w:rsid w:val="00D46FF2"/>
    <w:rsid w:val="00D470A5"/>
    <w:rsid w:val="00D4711A"/>
    <w:rsid w:val="00D47157"/>
    <w:rsid w:val="00D47205"/>
    <w:rsid w:val="00D4720C"/>
    <w:rsid w:val="00D4734D"/>
    <w:rsid w:val="00D47359"/>
    <w:rsid w:val="00D473B1"/>
    <w:rsid w:val="00D473FE"/>
    <w:rsid w:val="00D474F3"/>
    <w:rsid w:val="00D47509"/>
    <w:rsid w:val="00D47632"/>
    <w:rsid w:val="00D476E1"/>
    <w:rsid w:val="00D47768"/>
    <w:rsid w:val="00D47A1D"/>
    <w:rsid w:val="00D47A9B"/>
    <w:rsid w:val="00D47AD9"/>
    <w:rsid w:val="00D47B43"/>
    <w:rsid w:val="00D47B72"/>
    <w:rsid w:val="00D47B8B"/>
    <w:rsid w:val="00D47BA1"/>
    <w:rsid w:val="00D47C12"/>
    <w:rsid w:val="00D47D94"/>
    <w:rsid w:val="00D47E2C"/>
    <w:rsid w:val="00D47EA5"/>
    <w:rsid w:val="00D5005C"/>
    <w:rsid w:val="00D5007C"/>
    <w:rsid w:val="00D50109"/>
    <w:rsid w:val="00D50176"/>
    <w:rsid w:val="00D50181"/>
    <w:rsid w:val="00D501E0"/>
    <w:rsid w:val="00D5022C"/>
    <w:rsid w:val="00D50240"/>
    <w:rsid w:val="00D502E8"/>
    <w:rsid w:val="00D50333"/>
    <w:rsid w:val="00D503AB"/>
    <w:rsid w:val="00D50564"/>
    <w:rsid w:val="00D5059C"/>
    <w:rsid w:val="00D50604"/>
    <w:rsid w:val="00D5062C"/>
    <w:rsid w:val="00D50741"/>
    <w:rsid w:val="00D5075D"/>
    <w:rsid w:val="00D507D4"/>
    <w:rsid w:val="00D507D6"/>
    <w:rsid w:val="00D507E7"/>
    <w:rsid w:val="00D508E1"/>
    <w:rsid w:val="00D508F0"/>
    <w:rsid w:val="00D50913"/>
    <w:rsid w:val="00D50992"/>
    <w:rsid w:val="00D509E7"/>
    <w:rsid w:val="00D509EA"/>
    <w:rsid w:val="00D50A4D"/>
    <w:rsid w:val="00D50A5E"/>
    <w:rsid w:val="00D50A79"/>
    <w:rsid w:val="00D50AB4"/>
    <w:rsid w:val="00D50B41"/>
    <w:rsid w:val="00D50B50"/>
    <w:rsid w:val="00D50B92"/>
    <w:rsid w:val="00D50BB3"/>
    <w:rsid w:val="00D50C0A"/>
    <w:rsid w:val="00D50C62"/>
    <w:rsid w:val="00D50C70"/>
    <w:rsid w:val="00D50D15"/>
    <w:rsid w:val="00D50D4F"/>
    <w:rsid w:val="00D50D75"/>
    <w:rsid w:val="00D50DD7"/>
    <w:rsid w:val="00D50E18"/>
    <w:rsid w:val="00D50E23"/>
    <w:rsid w:val="00D50E24"/>
    <w:rsid w:val="00D50FB0"/>
    <w:rsid w:val="00D5114F"/>
    <w:rsid w:val="00D511F0"/>
    <w:rsid w:val="00D513B5"/>
    <w:rsid w:val="00D513E6"/>
    <w:rsid w:val="00D51425"/>
    <w:rsid w:val="00D514F2"/>
    <w:rsid w:val="00D51593"/>
    <w:rsid w:val="00D5162F"/>
    <w:rsid w:val="00D51659"/>
    <w:rsid w:val="00D517FF"/>
    <w:rsid w:val="00D51895"/>
    <w:rsid w:val="00D5194C"/>
    <w:rsid w:val="00D51A6B"/>
    <w:rsid w:val="00D51ACA"/>
    <w:rsid w:val="00D51C57"/>
    <w:rsid w:val="00D51C8F"/>
    <w:rsid w:val="00D51D46"/>
    <w:rsid w:val="00D51D48"/>
    <w:rsid w:val="00D51DC4"/>
    <w:rsid w:val="00D51E45"/>
    <w:rsid w:val="00D51F49"/>
    <w:rsid w:val="00D51F81"/>
    <w:rsid w:val="00D52010"/>
    <w:rsid w:val="00D520AD"/>
    <w:rsid w:val="00D520F0"/>
    <w:rsid w:val="00D522B1"/>
    <w:rsid w:val="00D52487"/>
    <w:rsid w:val="00D52559"/>
    <w:rsid w:val="00D525A2"/>
    <w:rsid w:val="00D526E0"/>
    <w:rsid w:val="00D52713"/>
    <w:rsid w:val="00D527E6"/>
    <w:rsid w:val="00D529A0"/>
    <w:rsid w:val="00D52B6A"/>
    <w:rsid w:val="00D52B84"/>
    <w:rsid w:val="00D52CF7"/>
    <w:rsid w:val="00D52DB0"/>
    <w:rsid w:val="00D52E3E"/>
    <w:rsid w:val="00D52E64"/>
    <w:rsid w:val="00D52F18"/>
    <w:rsid w:val="00D52F70"/>
    <w:rsid w:val="00D53016"/>
    <w:rsid w:val="00D53093"/>
    <w:rsid w:val="00D530CD"/>
    <w:rsid w:val="00D530CF"/>
    <w:rsid w:val="00D53191"/>
    <w:rsid w:val="00D531C9"/>
    <w:rsid w:val="00D531D6"/>
    <w:rsid w:val="00D531EC"/>
    <w:rsid w:val="00D532FF"/>
    <w:rsid w:val="00D5330C"/>
    <w:rsid w:val="00D5332B"/>
    <w:rsid w:val="00D5334C"/>
    <w:rsid w:val="00D5335A"/>
    <w:rsid w:val="00D533D5"/>
    <w:rsid w:val="00D53406"/>
    <w:rsid w:val="00D534D7"/>
    <w:rsid w:val="00D534FB"/>
    <w:rsid w:val="00D5356F"/>
    <w:rsid w:val="00D536DE"/>
    <w:rsid w:val="00D538F6"/>
    <w:rsid w:val="00D53980"/>
    <w:rsid w:val="00D53981"/>
    <w:rsid w:val="00D539EF"/>
    <w:rsid w:val="00D53A78"/>
    <w:rsid w:val="00D53AF1"/>
    <w:rsid w:val="00D53C2C"/>
    <w:rsid w:val="00D53C9F"/>
    <w:rsid w:val="00D53CF9"/>
    <w:rsid w:val="00D53D60"/>
    <w:rsid w:val="00D53DAC"/>
    <w:rsid w:val="00D540E1"/>
    <w:rsid w:val="00D5410C"/>
    <w:rsid w:val="00D541E1"/>
    <w:rsid w:val="00D54207"/>
    <w:rsid w:val="00D5422C"/>
    <w:rsid w:val="00D54275"/>
    <w:rsid w:val="00D54288"/>
    <w:rsid w:val="00D542A2"/>
    <w:rsid w:val="00D54373"/>
    <w:rsid w:val="00D543D0"/>
    <w:rsid w:val="00D543FB"/>
    <w:rsid w:val="00D5444F"/>
    <w:rsid w:val="00D54514"/>
    <w:rsid w:val="00D54521"/>
    <w:rsid w:val="00D54549"/>
    <w:rsid w:val="00D547A7"/>
    <w:rsid w:val="00D5482D"/>
    <w:rsid w:val="00D54888"/>
    <w:rsid w:val="00D54905"/>
    <w:rsid w:val="00D54918"/>
    <w:rsid w:val="00D54953"/>
    <w:rsid w:val="00D5495E"/>
    <w:rsid w:val="00D54960"/>
    <w:rsid w:val="00D54A25"/>
    <w:rsid w:val="00D54A46"/>
    <w:rsid w:val="00D54A68"/>
    <w:rsid w:val="00D54ABD"/>
    <w:rsid w:val="00D54BA7"/>
    <w:rsid w:val="00D54D2A"/>
    <w:rsid w:val="00D54E1B"/>
    <w:rsid w:val="00D54E31"/>
    <w:rsid w:val="00D54E36"/>
    <w:rsid w:val="00D54E59"/>
    <w:rsid w:val="00D54F71"/>
    <w:rsid w:val="00D54FC1"/>
    <w:rsid w:val="00D54FFE"/>
    <w:rsid w:val="00D55041"/>
    <w:rsid w:val="00D550E3"/>
    <w:rsid w:val="00D550FB"/>
    <w:rsid w:val="00D55107"/>
    <w:rsid w:val="00D55130"/>
    <w:rsid w:val="00D5516B"/>
    <w:rsid w:val="00D55213"/>
    <w:rsid w:val="00D55343"/>
    <w:rsid w:val="00D55375"/>
    <w:rsid w:val="00D554CA"/>
    <w:rsid w:val="00D554D0"/>
    <w:rsid w:val="00D554D7"/>
    <w:rsid w:val="00D55555"/>
    <w:rsid w:val="00D555E4"/>
    <w:rsid w:val="00D55679"/>
    <w:rsid w:val="00D556E4"/>
    <w:rsid w:val="00D5572A"/>
    <w:rsid w:val="00D55740"/>
    <w:rsid w:val="00D557BE"/>
    <w:rsid w:val="00D5582F"/>
    <w:rsid w:val="00D5589B"/>
    <w:rsid w:val="00D5593C"/>
    <w:rsid w:val="00D55A10"/>
    <w:rsid w:val="00D55A19"/>
    <w:rsid w:val="00D55B37"/>
    <w:rsid w:val="00D55B6F"/>
    <w:rsid w:val="00D55B99"/>
    <w:rsid w:val="00D55B9C"/>
    <w:rsid w:val="00D55CD8"/>
    <w:rsid w:val="00D55CEA"/>
    <w:rsid w:val="00D55E29"/>
    <w:rsid w:val="00D55E49"/>
    <w:rsid w:val="00D56081"/>
    <w:rsid w:val="00D5608A"/>
    <w:rsid w:val="00D5615A"/>
    <w:rsid w:val="00D561BE"/>
    <w:rsid w:val="00D562C6"/>
    <w:rsid w:val="00D5630F"/>
    <w:rsid w:val="00D56353"/>
    <w:rsid w:val="00D56364"/>
    <w:rsid w:val="00D564B0"/>
    <w:rsid w:val="00D56526"/>
    <w:rsid w:val="00D5656A"/>
    <w:rsid w:val="00D565A1"/>
    <w:rsid w:val="00D566C5"/>
    <w:rsid w:val="00D567B1"/>
    <w:rsid w:val="00D56806"/>
    <w:rsid w:val="00D56831"/>
    <w:rsid w:val="00D56A25"/>
    <w:rsid w:val="00D56AE0"/>
    <w:rsid w:val="00D56AE1"/>
    <w:rsid w:val="00D56C8E"/>
    <w:rsid w:val="00D56C90"/>
    <w:rsid w:val="00D56CE7"/>
    <w:rsid w:val="00D56DA0"/>
    <w:rsid w:val="00D56E1E"/>
    <w:rsid w:val="00D56E2F"/>
    <w:rsid w:val="00D56E75"/>
    <w:rsid w:val="00D56ED4"/>
    <w:rsid w:val="00D56FDD"/>
    <w:rsid w:val="00D57164"/>
    <w:rsid w:val="00D57203"/>
    <w:rsid w:val="00D57218"/>
    <w:rsid w:val="00D5729F"/>
    <w:rsid w:val="00D572A0"/>
    <w:rsid w:val="00D57300"/>
    <w:rsid w:val="00D5734A"/>
    <w:rsid w:val="00D5738F"/>
    <w:rsid w:val="00D57471"/>
    <w:rsid w:val="00D5754D"/>
    <w:rsid w:val="00D57619"/>
    <w:rsid w:val="00D5761D"/>
    <w:rsid w:val="00D5764F"/>
    <w:rsid w:val="00D5765D"/>
    <w:rsid w:val="00D57662"/>
    <w:rsid w:val="00D577A6"/>
    <w:rsid w:val="00D578B7"/>
    <w:rsid w:val="00D578DF"/>
    <w:rsid w:val="00D57B12"/>
    <w:rsid w:val="00D57C1C"/>
    <w:rsid w:val="00D57C21"/>
    <w:rsid w:val="00D57C7B"/>
    <w:rsid w:val="00D57C8B"/>
    <w:rsid w:val="00D57CD2"/>
    <w:rsid w:val="00D57CFF"/>
    <w:rsid w:val="00D57D07"/>
    <w:rsid w:val="00D57D3C"/>
    <w:rsid w:val="00D57D50"/>
    <w:rsid w:val="00D57D8A"/>
    <w:rsid w:val="00D60076"/>
    <w:rsid w:val="00D602BE"/>
    <w:rsid w:val="00D602D0"/>
    <w:rsid w:val="00D6032F"/>
    <w:rsid w:val="00D6037E"/>
    <w:rsid w:val="00D60396"/>
    <w:rsid w:val="00D603EC"/>
    <w:rsid w:val="00D60410"/>
    <w:rsid w:val="00D604B4"/>
    <w:rsid w:val="00D60513"/>
    <w:rsid w:val="00D605F5"/>
    <w:rsid w:val="00D60674"/>
    <w:rsid w:val="00D60780"/>
    <w:rsid w:val="00D607D5"/>
    <w:rsid w:val="00D60877"/>
    <w:rsid w:val="00D60991"/>
    <w:rsid w:val="00D609C4"/>
    <w:rsid w:val="00D60ACB"/>
    <w:rsid w:val="00D60B53"/>
    <w:rsid w:val="00D60B69"/>
    <w:rsid w:val="00D60BA4"/>
    <w:rsid w:val="00D60BFA"/>
    <w:rsid w:val="00D60C53"/>
    <w:rsid w:val="00D60C95"/>
    <w:rsid w:val="00D60CAB"/>
    <w:rsid w:val="00D60D4E"/>
    <w:rsid w:val="00D60E2F"/>
    <w:rsid w:val="00D60E97"/>
    <w:rsid w:val="00D60F51"/>
    <w:rsid w:val="00D60F91"/>
    <w:rsid w:val="00D61087"/>
    <w:rsid w:val="00D610D0"/>
    <w:rsid w:val="00D610F2"/>
    <w:rsid w:val="00D61117"/>
    <w:rsid w:val="00D612CB"/>
    <w:rsid w:val="00D61352"/>
    <w:rsid w:val="00D614D7"/>
    <w:rsid w:val="00D614F0"/>
    <w:rsid w:val="00D61701"/>
    <w:rsid w:val="00D61723"/>
    <w:rsid w:val="00D61731"/>
    <w:rsid w:val="00D617BE"/>
    <w:rsid w:val="00D617CA"/>
    <w:rsid w:val="00D617DF"/>
    <w:rsid w:val="00D6182E"/>
    <w:rsid w:val="00D61843"/>
    <w:rsid w:val="00D61866"/>
    <w:rsid w:val="00D618AE"/>
    <w:rsid w:val="00D61988"/>
    <w:rsid w:val="00D61B77"/>
    <w:rsid w:val="00D61B7A"/>
    <w:rsid w:val="00D61C9D"/>
    <w:rsid w:val="00D61D43"/>
    <w:rsid w:val="00D61DF2"/>
    <w:rsid w:val="00D61E5C"/>
    <w:rsid w:val="00D61E6F"/>
    <w:rsid w:val="00D61F2E"/>
    <w:rsid w:val="00D61F7E"/>
    <w:rsid w:val="00D61F9A"/>
    <w:rsid w:val="00D61FA4"/>
    <w:rsid w:val="00D6206B"/>
    <w:rsid w:val="00D62204"/>
    <w:rsid w:val="00D62210"/>
    <w:rsid w:val="00D6232C"/>
    <w:rsid w:val="00D6234C"/>
    <w:rsid w:val="00D623C2"/>
    <w:rsid w:val="00D623CF"/>
    <w:rsid w:val="00D6246F"/>
    <w:rsid w:val="00D6251B"/>
    <w:rsid w:val="00D625A5"/>
    <w:rsid w:val="00D625D2"/>
    <w:rsid w:val="00D626F2"/>
    <w:rsid w:val="00D6270C"/>
    <w:rsid w:val="00D627C6"/>
    <w:rsid w:val="00D62838"/>
    <w:rsid w:val="00D62887"/>
    <w:rsid w:val="00D629EA"/>
    <w:rsid w:val="00D62AEF"/>
    <w:rsid w:val="00D62CC6"/>
    <w:rsid w:val="00D62E2B"/>
    <w:rsid w:val="00D62E62"/>
    <w:rsid w:val="00D62EB6"/>
    <w:rsid w:val="00D62EFD"/>
    <w:rsid w:val="00D62FD1"/>
    <w:rsid w:val="00D63040"/>
    <w:rsid w:val="00D630E3"/>
    <w:rsid w:val="00D63127"/>
    <w:rsid w:val="00D6319F"/>
    <w:rsid w:val="00D631D0"/>
    <w:rsid w:val="00D63350"/>
    <w:rsid w:val="00D63364"/>
    <w:rsid w:val="00D63379"/>
    <w:rsid w:val="00D633A8"/>
    <w:rsid w:val="00D6348C"/>
    <w:rsid w:val="00D634C8"/>
    <w:rsid w:val="00D635DB"/>
    <w:rsid w:val="00D63758"/>
    <w:rsid w:val="00D63785"/>
    <w:rsid w:val="00D63813"/>
    <w:rsid w:val="00D63874"/>
    <w:rsid w:val="00D6389C"/>
    <w:rsid w:val="00D638B8"/>
    <w:rsid w:val="00D639E1"/>
    <w:rsid w:val="00D63A36"/>
    <w:rsid w:val="00D63A5E"/>
    <w:rsid w:val="00D63B5C"/>
    <w:rsid w:val="00D63B87"/>
    <w:rsid w:val="00D63BB4"/>
    <w:rsid w:val="00D63BD4"/>
    <w:rsid w:val="00D63C84"/>
    <w:rsid w:val="00D63CBB"/>
    <w:rsid w:val="00D63CC2"/>
    <w:rsid w:val="00D63D0E"/>
    <w:rsid w:val="00D63E23"/>
    <w:rsid w:val="00D63ED6"/>
    <w:rsid w:val="00D63F39"/>
    <w:rsid w:val="00D63F60"/>
    <w:rsid w:val="00D64074"/>
    <w:rsid w:val="00D640A9"/>
    <w:rsid w:val="00D640D4"/>
    <w:rsid w:val="00D6415C"/>
    <w:rsid w:val="00D64178"/>
    <w:rsid w:val="00D64373"/>
    <w:rsid w:val="00D643DD"/>
    <w:rsid w:val="00D64431"/>
    <w:rsid w:val="00D645F0"/>
    <w:rsid w:val="00D64639"/>
    <w:rsid w:val="00D646A0"/>
    <w:rsid w:val="00D646BC"/>
    <w:rsid w:val="00D64778"/>
    <w:rsid w:val="00D647D5"/>
    <w:rsid w:val="00D647EA"/>
    <w:rsid w:val="00D64834"/>
    <w:rsid w:val="00D648C6"/>
    <w:rsid w:val="00D648FC"/>
    <w:rsid w:val="00D64917"/>
    <w:rsid w:val="00D64925"/>
    <w:rsid w:val="00D64959"/>
    <w:rsid w:val="00D6496E"/>
    <w:rsid w:val="00D649AB"/>
    <w:rsid w:val="00D649BF"/>
    <w:rsid w:val="00D64A4B"/>
    <w:rsid w:val="00D64AC0"/>
    <w:rsid w:val="00D64D57"/>
    <w:rsid w:val="00D64DA9"/>
    <w:rsid w:val="00D64DE0"/>
    <w:rsid w:val="00D64E57"/>
    <w:rsid w:val="00D64EB3"/>
    <w:rsid w:val="00D64EB6"/>
    <w:rsid w:val="00D64F78"/>
    <w:rsid w:val="00D65210"/>
    <w:rsid w:val="00D652C3"/>
    <w:rsid w:val="00D653FC"/>
    <w:rsid w:val="00D65507"/>
    <w:rsid w:val="00D65538"/>
    <w:rsid w:val="00D655E1"/>
    <w:rsid w:val="00D65633"/>
    <w:rsid w:val="00D6564F"/>
    <w:rsid w:val="00D6565D"/>
    <w:rsid w:val="00D656F5"/>
    <w:rsid w:val="00D65716"/>
    <w:rsid w:val="00D6584D"/>
    <w:rsid w:val="00D6588F"/>
    <w:rsid w:val="00D658C1"/>
    <w:rsid w:val="00D65931"/>
    <w:rsid w:val="00D6596D"/>
    <w:rsid w:val="00D659B0"/>
    <w:rsid w:val="00D65A73"/>
    <w:rsid w:val="00D65C31"/>
    <w:rsid w:val="00D65C97"/>
    <w:rsid w:val="00D65CD0"/>
    <w:rsid w:val="00D65D0C"/>
    <w:rsid w:val="00D65D1D"/>
    <w:rsid w:val="00D65D4B"/>
    <w:rsid w:val="00D65D4F"/>
    <w:rsid w:val="00D65DE4"/>
    <w:rsid w:val="00D65F1D"/>
    <w:rsid w:val="00D660AC"/>
    <w:rsid w:val="00D6610B"/>
    <w:rsid w:val="00D6612B"/>
    <w:rsid w:val="00D66153"/>
    <w:rsid w:val="00D661AB"/>
    <w:rsid w:val="00D661C8"/>
    <w:rsid w:val="00D66248"/>
    <w:rsid w:val="00D66259"/>
    <w:rsid w:val="00D66263"/>
    <w:rsid w:val="00D66295"/>
    <w:rsid w:val="00D662D5"/>
    <w:rsid w:val="00D6637E"/>
    <w:rsid w:val="00D66424"/>
    <w:rsid w:val="00D6645F"/>
    <w:rsid w:val="00D665AC"/>
    <w:rsid w:val="00D66602"/>
    <w:rsid w:val="00D66632"/>
    <w:rsid w:val="00D667EB"/>
    <w:rsid w:val="00D66805"/>
    <w:rsid w:val="00D668CE"/>
    <w:rsid w:val="00D66903"/>
    <w:rsid w:val="00D66999"/>
    <w:rsid w:val="00D66A7F"/>
    <w:rsid w:val="00D66C3A"/>
    <w:rsid w:val="00D66C4C"/>
    <w:rsid w:val="00D66CF9"/>
    <w:rsid w:val="00D66D49"/>
    <w:rsid w:val="00D66DE6"/>
    <w:rsid w:val="00D66E7C"/>
    <w:rsid w:val="00D6719E"/>
    <w:rsid w:val="00D671AD"/>
    <w:rsid w:val="00D671F7"/>
    <w:rsid w:val="00D67372"/>
    <w:rsid w:val="00D673E2"/>
    <w:rsid w:val="00D67414"/>
    <w:rsid w:val="00D67493"/>
    <w:rsid w:val="00D6749A"/>
    <w:rsid w:val="00D674E8"/>
    <w:rsid w:val="00D676B6"/>
    <w:rsid w:val="00D67729"/>
    <w:rsid w:val="00D6780B"/>
    <w:rsid w:val="00D67816"/>
    <w:rsid w:val="00D67826"/>
    <w:rsid w:val="00D67843"/>
    <w:rsid w:val="00D679E6"/>
    <w:rsid w:val="00D67A50"/>
    <w:rsid w:val="00D67A91"/>
    <w:rsid w:val="00D67AC4"/>
    <w:rsid w:val="00D67B64"/>
    <w:rsid w:val="00D67B7E"/>
    <w:rsid w:val="00D67CAF"/>
    <w:rsid w:val="00D67EC0"/>
    <w:rsid w:val="00D67EF9"/>
    <w:rsid w:val="00D67F01"/>
    <w:rsid w:val="00D67F65"/>
    <w:rsid w:val="00D67FA5"/>
    <w:rsid w:val="00D67FCD"/>
    <w:rsid w:val="00D67FF2"/>
    <w:rsid w:val="00D70013"/>
    <w:rsid w:val="00D70184"/>
    <w:rsid w:val="00D701D1"/>
    <w:rsid w:val="00D7020A"/>
    <w:rsid w:val="00D70247"/>
    <w:rsid w:val="00D7029D"/>
    <w:rsid w:val="00D70325"/>
    <w:rsid w:val="00D70380"/>
    <w:rsid w:val="00D70438"/>
    <w:rsid w:val="00D704BE"/>
    <w:rsid w:val="00D7053D"/>
    <w:rsid w:val="00D705DA"/>
    <w:rsid w:val="00D706FA"/>
    <w:rsid w:val="00D7071E"/>
    <w:rsid w:val="00D707D9"/>
    <w:rsid w:val="00D7084F"/>
    <w:rsid w:val="00D708B9"/>
    <w:rsid w:val="00D7099F"/>
    <w:rsid w:val="00D709FE"/>
    <w:rsid w:val="00D70A2B"/>
    <w:rsid w:val="00D70B6E"/>
    <w:rsid w:val="00D70C16"/>
    <w:rsid w:val="00D70CBB"/>
    <w:rsid w:val="00D70D48"/>
    <w:rsid w:val="00D70DD6"/>
    <w:rsid w:val="00D70E60"/>
    <w:rsid w:val="00D70F67"/>
    <w:rsid w:val="00D70F68"/>
    <w:rsid w:val="00D710BC"/>
    <w:rsid w:val="00D710C0"/>
    <w:rsid w:val="00D710FB"/>
    <w:rsid w:val="00D7119C"/>
    <w:rsid w:val="00D71272"/>
    <w:rsid w:val="00D7134F"/>
    <w:rsid w:val="00D71383"/>
    <w:rsid w:val="00D7152D"/>
    <w:rsid w:val="00D71574"/>
    <w:rsid w:val="00D71749"/>
    <w:rsid w:val="00D7178A"/>
    <w:rsid w:val="00D719BB"/>
    <w:rsid w:val="00D71A04"/>
    <w:rsid w:val="00D71A77"/>
    <w:rsid w:val="00D71DC4"/>
    <w:rsid w:val="00D71DC6"/>
    <w:rsid w:val="00D71E8C"/>
    <w:rsid w:val="00D71E90"/>
    <w:rsid w:val="00D71ECA"/>
    <w:rsid w:val="00D71F3E"/>
    <w:rsid w:val="00D71F7A"/>
    <w:rsid w:val="00D71F83"/>
    <w:rsid w:val="00D720D5"/>
    <w:rsid w:val="00D720F5"/>
    <w:rsid w:val="00D7211C"/>
    <w:rsid w:val="00D7223E"/>
    <w:rsid w:val="00D7225F"/>
    <w:rsid w:val="00D72280"/>
    <w:rsid w:val="00D7229F"/>
    <w:rsid w:val="00D72348"/>
    <w:rsid w:val="00D72375"/>
    <w:rsid w:val="00D724A7"/>
    <w:rsid w:val="00D72559"/>
    <w:rsid w:val="00D7256B"/>
    <w:rsid w:val="00D72594"/>
    <w:rsid w:val="00D7266B"/>
    <w:rsid w:val="00D726B6"/>
    <w:rsid w:val="00D72846"/>
    <w:rsid w:val="00D72880"/>
    <w:rsid w:val="00D728C3"/>
    <w:rsid w:val="00D72A23"/>
    <w:rsid w:val="00D72A6C"/>
    <w:rsid w:val="00D72BF1"/>
    <w:rsid w:val="00D72C37"/>
    <w:rsid w:val="00D72C85"/>
    <w:rsid w:val="00D72EFE"/>
    <w:rsid w:val="00D7303E"/>
    <w:rsid w:val="00D7320E"/>
    <w:rsid w:val="00D7323F"/>
    <w:rsid w:val="00D732AC"/>
    <w:rsid w:val="00D732BC"/>
    <w:rsid w:val="00D732D6"/>
    <w:rsid w:val="00D7336B"/>
    <w:rsid w:val="00D734C8"/>
    <w:rsid w:val="00D73530"/>
    <w:rsid w:val="00D735CB"/>
    <w:rsid w:val="00D736BB"/>
    <w:rsid w:val="00D736DD"/>
    <w:rsid w:val="00D73732"/>
    <w:rsid w:val="00D7373F"/>
    <w:rsid w:val="00D7381F"/>
    <w:rsid w:val="00D738A6"/>
    <w:rsid w:val="00D7397E"/>
    <w:rsid w:val="00D73A77"/>
    <w:rsid w:val="00D73B44"/>
    <w:rsid w:val="00D73B66"/>
    <w:rsid w:val="00D73C07"/>
    <w:rsid w:val="00D73C64"/>
    <w:rsid w:val="00D73CC2"/>
    <w:rsid w:val="00D73CFD"/>
    <w:rsid w:val="00D73D1C"/>
    <w:rsid w:val="00D73D4F"/>
    <w:rsid w:val="00D73DF6"/>
    <w:rsid w:val="00D73E11"/>
    <w:rsid w:val="00D73E3E"/>
    <w:rsid w:val="00D73F0C"/>
    <w:rsid w:val="00D73F19"/>
    <w:rsid w:val="00D73F7E"/>
    <w:rsid w:val="00D73FFA"/>
    <w:rsid w:val="00D74001"/>
    <w:rsid w:val="00D74017"/>
    <w:rsid w:val="00D7401F"/>
    <w:rsid w:val="00D7402A"/>
    <w:rsid w:val="00D74086"/>
    <w:rsid w:val="00D740B6"/>
    <w:rsid w:val="00D740B8"/>
    <w:rsid w:val="00D74296"/>
    <w:rsid w:val="00D742AE"/>
    <w:rsid w:val="00D742B4"/>
    <w:rsid w:val="00D742CB"/>
    <w:rsid w:val="00D7444D"/>
    <w:rsid w:val="00D744B5"/>
    <w:rsid w:val="00D74548"/>
    <w:rsid w:val="00D746DA"/>
    <w:rsid w:val="00D746EF"/>
    <w:rsid w:val="00D746F6"/>
    <w:rsid w:val="00D74803"/>
    <w:rsid w:val="00D74898"/>
    <w:rsid w:val="00D748B7"/>
    <w:rsid w:val="00D7491D"/>
    <w:rsid w:val="00D7496F"/>
    <w:rsid w:val="00D7498B"/>
    <w:rsid w:val="00D74AD2"/>
    <w:rsid w:val="00D74BCA"/>
    <w:rsid w:val="00D74DA7"/>
    <w:rsid w:val="00D74E30"/>
    <w:rsid w:val="00D74E71"/>
    <w:rsid w:val="00D74FD5"/>
    <w:rsid w:val="00D74FEA"/>
    <w:rsid w:val="00D750AB"/>
    <w:rsid w:val="00D751E0"/>
    <w:rsid w:val="00D75216"/>
    <w:rsid w:val="00D753C2"/>
    <w:rsid w:val="00D7552D"/>
    <w:rsid w:val="00D75532"/>
    <w:rsid w:val="00D7557F"/>
    <w:rsid w:val="00D755CD"/>
    <w:rsid w:val="00D756A8"/>
    <w:rsid w:val="00D756E1"/>
    <w:rsid w:val="00D7581C"/>
    <w:rsid w:val="00D75872"/>
    <w:rsid w:val="00D75989"/>
    <w:rsid w:val="00D759B1"/>
    <w:rsid w:val="00D759FC"/>
    <w:rsid w:val="00D75A04"/>
    <w:rsid w:val="00D75A90"/>
    <w:rsid w:val="00D75AE6"/>
    <w:rsid w:val="00D75B9F"/>
    <w:rsid w:val="00D75C2C"/>
    <w:rsid w:val="00D75C5A"/>
    <w:rsid w:val="00D75C94"/>
    <w:rsid w:val="00D75C9D"/>
    <w:rsid w:val="00D75DAF"/>
    <w:rsid w:val="00D75E18"/>
    <w:rsid w:val="00D75EA3"/>
    <w:rsid w:val="00D75ECD"/>
    <w:rsid w:val="00D75EE1"/>
    <w:rsid w:val="00D75EFF"/>
    <w:rsid w:val="00D75FC6"/>
    <w:rsid w:val="00D75FDD"/>
    <w:rsid w:val="00D75FE7"/>
    <w:rsid w:val="00D75FF4"/>
    <w:rsid w:val="00D76035"/>
    <w:rsid w:val="00D76055"/>
    <w:rsid w:val="00D76167"/>
    <w:rsid w:val="00D76225"/>
    <w:rsid w:val="00D762B1"/>
    <w:rsid w:val="00D762E6"/>
    <w:rsid w:val="00D76382"/>
    <w:rsid w:val="00D76396"/>
    <w:rsid w:val="00D7643A"/>
    <w:rsid w:val="00D7653C"/>
    <w:rsid w:val="00D7656B"/>
    <w:rsid w:val="00D765A3"/>
    <w:rsid w:val="00D76663"/>
    <w:rsid w:val="00D768BB"/>
    <w:rsid w:val="00D7691D"/>
    <w:rsid w:val="00D7692A"/>
    <w:rsid w:val="00D76BE5"/>
    <w:rsid w:val="00D76BFC"/>
    <w:rsid w:val="00D76C16"/>
    <w:rsid w:val="00D76C2F"/>
    <w:rsid w:val="00D76CA5"/>
    <w:rsid w:val="00D76D5F"/>
    <w:rsid w:val="00D76DA7"/>
    <w:rsid w:val="00D76F39"/>
    <w:rsid w:val="00D76F4A"/>
    <w:rsid w:val="00D76F60"/>
    <w:rsid w:val="00D76F72"/>
    <w:rsid w:val="00D76F84"/>
    <w:rsid w:val="00D76FFF"/>
    <w:rsid w:val="00D7709B"/>
    <w:rsid w:val="00D770D9"/>
    <w:rsid w:val="00D77130"/>
    <w:rsid w:val="00D77144"/>
    <w:rsid w:val="00D771F1"/>
    <w:rsid w:val="00D77256"/>
    <w:rsid w:val="00D772E1"/>
    <w:rsid w:val="00D772F6"/>
    <w:rsid w:val="00D77352"/>
    <w:rsid w:val="00D77369"/>
    <w:rsid w:val="00D77377"/>
    <w:rsid w:val="00D77379"/>
    <w:rsid w:val="00D77384"/>
    <w:rsid w:val="00D77410"/>
    <w:rsid w:val="00D7747A"/>
    <w:rsid w:val="00D774DD"/>
    <w:rsid w:val="00D775E1"/>
    <w:rsid w:val="00D77658"/>
    <w:rsid w:val="00D777FA"/>
    <w:rsid w:val="00D7785C"/>
    <w:rsid w:val="00D778A3"/>
    <w:rsid w:val="00D77935"/>
    <w:rsid w:val="00D7793F"/>
    <w:rsid w:val="00D77946"/>
    <w:rsid w:val="00D77947"/>
    <w:rsid w:val="00D77989"/>
    <w:rsid w:val="00D779C4"/>
    <w:rsid w:val="00D77A68"/>
    <w:rsid w:val="00D77AAA"/>
    <w:rsid w:val="00D77B08"/>
    <w:rsid w:val="00D77C44"/>
    <w:rsid w:val="00D77C9D"/>
    <w:rsid w:val="00D77CA6"/>
    <w:rsid w:val="00D77D27"/>
    <w:rsid w:val="00D77E10"/>
    <w:rsid w:val="00D77F1A"/>
    <w:rsid w:val="00D801A6"/>
    <w:rsid w:val="00D802DF"/>
    <w:rsid w:val="00D805E5"/>
    <w:rsid w:val="00D806A7"/>
    <w:rsid w:val="00D806E9"/>
    <w:rsid w:val="00D807DC"/>
    <w:rsid w:val="00D80927"/>
    <w:rsid w:val="00D8093F"/>
    <w:rsid w:val="00D8096D"/>
    <w:rsid w:val="00D80A55"/>
    <w:rsid w:val="00D80B97"/>
    <w:rsid w:val="00D80B98"/>
    <w:rsid w:val="00D80BBB"/>
    <w:rsid w:val="00D80BEB"/>
    <w:rsid w:val="00D80C71"/>
    <w:rsid w:val="00D80CD3"/>
    <w:rsid w:val="00D80CDA"/>
    <w:rsid w:val="00D80CE3"/>
    <w:rsid w:val="00D80CEB"/>
    <w:rsid w:val="00D80D41"/>
    <w:rsid w:val="00D80ECF"/>
    <w:rsid w:val="00D80F3A"/>
    <w:rsid w:val="00D80F94"/>
    <w:rsid w:val="00D80FCA"/>
    <w:rsid w:val="00D8109B"/>
    <w:rsid w:val="00D810E0"/>
    <w:rsid w:val="00D8113A"/>
    <w:rsid w:val="00D81199"/>
    <w:rsid w:val="00D811AD"/>
    <w:rsid w:val="00D811D5"/>
    <w:rsid w:val="00D81209"/>
    <w:rsid w:val="00D812CF"/>
    <w:rsid w:val="00D8131E"/>
    <w:rsid w:val="00D81344"/>
    <w:rsid w:val="00D81448"/>
    <w:rsid w:val="00D814BC"/>
    <w:rsid w:val="00D81587"/>
    <w:rsid w:val="00D815D4"/>
    <w:rsid w:val="00D816C0"/>
    <w:rsid w:val="00D81753"/>
    <w:rsid w:val="00D81895"/>
    <w:rsid w:val="00D818C2"/>
    <w:rsid w:val="00D81988"/>
    <w:rsid w:val="00D819C4"/>
    <w:rsid w:val="00D819E0"/>
    <w:rsid w:val="00D81A65"/>
    <w:rsid w:val="00D81A72"/>
    <w:rsid w:val="00D81BD5"/>
    <w:rsid w:val="00D81C24"/>
    <w:rsid w:val="00D81CB2"/>
    <w:rsid w:val="00D81CD3"/>
    <w:rsid w:val="00D81CFA"/>
    <w:rsid w:val="00D81D05"/>
    <w:rsid w:val="00D81D36"/>
    <w:rsid w:val="00D81E25"/>
    <w:rsid w:val="00D81E6C"/>
    <w:rsid w:val="00D81F75"/>
    <w:rsid w:val="00D81FAB"/>
    <w:rsid w:val="00D81FD1"/>
    <w:rsid w:val="00D8207D"/>
    <w:rsid w:val="00D820DC"/>
    <w:rsid w:val="00D82140"/>
    <w:rsid w:val="00D82219"/>
    <w:rsid w:val="00D822EF"/>
    <w:rsid w:val="00D8231F"/>
    <w:rsid w:val="00D82347"/>
    <w:rsid w:val="00D8236F"/>
    <w:rsid w:val="00D82382"/>
    <w:rsid w:val="00D82398"/>
    <w:rsid w:val="00D823CF"/>
    <w:rsid w:val="00D823FD"/>
    <w:rsid w:val="00D824A0"/>
    <w:rsid w:val="00D8250E"/>
    <w:rsid w:val="00D82585"/>
    <w:rsid w:val="00D8263B"/>
    <w:rsid w:val="00D828B5"/>
    <w:rsid w:val="00D828F0"/>
    <w:rsid w:val="00D828FB"/>
    <w:rsid w:val="00D82A3C"/>
    <w:rsid w:val="00D82A4A"/>
    <w:rsid w:val="00D82B27"/>
    <w:rsid w:val="00D82C32"/>
    <w:rsid w:val="00D82D41"/>
    <w:rsid w:val="00D82D7C"/>
    <w:rsid w:val="00D82E16"/>
    <w:rsid w:val="00D82EAE"/>
    <w:rsid w:val="00D82EEF"/>
    <w:rsid w:val="00D82FB9"/>
    <w:rsid w:val="00D82FCF"/>
    <w:rsid w:val="00D8304E"/>
    <w:rsid w:val="00D83052"/>
    <w:rsid w:val="00D83127"/>
    <w:rsid w:val="00D831E7"/>
    <w:rsid w:val="00D83353"/>
    <w:rsid w:val="00D8337B"/>
    <w:rsid w:val="00D833A4"/>
    <w:rsid w:val="00D833E4"/>
    <w:rsid w:val="00D8346E"/>
    <w:rsid w:val="00D834BE"/>
    <w:rsid w:val="00D83576"/>
    <w:rsid w:val="00D835C6"/>
    <w:rsid w:val="00D8361B"/>
    <w:rsid w:val="00D8367F"/>
    <w:rsid w:val="00D836DD"/>
    <w:rsid w:val="00D836E1"/>
    <w:rsid w:val="00D8370E"/>
    <w:rsid w:val="00D83720"/>
    <w:rsid w:val="00D83739"/>
    <w:rsid w:val="00D837A0"/>
    <w:rsid w:val="00D8380C"/>
    <w:rsid w:val="00D83867"/>
    <w:rsid w:val="00D8388B"/>
    <w:rsid w:val="00D83893"/>
    <w:rsid w:val="00D838B0"/>
    <w:rsid w:val="00D838F9"/>
    <w:rsid w:val="00D8394A"/>
    <w:rsid w:val="00D83987"/>
    <w:rsid w:val="00D83A9A"/>
    <w:rsid w:val="00D83B40"/>
    <w:rsid w:val="00D83C99"/>
    <w:rsid w:val="00D83DAE"/>
    <w:rsid w:val="00D83DD0"/>
    <w:rsid w:val="00D83DF7"/>
    <w:rsid w:val="00D83E37"/>
    <w:rsid w:val="00D83E62"/>
    <w:rsid w:val="00D83E75"/>
    <w:rsid w:val="00D83ED0"/>
    <w:rsid w:val="00D83F1C"/>
    <w:rsid w:val="00D83F26"/>
    <w:rsid w:val="00D84112"/>
    <w:rsid w:val="00D8412B"/>
    <w:rsid w:val="00D84487"/>
    <w:rsid w:val="00D84534"/>
    <w:rsid w:val="00D84667"/>
    <w:rsid w:val="00D846A2"/>
    <w:rsid w:val="00D847AC"/>
    <w:rsid w:val="00D847BA"/>
    <w:rsid w:val="00D84801"/>
    <w:rsid w:val="00D84845"/>
    <w:rsid w:val="00D848F8"/>
    <w:rsid w:val="00D84901"/>
    <w:rsid w:val="00D84952"/>
    <w:rsid w:val="00D84983"/>
    <w:rsid w:val="00D84AC1"/>
    <w:rsid w:val="00D84ADC"/>
    <w:rsid w:val="00D84B27"/>
    <w:rsid w:val="00D84C13"/>
    <w:rsid w:val="00D84C24"/>
    <w:rsid w:val="00D84C2B"/>
    <w:rsid w:val="00D84E2F"/>
    <w:rsid w:val="00D84E68"/>
    <w:rsid w:val="00D84F28"/>
    <w:rsid w:val="00D84F4B"/>
    <w:rsid w:val="00D85024"/>
    <w:rsid w:val="00D850FD"/>
    <w:rsid w:val="00D8538A"/>
    <w:rsid w:val="00D853F5"/>
    <w:rsid w:val="00D854A2"/>
    <w:rsid w:val="00D854DC"/>
    <w:rsid w:val="00D85622"/>
    <w:rsid w:val="00D85685"/>
    <w:rsid w:val="00D856A8"/>
    <w:rsid w:val="00D856AE"/>
    <w:rsid w:val="00D8575B"/>
    <w:rsid w:val="00D8577B"/>
    <w:rsid w:val="00D8579E"/>
    <w:rsid w:val="00D857C1"/>
    <w:rsid w:val="00D857C5"/>
    <w:rsid w:val="00D857EC"/>
    <w:rsid w:val="00D85806"/>
    <w:rsid w:val="00D85894"/>
    <w:rsid w:val="00D858A6"/>
    <w:rsid w:val="00D85949"/>
    <w:rsid w:val="00D85A59"/>
    <w:rsid w:val="00D85AAC"/>
    <w:rsid w:val="00D85B89"/>
    <w:rsid w:val="00D85C89"/>
    <w:rsid w:val="00D85CBE"/>
    <w:rsid w:val="00D85CE9"/>
    <w:rsid w:val="00D85D26"/>
    <w:rsid w:val="00D85D2D"/>
    <w:rsid w:val="00D85E51"/>
    <w:rsid w:val="00D85F48"/>
    <w:rsid w:val="00D85FAB"/>
    <w:rsid w:val="00D86006"/>
    <w:rsid w:val="00D861A3"/>
    <w:rsid w:val="00D86281"/>
    <w:rsid w:val="00D862DF"/>
    <w:rsid w:val="00D86382"/>
    <w:rsid w:val="00D86420"/>
    <w:rsid w:val="00D8650C"/>
    <w:rsid w:val="00D86574"/>
    <w:rsid w:val="00D865F6"/>
    <w:rsid w:val="00D866F2"/>
    <w:rsid w:val="00D867D0"/>
    <w:rsid w:val="00D867DD"/>
    <w:rsid w:val="00D868CD"/>
    <w:rsid w:val="00D86A53"/>
    <w:rsid w:val="00D86A85"/>
    <w:rsid w:val="00D86AA2"/>
    <w:rsid w:val="00D86C28"/>
    <w:rsid w:val="00D86D00"/>
    <w:rsid w:val="00D86D1A"/>
    <w:rsid w:val="00D86D39"/>
    <w:rsid w:val="00D86E0B"/>
    <w:rsid w:val="00D86E5E"/>
    <w:rsid w:val="00D86EEA"/>
    <w:rsid w:val="00D86FC5"/>
    <w:rsid w:val="00D86FEE"/>
    <w:rsid w:val="00D86FFD"/>
    <w:rsid w:val="00D87110"/>
    <w:rsid w:val="00D8718B"/>
    <w:rsid w:val="00D8725D"/>
    <w:rsid w:val="00D87280"/>
    <w:rsid w:val="00D87285"/>
    <w:rsid w:val="00D8730C"/>
    <w:rsid w:val="00D873F0"/>
    <w:rsid w:val="00D87503"/>
    <w:rsid w:val="00D8753D"/>
    <w:rsid w:val="00D87569"/>
    <w:rsid w:val="00D87622"/>
    <w:rsid w:val="00D8765C"/>
    <w:rsid w:val="00D876E0"/>
    <w:rsid w:val="00D87717"/>
    <w:rsid w:val="00D87720"/>
    <w:rsid w:val="00D87776"/>
    <w:rsid w:val="00D87864"/>
    <w:rsid w:val="00D878D7"/>
    <w:rsid w:val="00D878FF"/>
    <w:rsid w:val="00D8792D"/>
    <w:rsid w:val="00D879AA"/>
    <w:rsid w:val="00D87A59"/>
    <w:rsid w:val="00D87ABA"/>
    <w:rsid w:val="00D87ACF"/>
    <w:rsid w:val="00D87BD9"/>
    <w:rsid w:val="00D87C13"/>
    <w:rsid w:val="00D87D0C"/>
    <w:rsid w:val="00D87DE0"/>
    <w:rsid w:val="00D87DE9"/>
    <w:rsid w:val="00D87E2B"/>
    <w:rsid w:val="00D87E5F"/>
    <w:rsid w:val="00D87E74"/>
    <w:rsid w:val="00D87E88"/>
    <w:rsid w:val="00D87F55"/>
    <w:rsid w:val="00D87F68"/>
    <w:rsid w:val="00D9008C"/>
    <w:rsid w:val="00D9016E"/>
    <w:rsid w:val="00D9018F"/>
    <w:rsid w:val="00D901D0"/>
    <w:rsid w:val="00D90259"/>
    <w:rsid w:val="00D90278"/>
    <w:rsid w:val="00D90396"/>
    <w:rsid w:val="00D903FC"/>
    <w:rsid w:val="00D90713"/>
    <w:rsid w:val="00D9071F"/>
    <w:rsid w:val="00D90747"/>
    <w:rsid w:val="00D907A1"/>
    <w:rsid w:val="00D907E2"/>
    <w:rsid w:val="00D90838"/>
    <w:rsid w:val="00D908C1"/>
    <w:rsid w:val="00D908CE"/>
    <w:rsid w:val="00D90960"/>
    <w:rsid w:val="00D909D0"/>
    <w:rsid w:val="00D90C51"/>
    <w:rsid w:val="00D90C5D"/>
    <w:rsid w:val="00D90D17"/>
    <w:rsid w:val="00D90D54"/>
    <w:rsid w:val="00D90D6F"/>
    <w:rsid w:val="00D90E0C"/>
    <w:rsid w:val="00D90F71"/>
    <w:rsid w:val="00D90F9F"/>
    <w:rsid w:val="00D90FF6"/>
    <w:rsid w:val="00D9100E"/>
    <w:rsid w:val="00D9106A"/>
    <w:rsid w:val="00D910FB"/>
    <w:rsid w:val="00D911E6"/>
    <w:rsid w:val="00D912B2"/>
    <w:rsid w:val="00D913CE"/>
    <w:rsid w:val="00D91469"/>
    <w:rsid w:val="00D9148D"/>
    <w:rsid w:val="00D914A0"/>
    <w:rsid w:val="00D914F5"/>
    <w:rsid w:val="00D915A9"/>
    <w:rsid w:val="00D9168E"/>
    <w:rsid w:val="00D91699"/>
    <w:rsid w:val="00D916F3"/>
    <w:rsid w:val="00D91762"/>
    <w:rsid w:val="00D9180F"/>
    <w:rsid w:val="00D9188C"/>
    <w:rsid w:val="00D918D7"/>
    <w:rsid w:val="00D9192E"/>
    <w:rsid w:val="00D91BD5"/>
    <w:rsid w:val="00D91C87"/>
    <w:rsid w:val="00D91D15"/>
    <w:rsid w:val="00D91D32"/>
    <w:rsid w:val="00D91EAB"/>
    <w:rsid w:val="00D91EE4"/>
    <w:rsid w:val="00D91F2C"/>
    <w:rsid w:val="00D91F2D"/>
    <w:rsid w:val="00D91F40"/>
    <w:rsid w:val="00D91FE2"/>
    <w:rsid w:val="00D921C1"/>
    <w:rsid w:val="00D921FD"/>
    <w:rsid w:val="00D9221B"/>
    <w:rsid w:val="00D92238"/>
    <w:rsid w:val="00D92272"/>
    <w:rsid w:val="00D9227E"/>
    <w:rsid w:val="00D922B9"/>
    <w:rsid w:val="00D922F3"/>
    <w:rsid w:val="00D92457"/>
    <w:rsid w:val="00D924D7"/>
    <w:rsid w:val="00D92528"/>
    <w:rsid w:val="00D925F6"/>
    <w:rsid w:val="00D925FD"/>
    <w:rsid w:val="00D926C1"/>
    <w:rsid w:val="00D926E0"/>
    <w:rsid w:val="00D92752"/>
    <w:rsid w:val="00D927E0"/>
    <w:rsid w:val="00D92805"/>
    <w:rsid w:val="00D92834"/>
    <w:rsid w:val="00D9284F"/>
    <w:rsid w:val="00D92984"/>
    <w:rsid w:val="00D929FC"/>
    <w:rsid w:val="00D92A29"/>
    <w:rsid w:val="00D92A3B"/>
    <w:rsid w:val="00D92A48"/>
    <w:rsid w:val="00D92B1C"/>
    <w:rsid w:val="00D92BB2"/>
    <w:rsid w:val="00D92CE6"/>
    <w:rsid w:val="00D92D09"/>
    <w:rsid w:val="00D92D41"/>
    <w:rsid w:val="00D92E4C"/>
    <w:rsid w:val="00D92F12"/>
    <w:rsid w:val="00D930D7"/>
    <w:rsid w:val="00D931E3"/>
    <w:rsid w:val="00D932A9"/>
    <w:rsid w:val="00D933A6"/>
    <w:rsid w:val="00D9342E"/>
    <w:rsid w:val="00D934EA"/>
    <w:rsid w:val="00D9369D"/>
    <w:rsid w:val="00D93707"/>
    <w:rsid w:val="00D9373E"/>
    <w:rsid w:val="00D93759"/>
    <w:rsid w:val="00D938AD"/>
    <w:rsid w:val="00D938E7"/>
    <w:rsid w:val="00D938F4"/>
    <w:rsid w:val="00D93971"/>
    <w:rsid w:val="00D93B8F"/>
    <w:rsid w:val="00D93CCF"/>
    <w:rsid w:val="00D93DA9"/>
    <w:rsid w:val="00D93E8D"/>
    <w:rsid w:val="00D93F22"/>
    <w:rsid w:val="00D93F4B"/>
    <w:rsid w:val="00D93FEF"/>
    <w:rsid w:val="00D94064"/>
    <w:rsid w:val="00D9409E"/>
    <w:rsid w:val="00D940E3"/>
    <w:rsid w:val="00D94160"/>
    <w:rsid w:val="00D942D7"/>
    <w:rsid w:val="00D94319"/>
    <w:rsid w:val="00D94331"/>
    <w:rsid w:val="00D9436C"/>
    <w:rsid w:val="00D9438E"/>
    <w:rsid w:val="00D94479"/>
    <w:rsid w:val="00D94532"/>
    <w:rsid w:val="00D945F3"/>
    <w:rsid w:val="00D94657"/>
    <w:rsid w:val="00D94659"/>
    <w:rsid w:val="00D9469F"/>
    <w:rsid w:val="00D947A6"/>
    <w:rsid w:val="00D947B4"/>
    <w:rsid w:val="00D947F0"/>
    <w:rsid w:val="00D94900"/>
    <w:rsid w:val="00D94906"/>
    <w:rsid w:val="00D949FE"/>
    <w:rsid w:val="00D94AC4"/>
    <w:rsid w:val="00D94AD2"/>
    <w:rsid w:val="00D94B00"/>
    <w:rsid w:val="00D94B92"/>
    <w:rsid w:val="00D94C25"/>
    <w:rsid w:val="00D94C31"/>
    <w:rsid w:val="00D94DE8"/>
    <w:rsid w:val="00D95007"/>
    <w:rsid w:val="00D9505C"/>
    <w:rsid w:val="00D9509F"/>
    <w:rsid w:val="00D950E7"/>
    <w:rsid w:val="00D95146"/>
    <w:rsid w:val="00D951E2"/>
    <w:rsid w:val="00D9523F"/>
    <w:rsid w:val="00D95261"/>
    <w:rsid w:val="00D952CD"/>
    <w:rsid w:val="00D95301"/>
    <w:rsid w:val="00D9530A"/>
    <w:rsid w:val="00D95367"/>
    <w:rsid w:val="00D95498"/>
    <w:rsid w:val="00D955B4"/>
    <w:rsid w:val="00D95628"/>
    <w:rsid w:val="00D95705"/>
    <w:rsid w:val="00D95751"/>
    <w:rsid w:val="00D95798"/>
    <w:rsid w:val="00D95812"/>
    <w:rsid w:val="00D95874"/>
    <w:rsid w:val="00D959F4"/>
    <w:rsid w:val="00D95A1B"/>
    <w:rsid w:val="00D95A24"/>
    <w:rsid w:val="00D95B04"/>
    <w:rsid w:val="00D95B2C"/>
    <w:rsid w:val="00D95BCB"/>
    <w:rsid w:val="00D95C98"/>
    <w:rsid w:val="00D95CB8"/>
    <w:rsid w:val="00D95D3C"/>
    <w:rsid w:val="00D95EDA"/>
    <w:rsid w:val="00D95F21"/>
    <w:rsid w:val="00D95F87"/>
    <w:rsid w:val="00D95F94"/>
    <w:rsid w:val="00D95FAC"/>
    <w:rsid w:val="00D9611B"/>
    <w:rsid w:val="00D9621D"/>
    <w:rsid w:val="00D96230"/>
    <w:rsid w:val="00D962A1"/>
    <w:rsid w:val="00D9650D"/>
    <w:rsid w:val="00D9654C"/>
    <w:rsid w:val="00D9671D"/>
    <w:rsid w:val="00D967F6"/>
    <w:rsid w:val="00D967FB"/>
    <w:rsid w:val="00D96874"/>
    <w:rsid w:val="00D9693E"/>
    <w:rsid w:val="00D9697B"/>
    <w:rsid w:val="00D96A5A"/>
    <w:rsid w:val="00D96A6F"/>
    <w:rsid w:val="00D96B62"/>
    <w:rsid w:val="00D96B92"/>
    <w:rsid w:val="00D96B97"/>
    <w:rsid w:val="00D96D13"/>
    <w:rsid w:val="00D96D26"/>
    <w:rsid w:val="00D96EB1"/>
    <w:rsid w:val="00D97022"/>
    <w:rsid w:val="00D97069"/>
    <w:rsid w:val="00D971C1"/>
    <w:rsid w:val="00D97295"/>
    <w:rsid w:val="00D97312"/>
    <w:rsid w:val="00D973DB"/>
    <w:rsid w:val="00D9751D"/>
    <w:rsid w:val="00D9753F"/>
    <w:rsid w:val="00D9761A"/>
    <w:rsid w:val="00D97664"/>
    <w:rsid w:val="00D976D7"/>
    <w:rsid w:val="00D97742"/>
    <w:rsid w:val="00D977D8"/>
    <w:rsid w:val="00D9786E"/>
    <w:rsid w:val="00D9788A"/>
    <w:rsid w:val="00D9788C"/>
    <w:rsid w:val="00D978E7"/>
    <w:rsid w:val="00D97938"/>
    <w:rsid w:val="00D97A18"/>
    <w:rsid w:val="00D97B4B"/>
    <w:rsid w:val="00D97B8A"/>
    <w:rsid w:val="00D97BFA"/>
    <w:rsid w:val="00D97D49"/>
    <w:rsid w:val="00D97E2E"/>
    <w:rsid w:val="00D97E56"/>
    <w:rsid w:val="00DA006D"/>
    <w:rsid w:val="00DA00F4"/>
    <w:rsid w:val="00DA01BD"/>
    <w:rsid w:val="00DA01E3"/>
    <w:rsid w:val="00DA022D"/>
    <w:rsid w:val="00DA023B"/>
    <w:rsid w:val="00DA02AC"/>
    <w:rsid w:val="00DA02C7"/>
    <w:rsid w:val="00DA032D"/>
    <w:rsid w:val="00DA0355"/>
    <w:rsid w:val="00DA042B"/>
    <w:rsid w:val="00DA04B8"/>
    <w:rsid w:val="00DA05AF"/>
    <w:rsid w:val="00DA05D8"/>
    <w:rsid w:val="00DA063E"/>
    <w:rsid w:val="00DA0666"/>
    <w:rsid w:val="00DA077B"/>
    <w:rsid w:val="00DA07DF"/>
    <w:rsid w:val="00DA0817"/>
    <w:rsid w:val="00DA085F"/>
    <w:rsid w:val="00DA093B"/>
    <w:rsid w:val="00DA093F"/>
    <w:rsid w:val="00DA0959"/>
    <w:rsid w:val="00DA095B"/>
    <w:rsid w:val="00DA09BA"/>
    <w:rsid w:val="00DA09E4"/>
    <w:rsid w:val="00DA0B34"/>
    <w:rsid w:val="00DA0B4B"/>
    <w:rsid w:val="00DA0B7D"/>
    <w:rsid w:val="00DA0E2C"/>
    <w:rsid w:val="00DA0E52"/>
    <w:rsid w:val="00DA0EBE"/>
    <w:rsid w:val="00DA0F06"/>
    <w:rsid w:val="00DA0F0C"/>
    <w:rsid w:val="00DA0F4D"/>
    <w:rsid w:val="00DA104E"/>
    <w:rsid w:val="00DA113C"/>
    <w:rsid w:val="00DA11D1"/>
    <w:rsid w:val="00DA1324"/>
    <w:rsid w:val="00DA13A8"/>
    <w:rsid w:val="00DA13D0"/>
    <w:rsid w:val="00DA14E6"/>
    <w:rsid w:val="00DA14F5"/>
    <w:rsid w:val="00DA151A"/>
    <w:rsid w:val="00DA154F"/>
    <w:rsid w:val="00DA159C"/>
    <w:rsid w:val="00DA15B2"/>
    <w:rsid w:val="00DA15C0"/>
    <w:rsid w:val="00DA15D5"/>
    <w:rsid w:val="00DA15F8"/>
    <w:rsid w:val="00DA1654"/>
    <w:rsid w:val="00DA16C1"/>
    <w:rsid w:val="00DA1839"/>
    <w:rsid w:val="00DA1886"/>
    <w:rsid w:val="00DA18BC"/>
    <w:rsid w:val="00DA1919"/>
    <w:rsid w:val="00DA1973"/>
    <w:rsid w:val="00DA19AF"/>
    <w:rsid w:val="00DA1AEF"/>
    <w:rsid w:val="00DA1B54"/>
    <w:rsid w:val="00DA1C6D"/>
    <w:rsid w:val="00DA1D4A"/>
    <w:rsid w:val="00DA1E17"/>
    <w:rsid w:val="00DA1E62"/>
    <w:rsid w:val="00DA1EA5"/>
    <w:rsid w:val="00DA1EAF"/>
    <w:rsid w:val="00DA1EDA"/>
    <w:rsid w:val="00DA1F09"/>
    <w:rsid w:val="00DA1F26"/>
    <w:rsid w:val="00DA1F6B"/>
    <w:rsid w:val="00DA1FA5"/>
    <w:rsid w:val="00DA1FB0"/>
    <w:rsid w:val="00DA20E0"/>
    <w:rsid w:val="00DA21AB"/>
    <w:rsid w:val="00DA21D9"/>
    <w:rsid w:val="00DA21DC"/>
    <w:rsid w:val="00DA21FD"/>
    <w:rsid w:val="00DA2265"/>
    <w:rsid w:val="00DA2414"/>
    <w:rsid w:val="00DA24F2"/>
    <w:rsid w:val="00DA2558"/>
    <w:rsid w:val="00DA25FE"/>
    <w:rsid w:val="00DA262B"/>
    <w:rsid w:val="00DA2664"/>
    <w:rsid w:val="00DA2673"/>
    <w:rsid w:val="00DA26CB"/>
    <w:rsid w:val="00DA26FC"/>
    <w:rsid w:val="00DA2751"/>
    <w:rsid w:val="00DA275E"/>
    <w:rsid w:val="00DA2895"/>
    <w:rsid w:val="00DA28A5"/>
    <w:rsid w:val="00DA28D6"/>
    <w:rsid w:val="00DA2920"/>
    <w:rsid w:val="00DA299C"/>
    <w:rsid w:val="00DA29EE"/>
    <w:rsid w:val="00DA2A17"/>
    <w:rsid w:val="00DA2A59"/>
    <w:rsid w:val="00DA2B91"/>
    <w:rsid w:val="00DA2BC1"/>
    <w:rsid w:val="00DA2BDC"/>
    <w:rsid w:val="00DA2BE6"/>
    <w:rsid w:val="00DA2D3C"/>
    <w:rsid w:val="00DA2D62"/>
    <w:rsid w:val="00DA2D6A"/>
    <w:rsid w:val="00DA2E49"/>
    <w:rsid w:val="00DA2FC3"/>
    <w:rsid w:val="00DA3149"/>
    <w:rsid w:val="00DA31CC"/>
    <w:rsid w:val="00DA330B"/>
    <w:rsid w:val="00DA3353"/>
    <w:rsid w:val="00DA33A1"/>
    <w:rsid w:val="00DA33C6"/>
    <w:rsid w:val="00DA33C9"/>
    <w:rsid w:val="00DA33FE"/>
    <w:rsid w:val="00DA3450"/>
    <w:rsid w:val="00DA34B9"/>
    <w:rsid w:val="00DA34FF"/>
    <w:rsid w:val="00DA359B"/>
    <w:rsid w:val="00DA361F"/>
    <w:rsid w:val="00DA377B"/>
    <w:rsid w:val="00DA37B3"/>
    <w:rsid w:val="00DA382E"/>
    <w:rsid w:val="00DA3ABA"/>
    <w:rsid w:val="00DA3CD9"/>
    <w:rsid w:val="00DA3DA9"/>
    <w:rsid w:val="00DA3E83"/>
    <w:rsid w:val="00DA3E89"/>
    <w:rsid w:val="00DA3F0F"/>
    <w:rsid w:val="00DA3F1F"/>
    <w:rsid w:val="00DA3F20"/>
    <w:rsid w:val="00DA3F9F"/>
    <w:rsid w:val="00DA4066"/>
    <w:rsid w:val="00DA40CB"/>
    <w:rsid w:val="00DA40DF"/>
    <w:rsid w:val="00DA4105"/>
    <w:rsid w:val="00DA4261"/>
    <w:rsid w:val="00DA43C9"/>
    <w:rsid w:val="00DA441C"/>
    <w:rsid w:val="00DA445E"/>
    <w:rsid w:val="00DA45A7"/>
    <w:rsid w:val="00DA469E"/>
    <w:rsid w:val="00DA4777"/>
    <w:rsid w:val="00DA4785"/>
    <w:rsid w:val="00DA4887"/>
    <w:rsid w:val="00DA490C"/>
    <w:rsid w:val="00DA4A0B"/>
    <w:rsid w:val="00DA4C45"/>
    <w:rsid w:val="00DA4C63"/>
    <w:rsid w:val="00DA4CE3"/>
    <w:rsid w:val="00DA4D2D"/>
    <w:rsid w:val="00DA4D83"/>
    <w:rsid w:val="00DA4DFE"/>
    <w:rsid w:val="00DA5010"/>
    <w:rsid w:val="00DA5090"/>
    <w:rsid w:val="00DA50EE"/>
    <w:rsid w:val="00DA51FC"/>
    <w:rsid w:val="00DA5232"/>
    <w:rsid w:val="00DA5261"/>
    <w:rsid w:val="00DA528D"/>
    <w:rsid w:val="00DA52F7"/>
    <w:rsid w:val="00DA5430"/>
    <w:rsid w:val="00DA5432"/>
    <w:rsid w:val="00DA5449"/>
    <w:rsid w:val="00DA5453"/>
    <w:rsid w:val="00DA555F"/>
    <w:rsid w:val="00DA568C"/>
    <w:rsid w:val="00DA5770"/>
    <w:rsid w:val="00DA5836"/>
    <w:rsid w:val="00DA599B"/>
    <w:rsid w:val="00DA5BAC"/>
    <w:rsid w:val="00DA5C24"/>
    <w:rsid w:val="00DA5C4B"/>
    <w:rsid w:val="00DA5C55"/>
    <w:rsid w:val="00DA5CF3"/>
    <w:rsid w:val="00DA5D06"/>
    <w:rsid w:val="00DA5D18"/>
    <w:rsid w:val="00DA5D1C"/>
    <w:rsid w:val="00DA5D4B"/>
    <w:rsid w:val="00DA5DBF"/>
    <w:rsid w:val="00DA5DC5"/>
    <w:rsid w:val="00DA5DD0"/>
    <w:rsid w:val="00DA5F90"/>
    <w:rsid w:val="00DA5F98"/>
    <w:rsid w:val="00DA608D"/>
    <w:rsid w:val="00DA609B"/>
    <w:rsid w:val="00DA620F"/>
    <w:rsid w:val="00DA62A9"/>
    <w:rsid w:val="00DA6392"/>
    <w:rsid w:val="00DA63B0"/>
    <w:rsid w:val="00DA64B4"/>
    <w:rsid w:val="00DA650F"/>
    <w:rsid w:val="00DA65B0"/>
    <w:rsid w:val="00DA6627"/>
    <w:rsid w:val="00DA672E"/>
    <w:rsid w:val="00DA695A"/>
    <w:rsid w:val="00DA6A71"/>
    <w:rsid w:val="00DA6B4A"/>
    <w:rsid w:val="00DA6BDA"/>
    <w:rsid w:val="00DA6C2C"/>
    <w:rsid w:val="00DA6C9F"/>
    <w:rsid w:val="00DA6D8B"/>
    <w:rsid w:val="00DA6DD8"/>
    <w:rsid w:val="00DA6DDC"/>
    <w:rsid w:val="00DA6E8C"/>
    <w:rsid w:val="00DA6F8C"/>
    <w:rsid w:val="00DA6FA2"/>
    <w:rsid w:val="00DA7116"/>
    <w:rsid w:val="00DA712D"/>
    <w:rsid w:val="00DA7130"/>
    <w:rsid w:val="00DA71E4"/>
    <w:rsid w:val="00DA7287"/>
    <w:rsid w:val="00DA7310"/>
    <w:rsid w:val="00DA7533"/>
    <w:rsid w:val="00DA75A4"/>
    <w:rsid w:val="00DA7624"/>
    <w:rsid w:val="00DA764C"/>
    <w:rsid w:val="00DA7672"/>
    <w:rsid w:val="00DA767A"/>
    <w:rsid w:val="00DA76BA"/>
    <w:rsid w:val="00DA76C7"/>
    <w:rsid w:val="00DA7730"/>
    <w:rsid w:val="00DA7879"/>
    <w:rsid w:val="00DA7906"/>
    <w:rsid w:val="00DA7924"/>
    <w:rsid w:val="00DA799F"/>
    <w:rsid w:val="00DA7B20"/>
    <w:rsid w:val="00DA7B60"/>
    <w:rsid w:val="00DA7BCD"/>
    <w:rsid w:val="00DA7BE8"/>
    <w:rsid w:val="00DA7C14"/>
    <w:rsid w:val="00DA7C4F"/>
    <w:rsid w:val="00DA7D03"/>
    <w:rsid w:val="00DA7D83"/>
    <w:rsid w:val="00DA7DA0"/>
    <w:rsid w:val="00DA7E0F"/>
    <w:rsid w:val="00DA7EA1"/>
    <w:rsid w:val="00DA7EAA"/>
    <w:rsid w:val="00DA7EC3"/>
    <w:rsid w:val="00DA7F6D"/>
    <w:rsid w:val="00DB014F"/>
    <w:rsid w:val="00DB0185"/>
    <w:rsid w:val="00DB01D9"/>
    <w:rsid w:val="00DB0207"/>
    <w:rsid w:val="00DB02A5"/>
    <w:rsid w:val="00DB037C"/>
    <w:rsid w:val="00DB038F"/>
    <w:rsid w:val="00DB03CE"/>
    <w:rsid w:val="00DB0503"/>
    <w:rsid w:val="00DB050D"/>
    <w:rsid w:val="00DB0550"/>
    <w:rsid w:val="00DB05B3"/>
    <w:rsid w:val="00DB0620"/>
    <w:rsid w:val="00DB0657"/>
    <w:rsid w:val="00DB06B3"/>
    <w:rsid w:val="00DB081B"/>
    <w:rsid w:val="00DB0874"/>
    <w:rsid w:val="00DB0884"/>
    <w:rsid w:val="00DB08BF"/>
    <w:rsid w:val="00DB0923"/>
    <w:rsid w:val="00DB09BA"/>
    <w:rsid w:val="00DB0BAB"/>
    <w:rsid w:val="00DB0BB2"/>
    <w:rsid w:val="00DB0C2C"/>
    <w:rsid w:val="00DB0C51"/>
    <w:rsid w:val="00DB0CEC"/>
    <w:rsid w:val="00DB0CFC"/>
    <w:rsid w:val="00DB0D69"/>
    <w:rsid w:val="00DB0DC2"/>
    <w:rsid w:val="00DB0DD5"/>
    <w:rsid w:val="00DB0E58"/>
    <w:rsid w:val="00DB0FD1"/>
    <w:rsid w:val="00DB0FD6"/>
    <w:rsid w:val="00DB0FD9"/>
    <w:rsid w:val="00DB1092"/>
    <w:rsid w:val="00DB1131"/>
    <w:rsid w:val="00DB11B6"/>
    <w:rsid w:val="00DB1242"/>
    <w:rsid w:val="00DB1321"/>
    <w:rsid w:val="00DB142B"/>
    <w:rsid w:val="00DB142D"/>
    <w:rsid w:val="00DB14C9"/>
    <w:rsid w:val="00DB14FC"/>
    <w:rsid w:val="00DB150D"/>
    <w:rsid w:val="00DB1565"/>
    <w:rsid w:val="00DB1681"/>
    <w:rsid w:val="00DB16EB"/>
    <w:rsid w:val="00DB1788"/>
    <w:rsid w:val="00DB1A38"/>
    <w:rsid w:val="00DB1B16"/>
    <w:rsid w:val="00DB1B18"/>
    <w:rsid w:val="00DB1C6F"/>
    <w:rsid w:val="00DB1C91"/>
    <w:rsid w:val="00DB1CB5"/>
    <w:rsid w:val="00DB1F34"/>
    <w:rsid w:val="00DB2034"/>
    <w:rsid w:val="00DB211E"/>
    <w:rsid w:val="00DB21AA"/>
    <w:rsid w:val="00DB233A"/>
    <w:rsid w:val="00DB2500"/>
    <w:rsid w:val="00DB256F"/>
    <w:rsid w:val="00DB25E6"/>
    <w:rsid w:val="00DB273D"/>
    <w:rsid w:val="00DB27A8"/>
    <w:rsid w:val="00DB28D7"/>
    <w:rsid w:val="00DB2942"/>
    <w:rsid w:val="00DB2ADB"/>
    <w:rsid w:val="00DB2B4B"/>
    <w:rsid w:val="00DB2B86"/>
    <w:rsid w:val="00DB2D01"/>
    <w:rsid w:val="00DB2E91"/>
    <w:rsid w:val="00DB2F2B"/>
    <w:rsid w:val="00DB2F3E"/>
    <w:rsid w:val="00DB2FC4"/>
    <w:rsid w:val="00DB3111"/>
    <w:rsid w:val="00DB314C"/>
    <w:rsid w:val="00DB3173"/>
    <w:rsid w:val="00DB32B6"/>
    <w:rsid w:val="00DB3445"/>
    <w:rsid w:val="00DB34CB"/>
    <w:rsid w:val="00DB352B"/>
    <w:rsid w:val="00DB3534"/>
    <w:rsid w:val="00DB35AB"/>
    <w:rsid w:val="00DB35E6"/>
    <w:rsid w:val="00DB3612"/>
    <w:rsid w:val="00DB363B"/>
    <w:rsid w:val="00DB3668"/>
    <w:rsid w:val="00DB371A"/>
    <w:rsid w:val="00DB385E"/>
    <w:rsid w:val="00DB38C4"/>
    <w:rsid w:val="00DB38CA"/>
    <w:rsid w:val="00DB3967"/>
    <w:rsid w:val="00DB39F1"/>
    <w:rsid w:val="00DB3AD9"/>
    <w:rsid w:val="00DB3BD0"/>
    <w:rsid w:val="00DB3CB1"/>
    <w:rsid w:val="00DB3D7A"/>
    <w:rsid w:val="00DB3DDA"/>
    <w:rsid w:val="00DB3E40"/>
    <w:rsid w:val="00DB3E79"/>
    <w:rsid w:val="00DB3F39"/>
    <w:rsid w:val="00DB3FAA"/>
    <w:rsid w:val="00DB401D"/>
    <w:rsid w:val="00DB40A4"/>
    <w:rsid w:val="00DB418F"/>
    <w:rsid w:val="00DB4357"/>
    <w:rsid w:val="00DB43CA"/>
    <w:rsid w:val="00DB4428"/>
    <w:rsid w:val="00DB446C"/>
    <w:rsid w:val="00DB4492"/>
    <w:rsid w:val="00DB4679"/>
    <w:rsid w:val="00DB4812"/>
    <w:rsid w:val="00DB483B"/>
    <w:rsid w:val="00DB48EF"/>
    <w:rsid w:val="00DB4903"/>
    <w:rsid w:val="00DB49ED"/>
    <w:rsid w:val="00DB4A28"/>
    <w:rsid w:val="00DB4A96"/>
    <w:rsid w:val="00DB4B07"/>
    <w:rsid w:val="00DB4B2B"/>
    <w:rsid w:val="00DB4C3B"/>
    <w:rsid w:val="00DB4C4B"/>
    <w:rsid w:val="00DB4C99"/>
    <w:rsid w:val="00DB4D30"/>
    <w:rsid w:val="00DB4DDD"/>
    <w:rsid w:val="00DB4E90"/>
    <w:rsid w:val="00DB4F7A"/>
    <w:rsid w:val="00DB50FD"/>
    <w:rsid w:val="00DB5183"/>
    <w:rsid w:val="00DB51E0"/>
    <w:rsid w:val="00DB5396"/>
    <w:rsid w:val="00DB53DF"/>
    <w:rsid w:val="00DB54CD"/>
    <w:rsid w:val="00DB55A6"/>
    <w:rsid w:val="00DB5607"/>
    <w:rsid w:val="00DB5643"/>
    <w:rsid w:val="00DB566F"/>
    <w:rsid w:val="00DB5674"/>
    <w:rsid w:val="00DB5694"/>
    <w:rsid w:val="00DB56EF"/>
    <w:rsid w:val="00DB586B"/>
    <w:rsid w:val="00DB59EB"/>
    <w:rsid w:val="00DB59F3"/>
    <w:rsid w:val="00DB5A2A"/>
    <w:rsid w:val="00DB5A3D"/>
    <w:rsid w:val="00DB5A98"/>
    <w:rsid w:val="00DB5B16"/>
    <w:rsid w:val="00DB5BA0"/>
    <w:rsid w:val="00DB5BE1"/>
    <w:rsid w:val="00DB5C3E"/>
    <w:rsid w:val="00DB5D26"/>
    <w:rsid w:val="00DB5D8F"/>
    <w:rsid w:val="00DB5D9D"/>
    <w:rsid w:val="00DB5DBE"/>
    <w:rsid w:val="00DB5EE8"/>
    <w:rsid w:val="00DB5F20"/>
    <w:rsid w:val="00DB5F23"/>
    <w:rsid w:val="00DB5F45"/>
    <w:rsid w:val="00DB6003"/>
    <w:rsid w:val="00DB6017"/>
    <w:rsid w:val="00DB6031"/>
    <w:rsid w:val="00DB6045"/>
    <w:rsid w:val="00DB60D4"/>
    <w:rsid w:val="00DB6195"/>
    <w:rsid w:val="00DB61D8"/>
    <w:rsid w:val="00DB6210"/>
    <w:rsid w:val="00DB6305"/>
    <w:rsid w:val="00DB6384"/>
    <w:rsid w:val="00DB6519"/>
    <w:rsid w:val="00DB6654"/>
    <w:rsid w:val="00DB66A4"/>
    <w:rsid w:val="00DB6733"/>
    <w:rsid w:val="00DB677F"/>
    <w:rsid w:val="00DB67D0"/>
    <w:rsid w:val="00DB6996"/>
    <w:rsid w:val="00DB69D7"/>
    <w:rsid w:val="00DB6A4F"/>
    <w:rsid w:val="00DB6A87"/>
    <w:rsid w:val="00DB6B12"/>
    <w:rsid w:val="00DB6B4D"/>
    <w:rsid w:val="00DB6B4F"/>
    <w:rsid w:val="00DB6D2A"/>
    <w:rsid w:val="00DB6E6B"/>
    <w:rsid w:val="00DB6E74"/>
    <w:rsid w:val="00DB6F3C"/>
    <w:rsid w:val="00DB6FA6"/>
    <w:rsid w:val="00DB70AB"/>
    <w:rsid w:val="00DB7198"/>
    <w:rsid w:val="00DB7261"/>
    <w:rsid w:val="00DB74EA"/>
    <w:rsid w:val="00DB7518"/>
    <w:rsid w:val="00DB756B"/>
    <w:rsid w:val="00DB7592"/>
    <w:rsid w:val="00DB765B"/>
    <w:rsid w:val="00DB7877"/>
    <w:rsid w:val="00DB7894"/>
    <w:rsid w:val="00DB78E4"/>
    <w:rsid w:val="00DB796D"/>
    <w:rsid w:val="00DB797F"/>
    <w:rsid w:val="00DB7B17"/>
    <w:rsid w:val="00DB7B40"/>
    <w:rsid w:val="00DB7C7A"/>
    <w:rsid w:val="00DB7D71"/>
    <w:rsid w:val="00DB7DB4"/>
    <w:rsid w:val="00DB7DCD"/>
    <w:rsid w:val="00DB7E54"/>
    <w:rsid w:val="00DB7E69"/>
    <w:rsid w:val="00DB7E6A"/>
    <w:rsid w:val="00DB7ECA"/>
    <w:rsid w:val="00DB7EF1"/>
    <w:rsid w:val="00DB7FBF"/>
    <w:rsid w:val="00DC000F"/>
    <w:rsid w:val="00DC0036"/>
    <w:rsid w:val="00DC019E"/>
    <w:rsid w:val="00DC01AE"/>
    <w:rsid w:val="00DC01B2"/>
    <w:rsid w:val="00DC01E5"/>
    <w:rsid w:val="00DC0228"/>
    <w:rsid w:val="00DC02DD"/>
    <w:rsid w:val="00DC030C"/>
    <w:rsid w:val="00DC0392"/>
    <w:rsid w:val="00DC03E6"/>
    <w:rsid w:val="00DC03FB"/>
    <w:rsid w:val="00DC0492"/>
    <w:rsid w:val="00DC05FD"/>
    <w:rsid w:val="00DC068E"/>
    <w:rsid w:val="00DC07AF"/>
    <w:rsid w:val="00DC086A"/>
    <w:rsid w:val="00DC08E1"/>
    <w:rsid w:val="00DC08F2"/>
    <w:rsid w:val="00DC095C"/>
    <w:rsid w:val="00DC0A6D"/>
    <w:rsid w:val="00DC0C62"/>
    <w:rsid w:val="00DC0C79"/>
    <w:rsid w:val="00DC0CA7"/>
    <w:rsid w:val="00DC0D1E"/>
    <w:rsid w:val="00DC0DBD"/>
    <w:rsid w:val="00DC0DDF"/>
    <w:rsid w:val="00DC0F40"/>
    <w:rsid w:val="00DC0F9A"/>
    <w:rsid w:val="00DC0FD3"/>
    <w:rsid w:val="00DC1012"/>
    <w:rsid w:val="00DC10B8"/>
    <w:rsid w:val="00DC11B0"/>
    <w:rsid w:val="00DC1289"/>
    <w:rsid w:val="00DC1320"/>
    <w:rsid w:val="00DC13E3"/>
    <w:rsid w:val="00DC151F"/>
    <w:rsid w:val="00DC1627"/>
    <w:rsid w:val="00DC1668"/>
    <w:rsid w:val="00DC16AF"/>
    <w:rsid w:val="00DC16DD"/>
    <w:rsid w:val="00DC17C8"/>
    <w:rsid w:val="00DC17CE"/>
    <w:rsid w:val="00DC17D3"/>
    <w:rsid w:val="00DC17D6"/>
    <w:rsid w:val="00DC180F"/>
    <w:rsid w:val="00DC18A2"/>
    <w:rsid w:val="00DC18A4"/>
    <w:rsid w:val="00DC18D0"/>
    <w:rsid w:val="00DC1902"/>
    <w:rsid w:val="00DC1980"/>
    <w:rsid w:val="00DC1A14"/>
    <w:rsid w:val="00DC1A25"/>
    <w:rsid w:val="00DC1A26"/>
    <w:rsid w:val="00DC1ACE"/>
    <w:rsid w:val="00DC1B61"/>
    <w:rsid w:val="00DC1BCC"/>
    <w:rsid w:val="00DC1C54"/>
    <w:rsid w:val="00DC1D4B"/>
    <w:rsid w:val="00DC1E9A"/>
    <w:rsid w:val="00DC1F40"/>
    <w:rsid w:val="00DC1FBB"/>
    <w:rsid w:val="00DC1FE7"/>
    <w:rsid w:val="00DC21B5"/>
    <w:rsid w:val="00DC22D4"/>
    <w:rsid w:val="00DC2391"/>
    <w:rsid w:val="00DC2393"/>
    <w:rsid w:val="00DC2485"/>
    <w:rsid w:val="00DC24DC"/>
    <w:rsid w:val="00DC264F"/>
    <w:rsid w:val="00DC268D"/>
    <w:rsid w:val="00DC26AA"/>
    <w:rsid w:val="00DC2814"/>
    <w:rsid w:val="00DC287F"/>
    <w:rsid w:val="00DC291A"/>
    <w:rsid w:val="00DC2A92"/>
    <w:rsid w:val="00DC2B89"/>
    <w:rsid w:val="00DC2BCB"/>
    <w:rsid w:val="00DC2BE0"/>
    <w:rsid w:val="00DC2BE4"/>
    <w:rsid w:val="00DC2BF3"/>
    <w:rsid w:val="00DC2BF5"/>
    <w:rsid w:val="00DC2C9D"/>
    <w:rsid w:val="00DC2CEF"/>
    <w:rsid w:val="00DC2D52"/>
    <w:rsid w:val="00DC2D72"/>
    <w:rsid w:val="00DC2EB3"/>
    <w:rsid w:val="00DC2ED9"/>
    <w:rsid w:val="00DC2EEE"/>
    <w:rsid w:val="00DC2FE0"/>
    <w:rsid w:val="00DC3069"/>
    <w:rsid w:val="00DC30E0"/>
    <w:rsid w:val="00DC325E"/>
    <w:rsid w:val="00DC330A"/>
    <w:rsid w:val="00DC338B"/>
    <w:rsid w:val="00DC339F"/>
    <w:rsid w:val="00DC359E"/>
    <w:rsid w:val="00DC35AE"/>
    <w:rsid w:val="00DC360F"/>
    <w:rsid w:val="00DC3717"/>
    <w:rsid w:val="00DC3719"/>
    <w:rsid w:val="00DC373C"/>
    <w:rsid w:val="00DC37E7"/>
    <w:rsid w:val="00DC3852"/>
    <w:rsid w:val="00DC3856"/>
    <w:rsid w:val="00DC38C2"/>
    <w:rsid w:val="00DC38D8"/>
    <w:rsid w:val="00DC3AB1"/>
    <w:rsid w:val="00DC3ABA"/>
    <w:rsid w:val="00DC3B66"/>
    <w:rsid w:val="00DC3B76"/>
    <w:rsid w:val="00DC3B77"/>
    <w:rsid w:val="00DC3CAC"/>
    <w:rsid w:val="00DC3D41"/>
    <w:rsid w:val="00DC3DF6"/>
    <w:rsid w:val="00DC3E7E"/>
    <w:rsid w:val="00DC3F27"/>
    <w:rsid w:val="00DC3FC5"/>
    <w:rsid w:val="00DC3FC7"/>
    <w:rsid w:val="00DC4097"/>
    <w:rsid w:val="00DC40A3"/>
    <w:rsid w:val="00DC40A6"/>
    <w:rsid w:val="00DC40ED"/>
    <w:rsid w:val="00DC414E"/>
    <w:rsid w:val="00DC42CD"/>
    <w:rsid w:val="00DC4366"/>
    <w:rsid w:val="00DC4424"/>
    <w:rsid w:val="00DC44E2"/>
    <w:rsid w:val="00DC44FF"/>
    <w:rsid w:val="00DC46AB"/>
    <w:rsid w:val="00DC475F"/>
    <w:rsid w:val="00DC4767"/>
    <w:rsid w:val="00DC4871"/>
    <w:rsid w:val="00DC487B"/>
    <w:rsid w:val="00DC4896"/>
    <w:rsid w:val="00DC4903"/>
    <w:rsid w:val="00DC49E6"/>
    <w:rsid w:val="00DC4A40"/>
    <w:rsid w:val="00DC4A9D"/>
    <w:rsid w:val="00DC4CC9"/>
    <w:rsid w:val="00DC4CD4"/>
    <w:rsid w:val="00DC4D4A"/>
    <w:rsid w:val="00DC4D58"/>
    <w:rsid w:val="00DC4DAA"/>
    <w:rsid w:val="00DC4DC9"/>
    <w:rsid w:val="00DC4DEB"/>
    <w:rsid w:val="00DC4E2A"/>
    <w:rsid w:val="00DC4E45"/>
    <w:rsid w:val="00DC4ED7"/>
    <w:rsid w:val="00DC5059"/>
    <w:rsid w:val="00DC5088"/>
    <w:rsid w:val="00DC50E9"/>
    <w:rsid w:val="00DC5133"/>
    <w:rsid w:val="00DC51ED"/>
    <w:rsid w:val="00DC5262"/>
    <w:rsid w:val="00DC528C"/>
    <w:rsid w:val="00DC5319"/>
    <w:rsid w:val="00DC539C"/>
    <w:rsid w:val="00DC53C6"/>
    <w:rsid w:val="00DC5466"/>
    <w:rsid w:val="00DC54E7"/>
    <w:rsid w:val="00DC55F9"/>
    <w:rsid w:val="00DC5630"/>
    <w:rsid w:val="00DC5741"/>
    <w:rsid w:val="00DC57E4"/>
    <w:rsid w:val="00DC5876"/>
    <w:rsid w:val="00DC58F8"/>
    <w:rsid w:val="00DC597C"/>
    <w:rsid w:val="00DC5A37"/>
    <w:rsid w:val="00DC5C41"/>
    <w:rsid w:val="00DC5C6F"/>
    <w:rsid w:val="00DC5DA9"/>
    <w:rsid w:val="00DC5E73"/>
    <w:rsid w:val="00DC5F11"/>
    <w:rsid w:val="00DC5F2F"/>
    <w:rsid w:val="00DC5F4E"/>
    <w:rsid w:val="00DC5F7A"/>
    <w:rsid w:val="00DC604F"/>
    <w:rsid w:val="00DC616F"/>
    <w:rsid w:val="00DC6181"/>
    <w:rsid w:val="00DC61BD"/>
    <w:rsid w:val="00DC625E"/>
    <w:rsid w:val="00DC626F"/>
    <w:rsid w:val="00DC63B9"/>
    <w:rsid w:val="00DC65F9"/>
    <w:rsid w:val="00DC6672"/>
    <w:rsid w:val="00DC674E"/>
    <w:rsid w:val="00DC6839"/>
    <w:rsid w:val="00DC687B"/>
    <w:rsid w:val="00DC68CA"/>
    <w:rsid w:val="00DC68E4"/>
    <w:rsid w:val="00DC6936"/>
    <w:rsid w:val="00DC6A08"/>
    <w:rsid w:val="00DC6C78"/>
    <w:rsid w:val="00DC6C93"/>
    <w:rsid w:val="00DC6CE1"/>
    <w:rsid w:val="00DC6CE4"/>
    <w:rsid w:val="00DC6D42"/>
    <w:rsid w:val="00DC6DA0"/>
    <w:rsid w:val="00DC6F35"/>
    <w:rsid w:val="00DC7033"/>
    <w:rsid w:val="00DC7074"/>
    <w:rsid w:val="00DC710D"/>
    <w:rsid w:val="00DC7234"/>
    <w:rsid w:val="00DC7349"/>
    <w:rsid w:val="00DC73C0"/>
    <w:rsid w:val="00DC7463"/>
    <w:rsid w:val="00DC74CB"/>
    <w:rsid w:val="00DC755B"/>
    <w:rsid w:val="00DC75BD"/>
    <w:rsid w:val="00DC75D9"/>
    <w:rsid w:val="00DC75F6"/>
    <w:rsid w:val="00DC7779"/>
    <w:rsid w:val="00DC78DD"/>
    <w:rsid w:val="00DC78F7"/>
    <w:rsid w:val="00DC79C3"/>
    <w:rsid w:val="00DC7A07"/>
    <w:rsid w:val="00DC7A51"/>
    <w:rsid w:val="00DC7B0A"/>
    <w:rsid w:val="00DC7B0C"/>
    <w:rsid w:val="00DC7B70"/>
    <w:rsid w:val="00DC7BAF"/>
    <w:rsid w:val="00DC7BD4"/>
    <w:rsid w:val="00DC7DC3"/>
    <w:rsid w:val="00DC7E3F"/>
    <w:rsid w:val="00DC7E40"/>
    <w:rsid w:val="00DC7E42"/>
    <w:rsid w:val="00DC7ED7"/>
    <w:rsid w:val="00DC7F2E"/>
    <w:rsid w:val="00DC7F81"/>
    <w:rsid w:val="00DD00A8"/>
    <w:rsid w:val="00DD010E"/>
    <w:rsid w:val="00DD0134"/>
    <w:rsid w:val="00DD016D"/>
    <w:rsid w:val="00DD0190"/>
    <w:rsid w:val="00DD02A9"/>
    <w:rsid w:val="00DD0393"/>
    <w:rsid w:val="00DD0414"/>
    <w:rsid w:val="00DD04A5"/>
    <w:rsid w:val="00DD050A"/>
    <w:rsid w:val="00DD075C"/>
    <w:rsid w:val="00DD07BA"/>
    <w:rsid w:val="00DD08F4"/>
    <w:rsid w:val="00DD091A"/>
    <w:rsid w:val="00DD09E7"/>
    <w:rsid w:val="00DD0C1E"/>
    <w:rsid w:val="00DD0D72"/>
    <w:rsid w:val="00DD0DEA"/>
    <w:rsid w:val="00DD0EA7"/>
    <w:rsid w:val="00DD0F29"/>
    <w:rsid w:val="00DD0F3F"/>
    <w:rsid w:val="00DD0FE6"/>
    <w:rsid w:val="00DD1068"/>
    <w:rsid w:val="00DD1125"/>
    <w:rsid w:val="00DD115C"/>
    <w:rsid w:val="00DD1184"/>
    <w:rsid w:val="00DD11EB"/>
    <w:rsid w:val="00DD12D6"/>
    <w:rsid w:val="00DD12DA"/>
    <w:rsid w:val="00DD1340"/>
    <w:rsid w:val="00DD1440"/>
    <w:rsid w:val="00DD1527"/>
    <w:rsid w:val="00DD155A"/>
    <w:rsid w:val="00DD161D"/>
    <w:rsid w:val="00DD16B2"/>
    <w:rsid w:val="00DD16B3"/>
    <w:rsid w:val="00DD16C4"/>
    <w:rsid w:val="00DD1766"/>
    <w:rsid w:val="00DD187B"/>
    <w:rsid w:val="00DD18C6"/>
    <w:rsid w:val="00DD198B"/>
    <w:rsid w:val="00DD1AAE"/>
    <w:rsid w:val="00DD1AB4"/>
    <w:rsid w:val="00DD1B08"/>
    <w:rsid w:val="00DD1B72"/>
    <w:rsid w:val="00DD1D3D"/>
    <w:rsid w:val="00DD1DBE"/>
    <w:rsid w:val="00DD1DE8"/>
    <w:rsid w:val="00DD1EB0"/>
    <w:rsid w:val="00DD1F1B"/>
    <w:rsid w:val="00DD1F4B"/>
    <w:rsid w:val="00DD1F4E"/>
    <w:rsid w:val="00DD1FCF"/>
    <w:rsid w:val="00DD2071"/>
    <w:rsid w:val="00DD2080"/>
    <w:rsid w:val="00DD20C9"/>
    <w:rsid w:val="00DD20EB"/>
    <w:rsid w:val="00DD2157"/>
    <w:rsid w:val="00DD2254"/>
    <w:rsid w:val="00DD2287"/>
    <w:rsid w:val="00DD22AC"/>
    <w:rsid w:val="00DD22F4"/>
    <w:rsid w:val="00DD2306"/>
    <w:rsid w:val="00DD244E"/>
    <w:rsid w:val="00DD2520"/>
    <w:rsid w:val="00DD2597"/>
    <w:rsid w:val="00DD26A3"/>
    <w:rsid w:val="00DD285E"/>
    <w:rsid w:val="00DD2888"/>
    <w:rsid w:val="00DD28F2"/>
    <w:rsid w:val="00DD2909"/>
    <w:rsid w:val="00DD293A"/>
    <w:rsid w:val="00DD2986"/>
    <w:rsid w:val="00DD2A6B"/>
    <w:rsid w:val="00DD2C13"/>
    <w:rsid w:val="00DD2C33"/>
    <w:rsid w:val="00DD2DA7"/>
    <w:rsid w:val="00DD2DAA"/>
    <w:rsid w:val="00DD2DCA"/>
    <w:rsid w:val="00DD2E43"/>
    <w:rsid w:val="00DD2EB1"/>
    <w:rsid w:val="00DD2ED4"/>
    <w:rsid w:val="00DD2EDE"/>
    <w:rsid w:val="00DD2F37"/>
    <w:rsid w:val="00DD2FA2"/>
    <w:rsid w:val="00DD3079"/>
    <w:rsid w:val="00DD30B6"/>
    <w:rsid w:val="00DD32F6"/>
    <w:rsid w:val="00DD33B3"/>
    <w:rsid w:val="00DD34B0"/>
    <w:rsid w:val="00DD35B8"/>
    <w:rsid w:val="00DD35EC"/>
    <w:rsid w:val="00DD3600"/>
    <w:rsid w:val="00DD3668"/>
    <w:rsid w:val="00DD36CF"/>
    <w:rsid w:val="00DD36F7"/>
    <w:rsid w:val="00DD3705"/>
    <w:rsid w:val="00DD3776"/>
    <w:rsid w:val="00DD3784"/>
    <w:rsid w:val="00DD38E9"/>
    <w:rsid w:val="00DD395F"/>
    <w:rsid w:val="00DD3A2D"/>
    <w:rsid w:val="00DD3A7D"/>
    <w:rsid w:val="00DD3B10"/>
    <w:rsid w:val="00DD3B5E"/>
    <w:rsid w:val="00DD3B99"/>
    <w:rsid w:val="00DD3BBA"/>
    <w:rsid w:val="00DD3C2C"/>
    <w:rsid w:val="00DD3CD7"/>
    <w:rsid w:val="00DD3D39"/>
    <w:rsid w:val="00DD3DC4"/>
    <w:rsid w:val="00DD3E3E"/>
    <w:rsid w:val="00DD3E9C"/>
    <w:rsid w:val="00DD3EC4"/>
    <w:rsid w:val="00DD3F00"/>
    <w:rsid w:val="00DD3F1B"/>
    <w:rsid w:val="00DD3FEC"/>
    <w:rsid w:val="00DD4008"/>
    <w:rsid w:val="00DD4050"/>
    <w:rsid w:val="00DD4053"/>
    <w:rsid w:val="00DD4087"/>
    <w:rsid w:val="00DD40A3"/>
    <w:rsid w:val="00DD4134"/>
    <w:rsid w:val="00DD4168"/>
    <w:rsid w:val="00DD416B"/>
    <w:rsid w:val="00DD423A"/>
    <w:rsid w:val="00DD42D6"/>
    <w:rsid w:val="00DD4370"/>
    <w:rsid w:val="00DD4398"/>
    <w:rsid w:val="00DD440B"/>
    <w:rsid w:val="00DD448D"/>
    <w:rsid w:val="00DD451A"/>
    <w:rsid w:val="00DD4540"/>
    <w:rsid w:val="00DD459B"/>
    <w:rsid w:val="00DD4718"/>
    <w:rsid w:val="00DD4812"/>
    <w:rsid w:val="00DD4C6B"/>
    <w:rsid w:val="00DD4CF2"/>
    <w:rsid w:val="00DD4E7C"/>
    <w:rsid w:val="00DD4EB3"/>
    <w:rsid w:val="00DD4EBE"/>
    <w:rsid w:val="00DD4FA3"/>
    <w:rsid w:val="00DD5030"/>
    <w:rsid w:val="00DD5098"/>
    <w:rsid w:val="00DD50C8"/>
    <w:rsid w:val="00DD5149"/>
    <w:rsid w:val="00DD5182"/>
    <w:rsid w:val="00DD51B8"/>
    <w:rsid w:val="00DD51BE"/>
    <w:rsid w:val="00DD5253"/>
    <w:rsid w:val="00DD5259"/>
    <w:rsid w:val="00DD52B4"/>
    <w:rsid w:val="00DD5323"/>
    <w:rsid w:val="00DD53C6"/>
    <w:rsid w:val="00DD53F6"/>
    <w:rsid w:val="00DD5447"/>
    <w:rsid w:val="00DD5451"/>
    <w:rsid w:val="00DD5454"/>
    <w:rsid w:val="00DD5468"/>
    <w:rsid w:val="00DD556F"/>
    <w:rsid w:val="00DD5577"/>
    <w:rsid w:val="00DD55C6"/>
    <w:rsid w:val="00DD55FB"/>
    <w:rsid w:val="00DD56F4"/>
    <w:rsid w:val="00DD585C"/>
    <w:rsid w:val="00DD58CE"/>
    <w:rsid w:val="00DD59FB"/>
    <w:rsid w:val="00DD5A79"/>
    <w:rsid w:val="00DD5A9A"/>
    <w:rsid w:val="00DD5AA0"/>
    <w:rsid w:val="00DD5B23"/>
    <w:rsid w:val="00DD5BB1"/>
    <w:rsid w:val="00DD5BCA"/>
    <w:rsid w:val="00DD5C3F"/>
    <w:rsid w:val="00DD5C7A"/>
    <w:rsid w:val="00DD5D29"/>
    <w:rsid w:val="00DD5D60"/>
    <w:rsid w:val="00DD5D89"/>
    <w:rsid w:val="00DD5DF5"/>
    <w:rsid w:val="00DD5DFA"/>
    <w:rsid w:val="00DD5E59"/>
    <w:rsid w:val="00DD5EA2"/>
    <w:rsid w:val="00DD5EB7"/>
    <w:rsid w:val="00DD5F08"/>
    <w:rsid w:val="00DD5F4E"/>
    <w:rsid w:val="00DD5FFB"/>
    <w:rsid w:val="00DD6077"/>
    <w:rsid w:val="00DD6203"/>
    <w:rsid w:val="00DD6268"/>
    <w:rsid w:val="00DD627C"/>
    <w:rsid w:val="00DD62F0"/>
    <w:rsid w:val="00DD6345"/>
    <w:rsid w:val="00DD6365"/>
    <w:rsid w:val="00DD63D0"/>
    <w:rsid w:val="00DD6442"/>
    <w:rsid w:val="00DD648B"/>
    <w:rsid w:val="00DD6506"/>
    <w:rsid w:val="00DD6598"/>
    <w:rsid w:val="00DD6610"/>
    <w:rsid w:val="00DD6716"/>
    <w:rsid w:val="00DD6759"/>
    <w:rsid w:val="00DD6814"/>
    <w:rsid w:val="00DD6844"/>
    <w:rsid w:val="00DD689F"/>
    <w:rsid w:val="00DD6A77"/>
    <w:rsid w:val="00DD6B83"/>
    <w:rsid w:val="00DD6B89"/>
    <w:rsid w:val="00DD6C4D"/>
    <w:rsid w:val="00DD6CB1"/>
    <w:rsid w:val="00DD6D16"/>
    <w:rsid w:val="00DD6DA9"/>
    <w:rsid w:val="00DD6DC0"/>
    <w:rsid w:val="00DD6EAB"/>
    <w:rsid w:val="00DD6EF1"/>
    <w:rsid w:val="00DD7013"/>
    <w:rsid w:val="00DD703E"/>
    <w:rsid w:val="00DD70C9"/>
    <w:rsid w:val="00DD70D6"/>
    <w:rsid w:val="00DD714F"/>
    <w:rsid w:val="00DD7267"/>
    <w:rsid w:val="00DD7279"/>
    <w:rsid w:val="00DD72CB"/>
    <w:rsid w:val="00DD7377"/>
    <w:rsid w:val="00DD74CC"/>
    <w:rsid w:val="00DD751E"/>
    <w:rsid w:val="00DD753F"/>
    <w:rsid w:val="00DD762D"/>
    <w:rsid w:val="00DD7777"/>
    <w:rsid w:val="00DD77E4"/>
    <w:rsid w:val="00DD787E"/>
    <w:rsid w:val="00DD78CD"/>
    <w:rsid w:val="00DD797F"/>
    <w:rsid w:val="00DD79D2"/>
    <w:rsid w:val="00DD79FB"/>
    <w:rsid w:val="00DD7A39"/>
    <w:rsid w:val="00DD7A7A"/>
    <w:rsid w:val="00DD7A81"/>
    <w:rsid w:val="00DD7AA9"/>
    <w:rsid w:val="00DD7B65"/>
    <w:rsid w:val="00DD7BB3"/>
    <w:rsid w:val="00DD7BDD"/>
    <w:rsid w:val="00DD7C7D"/>
    <w:rsid w:val="00DD7CE2"/>
    <w:rsid w:val="00DD7D0A"/>
    <w:rsid w:val="00DD7DE7"/>
    <w:rsid w:val="00DD7DF3"/>
    <w:rsid w:val="00DD7E64"/>
    <w:rsid w:val="00DD7EA6"/>
    <w:rsid w:val="00DD7EBE"/>
    <w:rsid w:val="00DD7EE9"/>
    <w:rsid w:val="00DD7F69"/>
    <w:rsid w:val="00DE0060"/>
    <w:rsid w:val="00DE0090"/>
    <w:rsid w:val="00DE0165"/>
    <w:rsid w:val="00DE01EE"/>
    <w:rsid w:val="00DE035D"/>
    <w:rsid w:val="00DE03D6"/>
    <w:rsid w:val="00DE04CA"/>
    <w:rsid w:val="00DE063C"/>
    <w:rsid w:val="00DE064D"/>
    <w:rsid w:val="00DE074C"/>
    <w:rsid w:val="00DE07DC"/>
    <w:rsid w:val="00DE0806"/>
    <w:rsid w:val="00DE0985"/>
    <w:rsid w:val="00DE09D2"/>
    <w:rsid w:val="00DE0A33"/>
    <w:rsid w:val="00DE0AC5"/>
    <w:rsid w:val="00DE0B11"/>
    <w:rsid w:val="00DE0B3E"/>
    <w:rsid w:val="00DE0B83"/>
    <w:rsid w:val="00DE0BC8"/>
    <w:rsid w:val="00DE0BD2"/>
    <w:rsid w:val="00DE0D0D"/>
    <w:rsid w:val="00DE0DE2"/>
    <w:rsid w:val="00DE1256"/>
    <w:rsid w:val="00DE12DB"/>
    <w:rsid w:val="00DE12FA"/>
    <w:rsid w:val="00DE137D"/>
    <w:rsid w:val="00DE148E"/>
    <w:rsid w:val="00DE14C3"/>
    <w:rsid w:val="00DE15C9"/>
    <w:rsid w:val="00DE15EB"/>
    <w:rsid w:val="00DE1771"/>
    <w:rsid w:val="00DE17D5"/>
    <w:rsid w:val="00DE1991"/>
    <w:rsid w:val="00DE19E3"/>
    <w:rsid w:val="00DE1A33"/>
    <w:rsid w:val="00DE1A44"/>
    <w:rsid w:val="00DE1A4F"/>
    <w:rsid w:val="00DE1A77"/>
    <w:rsid w:val="00DE1AF2"/>
    <w:rsid w:val="00DE1BAB"/>
    <w:rsid w:val="00DE1BC7"/>
    <w:rsid w:val="00DE1C1D"/>
    <w:rsid w:val="00DE1C9F"/>
    <w:rsid w:val="00DE1CF0"/>
    <w:rsid w:val="00DE1D59"/>
    <w:rsid w:val="00DE1D90"/>
    <w:rsid w:val="00DE1D92"/>
    <w:rsid w:val="00DE1DB7"/>
    <w:rsid w:val="00DE1E95"/>
    <w:rsid w:val="00DE1ECC"/>
    <w:rsid w:val="00DE1F5E"/>
    <w:rsid w:val="00DE1FF4"/>
    <w:rsid w:val="00DE200A"/>
    <w:rsid w:val="00DE2053"/>
    <w:rsid w:val="00DE2058"/>
    <w:rsid w:val="00DE20E6"/>
    <w:rsid w:val="00DE215F"/>
    <w:rsid w:val="00DE2276"/>
    <w:rsid w:val="00DE2296"/>
    <w:rsid w:val="00DE2385"/>
    <w:rsid w:val="00DE238C"/>
    <w:rsid w:val="00DE23F2"/>
    <w:rsid w:val="00DE250F"/>
    <w:rsid w:val="00DE2511"/>
    <w:rsid w:val="00DE2551"/>
    <w:rsid w:val="00DE26B1"/>
    <w:rsid w:val="00DE26B7"/>
    <w:rsid w:val="00DE26EE"/>
    <w:rsid w:val="00DE27D3"/>
    <w:rsid w:val="00DE284C"/>
    <w:rsid w:val="00DE28C9"/>
    <w:rsid w:val="00DE28F0"/>
    <w:rsid w:val="00DE28F4"/>
    <w:rsid w:val="00DE2914"/>
    <w:rsid w:val="00DE2937"/>
    <w:rsid w:val="00DE299A"/>
    <w:rsid w:val="00DE2C33"/>
    <w:rsid w:val="00DE2C49"/>
    <w:rsid w:val="00DE2C62"/>
    <w:rsid w:val="00DE2CBE"/>
    <w:rsid w:val="00DE2E21"/>
    <w:rsid w:val="00DE2FC4"/>
    <w:rsid w:val="00DE2FE1"/>
    <w:rsid w:val="00DE30BC"/>
    <w:rsid w:val="00DE3140"/>
    <w:rsid w:val="00DE3235"/>
    <w:rsid w:val="00DE32AB"/>
    <w:rsid w:val="00DE3306"/>
    <w:rsid w:val="00DE3319"/>
    <w:rsid w:val="00DE3340"/>
    <w:rsid w:val="00DE335D"/>
    <w:rsid w:val="00DE339C"/>
    <w:rsid w:val="00DE339F"/>
    <w:rsid w:val="00DE346F"/>
    <w:rsid w:val="00DE3538"/>
    <w:rsid w:val="00DE3683"/>
    <w:rsid w:val="00DE36A4"/>
    <w:rsid w:val="00DE3747"/>
    <w:rsid w:val="00DE3777"/>
    <w:rsid w:val="00DE3852"/>
    <w:rsid w:val="00DE3930"/>
    <w:rsid w:val="00DE3933"/>
    <w:rsid w:val="00DE399D"/>
    <w:rsid w:val="00DE39B4"/>
    <w:rsid w:val="00DE39C9"/>
    <w:rsid w:val="00DE3A3E"/>
    <w:rsid w:val="00DE3A53"/>
    <w:rsid w:val="00DE3A62"/>
    <w:rsid w:val="00DE3C2E"/>
    <w:rsid w:val="00DE3CF1"/>
    <w:rsid w:val="00DE3DC8"/>
    <w:rsid w:val="00DE3DC9"/>
    <w:rsid w:val="00DE3DDF"/>
    <w:rsid w:val="00DE4183"/>
    <w:rsid w:val="00DE4358"/>
    <w:rsid w:val="00DE44FE"/>
    <w:rsid w:val="00DE4529"/>
    <w:rsid w:val="00DE46B8"/>
    <w:rsid w:val="00DE4777"/>
    <w:rsid w:val="00DE4952"/>
    <w:rsid w:val="00DE4976"/>
    <w:rsid w:val="00DE497A"/>
    <w:rsid w:val="00DE499D"/>
    <w:rsid w:val="00DE4A2E"/>
    <w:rsid w:val="00DE4A71"/>
    <w:rsid w:val="00DE4A85"/>
    <w:rsid w:val="00DE4B30"/>
    <w:rsid w:val="00DE4BC3"/>
    <w:rsid w:val="00DE4C01"/>
    <w:rsid w:val="00DE4DC2"/>
    <w:rsid w:val="00DE4DE3"/>
    <w:rsid w:val="00DE4EC7"/>
    <w:rsid w:val="00DE4EE1"/>
    <w:rsid w:val="00DE4F1B"/>
    <w:rsid w:val="00DE4F91"/>
    <w:rsid w:val="00DE4FB0"/>
    <w:rsid w:val="00DE503D"/>
    <w:rsid w:val="00DE50AD"/>
    <w:rsid w:val="00DE50AF"/>
    <w:rsid w:val="00DE512E"/>
    <w:rsid w:val="00DE51A8"/>
    <w:rsid w:val="00DE5235"/>
    <w:rsid w:val="00DE527B"/>
    <w:rsid w:val="00DE52A8"/>
    <w:rsid w:val="00DE5312"/>
    <w:rsid w:val="00DE539F"/>
    <w:rsid w:val="00DE53E2"/>
    <w:rsid w:val="00DE5411"/>
    <w:rsid w:val="00DE55AB"/>
    <w:rsid w:val="00DE568C"/>
    <w:rsid w:val="00DE56FD"/>
    <w:rsid w:val="00DE57A9"/>
    <w:rsid w:val="00DE599C"/>
    <w:rsid w:val="00DE59D1"/>
    <w:rsid w:val="00DE5A7D"/>
    <w:rsid w:val="00DE5A91"/>
    <w:rsid w:val="00DE5B2B"/>
    <w:rsid w:val="00DE5B9E"/>
    <w:rsid w:val="00DE5C3E"/>
    <w:rsid w:val="00DE5C60"/>
    <w:rsid w:val="00DE5C87"/>
    <w:rsid w:val="00DE5CFA"/>
    <w:rsid w:val="00DE5D10"/>
    <w:rsid w:val="00DE5D23"/>
    <w:rsid w:val="00DE5D8A"/>
    <w:rsid w:val="00DE5DE7"/>
    <w:rsid w:val="00DE5F06"/>
    <w:rsid w:val="00DE5F0A"/>
    <w:rsid w:val="00DE5F3B"/>
    <w:rsid w:val="00DE5FB1"/>
    <w:rsid w:val="00DE6054"/>
    <w:rsid w:val="00DE60FD"/>
    <w:rsid w:val="00DE6116"/>
    <w:rsid w:val="00DE611E"/>
    <w:rsid w:val="00DE61A2"/>
    <w:rsid w:val="00DE63D3"/>
    <w:rsid w:val="00DE6422"/>
    <w:rsid w:val="00DE6464"/>
    <w:rsid w:val="00DE6480"/>
    <w:rsid w:val="00DE64DF"/>
    <w:rsid w:val="00DE6507"/>
    <w:rsid w:val="00DE6518"/>
    <w:rsid w:val="00DE6617"/>
    <w:rsid w:val="00DE662F"/>
    <w:rsid w:val="00DE6641"/>
    <w:rsid w:val="00DE666B"/>
    <w:rsid w:val="00DE6703"/>
    <w:rsid w:val="00DE6851"/>
    <w:rsid w:val="00DE686F"/>
    <w:rsid w:val="00DE696A"/>
    <w:rsid w:val="00DE6A69"/>
    <w:rsid w:val="00DE6AA3"/>
    <w:rsid w:val="00DE6B3D"/>
    <w:rsid w:val="00DE6C42"/>
    <w:rsid w:val="00DE6CB4"/>
    <w:rsid w:val="00DE6D5E"/>
    <w:rsid w:val="00DE6DC1"/>
    <w:rsid w:val="00DE6FA8"/>
    <w:rsid w:val="00DE6FFB"/>
    <w:rsid w:val="00DE7063"/>
    <w:rsid w:val="00DE70D0"/>
    <w:rsid w:val="00DE710F"/>
    <w:rsid w:val="00DE714E"/>
    <w:rsid w:val="00DE71DB"/>
    <w:rsid w:val="00DE726F"/>
    <w:rsid w:val="00DE7305"/>
    <w:rsid w:val="00DE7400"/>
    <w:rsid w:val="00DE7437"/>
    <w:rsid w:val="00DE745D"/>
    <w:rsid w:val="00DE7533"/>
    <w:rsid w:val="00DE7564"/>
    <w:rsid w:val="00DE75B6"/>
    <w:rsid w:val="00DE765E"/>
    <w:rsid w:val="00DE7726"/>
    <w:rsid w:val="00DE774C"/>
    <w:rsid w:val="00DE79B2"/>
    <w:rsid w:val="00DE7A92"/>
    <w:rsid w:val="00DE7AD4"/>
    <w:rsid w:val="00DE7B2E"/>
    <w:rsid w:val="00DE7C9C"/>
    <w:rsid w:val="00DE7DFA"/>
    <w:rsid w:val="00DE7FF6"/>
    <w:rsid w:val="00DF0005"/>
    <w:rsid w:val="00DF0006"/>
    <w:rsid w:val="00DF007F"/>
    <w:rsid w:val="00DF00FD"/>
    <w:rsid w:val="00DF0144"/>
    <w:rsid w:val="00DF01DE"/>
    <w:rsid w:val="00DF0241"/>
    <w:rsid w:val="00DF0294"/>
    <w:rsid w:val="00DF03AE"/>
    <w:rsid w:val="00DF047B"/>
    <w:rsid w:val="00DF049A"/>
    <w:rsid w:val="00DF04E6"/>
    <w:rsid w:val="00DF051F"/>
    <w:rsid w:val="00DF057D"/>
    <w:rsid w:val="00DF05E5"/>
    <w:rsid w:val="00DF0602"/>
    <w:rsid w:val="00DF065F"/>
    <w:rsid w:val="00DF0673"/>
    <w:rsid w:val="00DF0723"/>
    <w:rsid w:val="00DF0749"/>
    <w:rsid w:val="00DF07B9"/>
    <w:rsid w:val="00DF07CB"/>
    <w:rsid w:val="00DF083A"/>
    <w:rsid w:val="00DF08A7"/>
    <w:rsid w:val="00DF08B7"/>
    <w:rsid w:val="00DF0946"/>
    <w:rsid w:val="00DF0966"/>
    <w:rsid w:val="00DF0988"/>
    <w:rsid w:val="00DF09BC"/>
    <w:rsid w:val="00DF0A20"/>
    <w:rsid w:val="00DF0AFA"/>
    <w:rsid w:val="00DF0BBF"/>
    <w:rsid w:val="00DF0C70"/>
    <w:rsid w:val="00DF0CA2"/>
    <w:rsid w:val="00DF0CEB"/>
    <w:rsid w:val="00DF0E36"/>
    <w:rsid w:val="00DF1026"/>
    <w:rsid w:val="00DF108A"/>
    <w:rsid w:val="00DF10D1"/>
    <w:rsid w:val="00DF1178"/>
    <w:rsid w:val="00DF1287"/>
    <w:rsid w:val="00DF1359"/>
    <w:rsid w:val="00DF1399"/>
    <w:rsid w:val="00DF13D5"/>
    <w:rsid w:val="00DF13DD"/>
    <w:rsid w:val="00DF13FE"/>
    <w:rsid w:val="00DF14EA"/>
    <w:rsid w:val="00DF15F5"/>
    <w:rsid w:val="00DF163F"/>
    <w:rsid w:val="00DF16C2"/>
    <w:rsid w:val="00DF171A"/>
    <w:rsid w:val="00DF1767"/>
    <w:rsid w:val="00DF17DA"/>
    <w:rsid w:val="00DF18A3"/>
    <w:rsid w:val="00DF1B11"/>
    <w:rsid w:val="00DF1B93"/>
    <w:rsid w:val="00DF1C32"/>
    <w:rsid w:val="00DF1D55"/>
    <w:rsid w:val="00DF1D9F"/>
    <w:rsid w:val="00DF1E51"/>
    <w:rsid w:val="00DF1E7E"/>
    <w:rsid w:val="00DF1E8E"/>
    <w:rsid w:val="00DF1F00"/>
    <w:rsid w:val="00DF1F86"/>
    <w:rsid w:val="00DF2045"/>
    <w:rsid w:val="00DF204F"/>
    <w:rsid w:val="00DF20F8"/>
    <w:rsid w:val="00DF21BA"/>
    <w:rsid w:val="00DF2241"/>
    <w:rsid w:val="00DF22AE"/>
    <w:rsid w:val="00DF22B1"/>
    <w:rsid w:val="00DF238F"/>
    <w:rsid w:val="00DF2469"/>
    <w:rsid w:val="00DF25B8"/>
    <w:rsid w:val="00DF262A"/>
    <w:rsid w:val="00DF2631"/>
    <w:rsid w:val="00DF265E"/>
    <w:rsid w:val="00DF2711"/>
    <w:rsid w:val="00DF2721"/>
    <w:rsid w:val="00DF27ED"/>
    <w:rsid w:val="00DF27F6"/>
    <w:rsid w:val="00DF28FF"/>
    <w:rsid w:val="00DF2907"/>
    <w:rsid w:val="00DF2A70"/>
    <w:rsid w:val="00DF2BB2"/>
    <w:rsid w:val="00DF2BC4"/>
    <w:rsid w:val="00DF2BF6"/>
    <w:rsid w:val="00DF2C21"/>
    <w:rsid w:val="00DF2EE7"/>
    <w:rsid w:val="00DF2F23"/>
    <w:rsid w:val="00DF2F55"/>
    <w:rsid w:val="00DF2FEA"/>
    <w:rsid w:val="00DF2FF2"/>
    <w:rsid w:val="00DF3073"/>
    <w:rsid w:val="00DF307D"/>
    <w:rsid w:val="00DF3084"/>
    <w:rsid w:val="00DF30C0"/>
    <w:rsid w:val="00DF3130"/>
    <w:rsid w:val="00DF323E"/>
    <w:rsid w:val="00DF323F"/>
    <w:rsid w:val="00DF32B0"/>
    <w:rsid w:val="00DF330C"/>
    <w:rsid w:val="00DF332B"/>
    <w:rsid w:val="00DF3339"/>
    <w:rsid w:val="00DF3380"/>
    <w:rsid w:val="00DF339C"/>
    <w:rsid w:val="00DF33AB"/>
    <w:rsid w:val="00DF340D"/>
    <w:rsid w:val="00DF3458"/>
    <w:rsid w:val="00DF3476"/>
    <w:rsid w:val="00DF34CC"/>
    <w:rsid w:val="00DF358C"/>
    <w:rsid w:val="00DF37BD"/>
    <w:rsid w:val="00DF37FA"/>
    <w:rsid w:val="00DF3875"/>
    <w:rsid w:val="00DF3885"/>
    <w:rsid w:val="00DF38EF"/>
    <w:rsid w:val="00DF3904"/>
    <w:rsid w:val="00DF3973"/>
    <w:rsid w:val="00DF3A91"/>
    <w:rsid w:val="00DF3AEE"/>
    <w:rsid w:val="00DF3B53"/>
    <w:rsid w:val="00DF3B9A"/>
    <w:rsid w:val="00DF3C58"/>
    <w:rsid w:val="00DF3D5F"/>
    <w:rsid w:val="00DF3FB3"/>
    <w:rsid w:val="00DF407D"/>
    <w:rsid w:val="00DF41C2"/>
    <w:rsid w:val="00DF41E8"/>
    <w:rsid w:val="00DF4373"/>
    <w:rsid w:val="00DF4395"/>
    <w:rsid w:val="00DF43F6"/>
    <w:rsid w:val="00DF440E"/>
    <w:rsid w:val="00DF444F"/>
    <w:rsid w:val="00DF4478"/>
    <w:rsid w:val="00DF44C4"/>
    <w:rsid w:val="00DF45F6"/>
    <w:rsid w:val="00DF4629"/>
    <w:rsid w:val="00DF46DA"/>
    <w:rsid w:val="00DF480D"/>
    <w:rsid w:val="00DF481D"/>
    <w:rsid w:val="00DF4861"/>
    <w:rsid w:val="00DF486F"/>
    <w:rsid w:val="00DF499B"/>
    <w:rsid w:val="00DF4A1C"/>
    <w:rsid w:val="00DF4A40"/>
    <w:rsid w:val="00DF4A64"/>
    <w:rsid w:val="00DF4BFF"/>
    <w:rsid w:val="00DF4CB6"/>
    <w:rsid w:val="00DF4D21"/>
    <w:rsid w:val="00DF4DF6"/>
    <w:rsid w:val="00DF4F1C"/>
    <w:rsid w:val="00DF50DA"/>
    <w:rsid w:val="00DF5150"/>
    <w:rsid w:val="00DF5185"/>
    <w:rsid w:val="00DF51FE"/>
    <w:rsid w:val="00DF525A"/>
    <w:rsid w:val="00DF52E1"/>
    <w:rsid w:val="00DF535F"/>
    <w:rsid w:val="00DF53DD"/>
    <w:rsid w:val="00DF564F"/>
    <w:rsid w:val="00DF5693"/>
    <w:rsid w:val="00DF5745"/>
    <w:rsid w:val="00DF57DF"/>
    <w:rsid w:val="00DF5816"/>
    <w:rsid w:val="00DF593D"/>
    <w:rsid w:val="00DF594B"/>
    <w:rsid w:val="00DF5B2D"/>
    <w:rsid w:val="00DF5BA9"/>
    <w:rsid w:val="00DF5BDD"/>
    <w:rsid w:val="00DF5C00"/>
    <w:rsid w:val="00DF5C19"/>
    <w:rsid w:val="00DF5CA6"/>
    <w:rsid w:val="00DF5CA8"/>
    <w:rsid w:val="00DF5E3C"/>
    <w:rsid w:val="00DF5ED9"/>
    <w:rsid w:val="00DF5F3F"/>
    <w:rsid w:val="00DF5FE5"/>
    <w:rsid w:val="00DF6021"/>
    <w:rsid w:val="00DF6216"/>
    <w:rsid w:val="00DF6274"/>
    <w:rsid w:val="00DF6288"/>
    <w:rsid w:val="00DF63F1"/>
    <w:rsid w:val="00DF640F"/>
    <w:rsid w:val="00DF64BD"/>
    <w:rsid w:val="00DF64BF"/>
    <w:rsid w:val="00DF65B7"/>
    <w:rsid w:val="00DF66FF"/>
    <w:rsid w:val="00DF6797"/>
    <w:rsid w:val="00DF6812"/>
    <w:rsid w:val="00DF6813"/>
    <w:rsid w:val="00DF68D4"/>
    <w:rsid w:val="00DF690E"/>
    <w:rsid w:val="00DF6AAC"/>
    <w:rsid w:val="00DF6AEA"/>
    <w:rsid w:val="00DF6B30"/>
    <w:rsid w:val="00DF6BF4"/>
    <w:rsid w:val="00DF6C29"/>
    <w:rsid w:val="00DF6D7A"/>
    <w:rsid w:val="00DF6D89"/>
    <w:rsid w:val="00DF6E06"/>
    <w:rsid w:val="00DF6EB5"/>
    <w:rsid w:val="00DF6F77"/>
    <w:rsid w:val="00DF701F"/>
    <w:rsid w:val="00DF70B0"/>
    <w:rsid w:val="00DF7168"/>
    <w:rsid w:val="00DF7194"/>
    <w:rsid w:val="00DF71C8"/>
    <w:rsid w:val="00DF7253"/>
    <w:rsid w:val="00DF733B"/>
    <w:rsid w:val="00DF73CC"/>
    <w:rsid w:val="00DF74B2"/>
    <w:rsid w:val="00DF75BE"/>
    <w:rsid w:val="00DF7789"/>
    <w:rsid w:val="00DF77AA"/>
    <w:rsid w:val="00DF793A"/>
    <w:rsid w:val="00DF7942"/>
    <w:rsid w:val="00DF7A34"/>
    <w:rsid w:val="00DF7A54"/>
    <w:rsid w:val="00DF7AE0"/>
    <w:rsid w:val="00DF7B6F"/>
    <w:rsid w:val="00DF7D40"/>
    <w:rsid w:val="00DF7E80"/>
    <w:rsid w:val="00DF7ED5"/>
    <w:rsid w:val="00DF7F0C"/>
    <w:rsid w:val="00E00053"/>
    <w:rsid w:val="00E0011C"/>
    <w:rsid w:val="00E001A4"/>
    <w:rsid w:val="00E002F1"/>
    <w:rsid w:val="00E003C1"/>
    <w:rsid w:val="00E0044B"/>
    <w:rsid w:val="00E0045A"/>
    <w:rsid w:val="00E0048B"/>
    <w:rsid w:val="00E005E4"/>
    <w:rsid w:val="00E005E5"/>
    <w:rsid w:val="00E006B5"/>
    <w:rsid w:val="00E0074E"/>
    <w:rsid w:val="00E00785"/>
    <w:rsid w:val="00E008D0"/>
    <w:rsid w:val="00E00943"/>
    <w:rsid w:val="00E009E9"/>
    <w:rsid w:val="00E00A34"/>
    <w:rsid w:val="00E00A45"/>
    <w:rsid w:val="00E00A60"/>
    <w:rsid w:val="00E00B32"/>
    <w:rsid w:val="00E00BA8"/>
    <w:rsid w:val="00E00CBB"/>
    <w:rsid w:val="00E00D2C"/>
    <w:rsid w:val="00E00EE3"/>
    <w:rsid w:val="00E00F70"/>
    <w:rsid w:val="00E00FA2"/>
    <w:rsid w:val="00E00FAA"/>
    <w:rsid w:val="00E01009"/>
    <w:rsid w:val="00E01040"/>
    <w:rsid w:val="00E010F8"/>
    <w:rsid w:val="00E01107"/>
    <w:rsid w:val="00E01259"/>
    <w:rsid w:val="00E01339"/>
    <w:rsid w:val="00E01394"/>
    <w:rsid w:val="00E0139B"/>
    <w:rsid w:val="00E013C6"/>
    <w:rsid w:val="00E01485"/>
    <w:rsid w:val="00E014A6"/>
    <w:rsid w:val="00E014E0"/>
    <w:rsid w:val="00E01548"/>
    <w:rsid w:val="00E01609"/>
    <w:rsid w:val="00E01632"/>
    <w:rsid w:val="00E01671"/>
    <w:rsid w:val="00E01728"/>
    <w:rsid w:val="00E0178B"/>
    <w:rsid w:val="00E01831"/>
    <w:rsid w:val="00E01848"/>
    <w:rsid w:val="00E019A6"/>
    <w:rsid w:val="00E01A76"/>
    <w:rsid w:val="00E01A8C"/>
    <w:rsid w:val="00E01BC6"/>
    <w:rsid w:val="00E01C2F"/>
    <w:rsid w:val="00E01D07"/>
    <w:rsid w:val="00E01D3E"/>
    <w:rsid w:val="00E01D9F"/>
    <w:rsid w:val="00E01DDB"/>
    <w:rsid w:val="00E01DF6"/>
    <w:rsid w:val="00E01E70"/>
    <w:rsid w:val="00E01EC8"/>
    <w:rsid w:val="00E01F33"/>
    <w:rsid w:val="00E01F45"/>
    <w:rsid w:val="00E01FA6"/>
    <w:rsid w:val="00E0205C"/>
    <w:rsid w:val="00E020A2"/>
    <w:rsid w:val="00E020A8"/>
    <w:rsid w:val="00E020C1"/>
    <w:rsid w:val="00E02188"/>
    <w:rsid w:val="00E021E0"/>
    <w:rsid w:val="00E0220B"/>
    <w:rsid w:val="00E02270"/>
    <w:rsid w:val="00E022C8"/>
    <w:rsid w:val="00E022FE"/>
    <w:rsid w:val="00E023CD"/>
    <w:rsid w:val="00E02409"/>
    <w:rsid w:val="00E02428"/>
    <w:rsid w:val="00E02439"/>
    <w:rsid w:val="00E024E3"/>
    <w:rsid w:val="00E0258B"/>
    <w:rsid w:val="00E02662"/>
    <w:rsid w:val="00E02695"/>
    <w:rsid w:val="00E026DE"/>
    <w:rsid w:val="00E02755"/>
    <w:rsid w:val="00E027DA"/>
    <w:rsid w:val="00E02820"/>
    <w:rsid w:val="00E0285F"/>
    <w:rsid w:val="00E02A4E"/>
    <w:rsid w:val="00E02A8F"/>
    <w:rsid w:val="00E02AD8"/>
    <w:rsid w:val="00E02B8D"/>
    <w:rsid w:val="00E02C15"/>
    <w:rsid w:val="00E02C50"/>
    <w:rsid w:val="00E02CEB"/>
    <w:rsid w:val="00E02D43"/>
    <w:rsid w:val="00E02DAD"/>
    <w:rsid w:val="00E02DE9"/>
    <w:rsid w:val="00E02E2F"/>
    <w:rsid w:val="00E02F75"/>
    <w:rsid w:val="00E02FA3"/>
    <w:rsid w:val="00E0300B"/>
    <w:rsid w:val="00E03053"/>
    <w:rsid w:val="00E030B3"/>
    <w:rsid w:val="00E0311F"/>
    <w:rsid w:val="00E03136"/>
    <w:rsid w:val="00E0325F"/>
    <w:rsid w:val="00E03296"/>
    <w:rsid w:val="00E033BF"/>
    <w:rsid w:val="00E0346B"/>
    <w:rsid w:val="00E034D8"/>
    <w:rsid w:val="00E034DC"/>
    <w:rsid w:val="00E0353B"/>
    <w:rsid w:val="00E0353D"/>
    <w:rsid w:val="00E0377F"/>
    <w:rsid w:val="00E037F7"/>
    <w:rsid w:val="00E03819"/>
    <w:rsid w:val="00E0388B"/>
    <w:rsid w:val="00E038E5"/>
    <w:rsid w:val="00E0392D"/>
    <w:rsid w:val="00E039E6"/>
    <w:rsid w:val="00E039E7"/>
    <w:rsid w:val="00E03A37"/>
    <w:rsid w:val="00E03B1C"/>
    <w:rsid w:val="00E03B52"/>
    <w:rsid w:val="00E03B9F"/>
    <w:rsid w:val="00E03BBF"/>
    <w:rsid w:val="00E03BEB"/>
    <w:rsid w:val="00E03C3E"/>
    <w:rsid w:val="00E03CE5"/>
    <w:rsid w:val="00E03EA4"/>
    <w:rsid w:val="00E03F48"/>
    <w:rsid w:val="00E03F85"/>
    <w:rsid w:val="00E03FD5"/>
    <w:rsid w:val="00E041C2"/>
    <w:rsid w:val="00E042A0"/>
    <w:rsid w:val="00E042B5"/>
    <w:rsid w:val="00E043E4"/>
    <w:rsid w:val="00E04507"/>
    <w:rsid w:val="00E04557"/>
    <w:rsid w:val="00E045D5"/>
    <w:rsid w:val="00E0463E"/>
    <w:rsid w:val="00E046E3"/>
    <w:rsid w:val="00E047CC"/>
    <w:rsid w:val="00E04819"/>
    <w:rsid w:val="00E048E6"/>
    <w:rsid w:val="00E04B3C"/>
    <w:rsid w:val="00E04B88"/>
    <w:rsid w:val="00E04BE6"/>
    <w:rsid w:val="00E04D41"/>
    <w:rsid w:val="00E04DBA"/>
    <w:rsid w:val="00E04E75"/>
    <w:rsid w:val="00E04F26"/>
    <w:rsid w:val="00E04F46"/>
    <w:rsid w:val="00E05033"/>
    <w:rsid w:val="00E05216"/>
    <w:rsid w:val="00E05240"/>
    <w:rsid w:val="00E05245"/>
    <w:rsid w:val="00E052B6"/>
    <w:rsid w:val="00E05332"/>
    <w:rsid w:val="00E05486"/>
    <w:rsid w:val="00E056A0"/>
    <w:rsid w:val="00E056AA"/>
    <w:rsid w:val="00E05792"/>
    <w:rsid w:val="00E057BC"/>
    <w:rsid w:val="00E0589E"/>
    <w:rsid w:val="00E05909"/>
    <w:rsid w:val="00E0592A"/>
    <w:rsid w:val="00E059B9"/>
    <w:rsid w:val="00E05BF0"/>
    <w:rsid w:val="00E05C8B"/>
    <w:rsid w:val="00E05C9E"/>
    <w:rsid w:val="00E05CD4"/>
    <w:rsid w:val="00E05D3A"/>
    <w:rsid w:val="00E05DDC"/>
    <w:rsid w:val="00E05DEE"/>
    <w:rsid w:val="00E05E05"/>
    <w:rsid w:val="00E05FB9"/>
    <w:rsid w:val="00E05FD9"/>
    <w:rsid w:val="00E05FEF"/>
    <w:rsid w:val="00E06049"/>
    <w:rsid w:val="00E0604B"/>
    <w:rsid w:val="00E06107"/>
    <w:rsid w:val="00E06381"/>
    <w:rsid w:val="00E063AF"/>
    <w:rsid w:val="00E0644B"/>
    <w:rsid w:val="00E0646A"/>
    <w:rsid w:val="00E064BE"/>
    <w:rsid w:val="00E06586"/>
    <w:rsid w:val="00E065C3"/>
    <w:rsid w:val="00E065EE"/>
    <w:rsid w:val="00E065EF"/>
    <w:rsid w:val="00E06712"/>
    <w:rsid w:val="00E0682A"/>
    <w:rsid w:val="00E0691F"/>
    <w:rsid w:val="00E0696F"/>
    <w:rsid w:val="00E06A0D"/>
    <w:rsid w:val="00E06B0B"/>
    <w:rsid w:val="00E06B2D"/>
    <w:rsid w:val="00E06B9F"/>
    <w:rsid w:val="00E06DE0"/>
    <w:rsid w:val="00E06DE2"/>
    <w:rsid w:val="00E06E6A"/>
    <w:rsid w:val="00E06F1D"/>
    <w:rsid w:val="00E06F4F"/>
    <w:rsid w:val="00E07118"/>
    <w:rsid w:val="00E0719A"/>
    <w:rsid w:val="00E071CD"/>
    <w:rsid w:val="00E07275"/>
    <w:rsid w:val="00E0729C"/>
    <w:rsid w:val="00E07368"/>
    <w:rsid w:val="00E073AC"/>
    <w:rsid w:val="00E074A4"/>
    <w:rsid w:val="00E07635"/>
    <w:rsid w:val="00E0767E"/>
    <w:rsid w:val="00E07704"/>
    <w:rsid w:val="00E07783"/>
    <w:rsid w:val="00E0779A"/>
    <w:rsid w:val="00E077E2"/>
    <w:rsid w:val="00E0784B"/>
    <w:rsid w:val="00E078C8"/>
    <w:rsid w:val="00E079E6"/>
    <w:rsid w:val="00E07A30"/>
    <w:rsid w:val="00E07B94"/>
    <w:rsid w:val="00E07C15"/>
    <w:rsid w:val="00E07C8E"/>
    <w:rsid w:val="00E07F00"/>
    <w:rsid w:val="00E07F9F"/>
    <w:rsid w:val="00E10108"/>
    <w:rsid w:val="00E10194"/>
    <w:rsid w:val="00E101BD"/>
    <w:rsid w:val="00E101DE"/>
    <w:rsid w:val="00E101EA"/>
    <w:rsid w:val="00E10208"/>
    <w:rsid w:val="00E10338"/>
    <w:rsid w:val="00E1036B"/>
    <w:rsid w:val="00E10445"/>
    <w:rsid w:val="00E10464"/>
    <w:rsid w:val="00E104AE"/>
    <w:rsid w:val="00E10558"/>
    <w:rsid w:val="00E10594"/>
    <w:rsid w:val="00E10652"/>
    <w:rsid w:val="00E10740"/>
    <w:rsid w:val="00E10828"/>
    <w:rsid w:val="00E108FD"/>
    <w:rsid w:val="00E10A94"/>
    <w:rsid w:val="00E10AB0"/>
    <w:rsid w:val="00E10B04"/>
    <w:rsid w:val="00E10B3E"/>
    <w:rsid w:val="00E10B97"/>
    <w:rsid w:val="00E10E6A"/>
    <w:rsid w:val="00E10FB0"/>
    <w:rsid w:val="00E1106A"/>
    <w:rsid w:val="00E110A5"/>
    <w:rsid w:val="00E111E9"/>
    <w:rsid w:val="00E11312"/>
    <w:rsid w:val="00E11325"/>
    <w:rsid w:val="00E113A7"/>
    <w:rsid w:val="00E113C0"/>
    <w:rsid w:val="00E113C6"/>
    <w:rsid w:val="00E114B1"/>
    <w:rsid w:val="00E115F4"/>
    <w:rsid w:val="00E1160B"/>
    <w:rsid w:val="00E11611"/>
    <w:rsid w:val="00E11623"/>
    <w:rsid w:val="00E11732"/>
    <w:rsid w:val="00E11894"/>
    <w:rsid w:val="00E118DE"/>
    <w:rsid w:val="00E1198B"/>
    <w:rsid w:val="00E11A06"/>
    <w:rsid w:val="00E11B13"/>
    <w:rsid w:val="00E11BCD"/>
    <w:rsid w:val="00E11C30"/>
    <w:rsid w:val="00E11C6A"/>
    <w:rsid w:val="00E11CB0"/>
    <w:rsid w:val="00E11D6B"/>
    <w:rsid w:val="00E11EAF"/>
    <w:rsid w:val="00E11EC1"/>
    <w:rsid w:val="00E11F4F"/>
    <w:rsid w:val="00E11F58"/>
    <w:rsid w:val="00E12047"/>
    <w:rsid w:val="00E1207F"/>
    <w:rsid w:val="00E12102"/>
    <w:rsid w:val="00E1211C"/>
    <w:rsid w:val="00E121FF"/>
    <w:rsid w:val="00E1223C"/>
    <w:rsid w:val="00E1234B"/>
    <w:rsid w:val="00E12433"/>
    <w:rsid w:val="00E124B4"/>
    <w:rsid w:val="00E124DE"/>
    <w:rsid w:val="00E1263B"/>
    <w:rsid w:val="00E1267A"/>
    <w:rsid w:val="00E12697"/>
    <w:rsid w:val="00E126A8"/>
    <w:rsid w:val="00E127DA"/>
    <w:rsid w:val="00E12801"/>
    <w:rsid w:val="00E12805"/>
    <w:rsid w:val="00E128F7"/>
    <w:rsid w:val="00E12949"/>
    <w:rsid w:val="00E1295B"/>
    <w:rsid w:val="00E12966"/>
    <w:rsid w:val="00E129E1"/>
    <w:rsid w:val="00E12A58"/>
    <w:rsid w:val="00E12A98"/>
    <w:rsid w:val="00E12B0A"/>
    <w:rsid w:val="00E12B76"/>
    <w:rsid w:val="00E12BFA"/>
    <w:rsid w:val="00E12D54"/>
    <w:rsid w:val="00E12D7E"/>
    <w:rsid w:val="00E12D85"/>
    <w:rsid w:val="00E12D99"/>
    <w:rsid w:val="00E12DD3"/>
    <w:rsid w:val="00E12E1E"/>
    <w:rsid w:val="00E12EA2"/>
    <w:rsid w:val="00E12EF8"/>
    <w:rsid w:val="00E12F9C"/>
    <w:rsid w:val="00E12FC7"/>
    <w:rsid w:val="00E1300F"/>
    <w:rsid w:val="00E1303F"/>
    <w:rsid w:val="00E13049"/>
    <w:rsid w:val="00E1306B"/>
    <w:rsid w:val="00E130DB"/>
    <w:rsid w:val="00E13128"/>
    <w:rsid w:val="00E132DE"/>
    <w:rsid w:val="00E135AB"/>
    <w:rsid w:val="00E136C7"/>
    <w:rsid w:val="00E13A54"/>
    <w:rsid w:val="00E13A81"/>
    <w:rsid w:val="00E13C3B"/>
    <w:rsid w:val="00E13C82"/>
    <w:rsid w:val="00E13DC3"/>
    <w:rsid w:val="00E13DD9"/>
    <w:rsid w:val="00E13F1B"/>
    <w:rsid w:val="00E13F56"/>
    <w:rsid w:val="00E13F9A"/>
    <w:rsid w:val="00E13FAB"/>
    <w:rsid w:val="00E13FC5"/>
    <w:rsid w:val="00E1400E"/>
    <w:rsid w:val="00E140F6"/>
    <w:rsid w:val="00E142D3"/>
    <w:rsid w:val="00E14481"/>
    <w:rsid w:val="00E144A0"/>
    <w:rsid w:val="00E144F4"/>
    <w:rsid w:val="00E14554"/>
    <w:rsid w:val="00E14581"/>
    <w:rsid w:val="00E146E5"/>
    <w:rsid w:val="00E147BE"/>
    <w:rsid w:val="00E148A2"/>
    <w:rsid w:val="00E148FB"/>
    <w:rsid w:val="00E1490B"/>
    <w:rsid w:val="00E14954"/>
    <w:rsid w:val="00E14ABF"/>
    <w:rsid w:val="00E14C25"/>
    <w:rsid w:val="00E14C27"/>
    <w:rsid w:val="00E14CC5"/>
    <w:rsid w:val="00E14DBF"/>
    <w:rsid w:val="00E14DD7"/>
    <w:rsid w:val="00E14E0D"/>
    <w:rsid w:val="00E14F06"/>
    <w:rsid w:val="00E14F0C"/>
    <w:rsid w:val="00E14F2B"/>
    <w:rsid w:val="00E14F83"/>
    <w:rsid w:val="00E15005"/>
    <w:rsid w:val="00E15020"/>
    <w:rsid w:val="00E1526A"/>
    <w:rsid w:val="00E15383"/>
    <w:rsid w:val="00E15394"/>
    <w:rsid w:val="00E153B7"/>
    <w:rsid w:val="00E1556A"/>
    <w:rsid w:val="00E155FC"/>
    <w:rsid w:val="00E15737"/>
    <w:rsid w:val="00E157E2"/>
    <w:rsid w:val="00E15875"/>
    <w:rsid w:val="00E15889"/>
    <w:rsid w:val="00E15891"/>
    <w:rsid w:val="00E158C5"/>
    <w:rsid w:val="00E1592B"/>
    <w:rsid w:val="00E15943"/>
    <w:rsid w:val="00E15947"/>
    <w:rsid w:val="00E15995"/>
    <w:rsid w:val="00E159C1"/>
    <w:rsid w:val="00E15AB0"/>
    <w:rsid w:val="00E15AC1"/>
    <w:rsid w:val="00E15AF9"/>
    <w:rsid w:val="00E15B0D"/>
    <w:rsid w:val="00E15B64"/>
    <w:rsid w:val="00E15B97"/>
    <w:rsid w:val="00E15BD2"/>
    <w:rsid w:val="00E15C64"/>
    <w:rsid w:val="00E15CA9"/>
    <w:rsid w:val="00E15DA1"/>
    <w:rsid w:val="00E15DD5"/>
    <w:rsid w:val="00E15E28"/>
    <w:rsid w:val="00E15FE6"/>
    <w:rsid w:val="00E16213"/>
    <w:rsid w:val="00E1627A"/>
    <w:rsid w:val="00E16296"/>
    <w:rsid w:val="00E162D0"/>
    <w:rsid w:val="00E163DD"/>
    <w:rsid w:val="00E16415"/>
    <w:rsid w:val="00E164D8"/>
    <w:rsid w:val="00E16562"/>
    <w:rsid w:val="00E16567"/>
    <w:rsid w:val="00E16650"/>
    <w:rsid w:val="00E1678A"/>
    <w:rsid w:val="00E1682A"/>
    <w:rsid w:val="00E16841"/>
    <w:rsid w:val="00E16876"/>
    <w:rsid w:val="00E16937"/>
    <w:rsid w:val="00E169CA"/>
    <w:rsid w:val="00E16B0C"/>
    <w:rsid w:val="00E16BA6"/>
    <w:rsid w:val="00E16BBC"/>
    <w:rsid w:val="00E16C8D"/>
    <w:rsid w:val="00E16D88"/>
    <w:rsid w:val="00E16D93"/>
    <w:rsid w:val="00E16DAE"/>
    <w:rsid w:val="00E16E4A"/>
    <w:rsid w:val="00E1701E"/>
    <w:rsid w:val="00E17023"/>
    <w:rsid w:val="00E17067"/>
    <w:rsid w:val="00E171B6"/>
    <w:rsid w:val="00E17397"/>
    <w:rsid w:val="00E17458"/>
    <w:rsid w:val="00E17562"/>
    <w:rsid w:val="00E17688"/>
    <w:rsid w:val="00E1769F"/>
    <w:rsid w:val="00E176D7"/>
    <w:rsid w:val="00E176DC"/>
    <w:rsid w:val="00E176F1"/>
    <w:rsid w:val="00E17709"/>
    <w:rsid w:val="00E177C7"/>
    <w:rsid w:val="00E17843"/>
    <w:rsid w:val="00E17880"/>
    <w:rsid w:val="00E1789C"/>
    <w:rsid w:val="00E179EB"/>
    <w:rsid w:val="00E179FD"/>
    <w:rsid w:val="00E17AE7"/>
    <w:rsid w:val="00E17B04"/>
    <w:rsid w:val="00E17B77"/>
    <w:rsid w:val="00E17C01"/>
    <w:rsid w:val="00E17D33"/>
    <w:rsid w:val="00E17F20"/>
    <w:rsid w:val="00E20052"/>
    <w:rsid w:val="00E20062"/>
    <w:rsid w:val="00E20070"/>
    <w:rsid w:val="00E200B3"/>
    <w:rsid w:val="00E200B4"/>
    <w:rsid w:val="00E200DD"/>
    <w:rsid w:val="00E200F0"/>
    <w:rsid w:val="00E20139"/>
    <w:rsid w:val="00E2026C"/>
    <w:rsid w:val="00E2034B"/>
    <w:rsid w:val="00E204ED"/>
    <w:rsid w:val="00E2074C"/>
    <w:rsid w:val="00E207C4"/>
    <w:rsid w:val="00E2080B"/>
    <w:rsid w:val="00E209E4"/>
    <w:rsid w:val="00E209FC"/>
    <w:rsid w:val="00E20BE6"/>
    <w:rsid w:val="00E20C0B"/>
    <w:rsid w:val="00E20C2D"/>
    <w:rsid w:val="00E20C6D"/>
    <w:rsid w:val="00E20F3E"/>
    <w:rsid w:val="00E20F58"/>
    <w:rsid w:val="00E20F5E"/>
    <w:rsid w:val="00E20F97"/>
    <w:rsid w:val="00E2102D"/>
    <w:rsid w:val="00E21136"/>
    <w:rsid w:val="00E211A3"/>
    <w:rsid w:val="00E211F1"/>
    <w:rsid w:val="00E212E1"/>
    <w:rsid w:val="00E21356"/>
    <w:rsid w:val="00E213F2"/>
    <w:rsid w:val="00E21513"/>
    <w:rsid w:val="00E2153C"/>
    <w:rsid w:val="00E2158A"/>
    <w:rsid w:val="00E215A2"/>
    <w:rsid w:val="00E21625"/>
    <w:rsid w:val="00E21882"/>
    <w:rsid w:val="00E21894"/>
    <w:rsid w:val="00E2190B"/>
    <w:rsid w:val="00E219DB"/>
    <w:rsid w:val="00E219F3"/>
    <w:rsid w:val="00E21A66"/>
    <w:rsid w:val="00E21AFD"/>
    <w:rsid w:val="00E21B1D"/>
    <w:rsid w:val="00E21C22"/>
    <w:rsid w:val="00E21C38"/>
    <w:rsid w:val="00E21C49"/>
    <w:rsid w:val="00E21CD1"/>
    <w:rsid w:val="00E21E49"/>
    <w:rsid w:val="00E21E93"/>
    <w:rsid w:val="00E21EA3"/>
    <w:rsid w:val="00E21EC8"/>
    <w:rsid w:val="00E21ED4"/>
    <w:rsid w:val="00E21FDD"/>
    <w:rsid w:val="00E221BA"/>
    <w:rsid w:val="00E22218"/>
    <w:rsid w:val="00E2230B"/>
    <w:rsid w:val="00E22378"/>
    <w:rsid w:val="00E22391"/>
    <w:rsid w:val="00E22413"/>
    <w:rsid w:val="00E224F9"/>
    <w:rsid w:val="00E22580"/>
    <w:rsid w:val="00E225A5"/>
    <w:rsid w:val="00E2266B"/>
    <w:rsid w:val="00E226A7"/>
    <w:rsid w:val="00E22788"/>
    <w:rsid w:val="00E227A6"/>
    <w:rsid w:val="00E2282B"/>
    <w:rsid w:val="00E22887"/>
    <w:rsid w:val="00E228AF"/>
    <w:rsid w:val="00E2290C"/>
    <w:rsid w:val="00E2293B"/>
    <w:rsid w:val="00E22985"/>
    <w:rsid w:val="00E2299E"/>
    <w:rsid w:val="00E229A7"/>
    <w:rsid w:val="00E22A6B"/>
    <w:rsid w:val="00E22AA4"/>
    <w:rsid w:val="00E22AEC"/>
    <w:rsid w:val="00E22C09"/>
    <w:rsid w:val="00E22C3E"/>
    <w:rsid w:val="00E22C5B"/>
    <w:rsid w:val="00E22CFE"/>
    <w:rsid w:val="00E22DD6"/>
    <w:rsid w:val="00E22E49"/>
    <w:rsid w:val="00E22F6D"/>
    <w:rsid w:val="00E22FAE"/>
    <w:rsid w:val="00E22FB4"/>
    <w:rsid w:val="00E23001"/>
    <w:rsid w:val="00E23030"/>
    <w:rsid w:val="00E230F3"/>
    <w:rsid w:val="00E2316B"/>
    <w:rsid w:val="00E2324A"/>
    <w:rsid w:val="00E23352"/>
    <w:rsid w:val="00E233A9"/>
    <w:rsid w:val="00E2363C"/>
    <w:rsid w:val="00E236CD"/>
    <w:rsid w:val="00E236E1"/>
    <w:rsid w:val="00E2374F"/>
    <w:rsid w:val="00E23795"/>
    <w:rsid w:val="00E239BB"/>
    <w:rsid w:val="00E23A93"/>
    <w:rsid w:val="00E23AB5"/>
    <w:rsid w:val="00E23AE5"/>
    <w:rsid w:val="00E23B35"/>
    <w:rsid w:val="00E23B7A"/>
    <w:rsid w:val="00E23C84"/>
    <w:rsid w:val="00E23D34"/>
    <w:rsid w:val="00E23D3D"/>
    <w:rsid w:val="00E23E37"/>
    <w:rsid w:val="00E23E67"/>
    <w:rsid w:val="00E23F38"/>
    <w:rsid w:val="00E2409B"/>
    <w:rsid w:val="00E24143"/>
    <w:rsid w:val="00E241F4"/>
    <w:rsid w:val="00E24229"/>
    <w:rsid w:val="00E2425F"/>
    <w:rsid w:val="00E24354"/>
    <w:rsid w:val="00E243C8"/>
    <w:rsid w:val="00E2442D"/>
    <w:rsid w:val="00E2450A"/>
    <w:rsid w:val="00E24638"/>
    <w:rsid w:val="00E2473F"/>
    <w:rsid w:val="00E2474A"/>
    <w:rsid w:val="00E2477C"/>
    <w:rsid w:val="00E2477F"/>
    <w:rsid w:val="00E247F7"/>
    <w:rsid w:val="00E2485B"/>
    <w:rsid w:val="00E24866"/>
    <w:rsid w:val="00E2491C"/>
    <w:rsid w:val="00E2492B"/>
    <w:rsid w:val="00E2496A"/>
    <w:rsid w:val="00E2496C"/>
    <w:rsid w:val="00E24AED"/>
    <w:rsid w:val="00E24C30"/>
    <w:rsid w:val="00E24CF1"/>
    <w:rsid w:val="00E24D0F"/>
    <w:rsid w:val="00E24D3F"/>
    <w:rsid w:val="00E24D9C"/>
    <w:rsid w:val="00E24F0C"/>
    <w:rsid w:val="00E24FF6"/>
    <w:rsid w:val="00E2503D"/>
    <w:rsid w:val="00E25102"/>
    <w:rsid w:val="00E2515D"/>
    <w:rsid w:val="00E25198"/>
    <w:rsid w:val="00E252B1"/>
    <w:rsid w:val="00E2537B"/>
    <w:rsid w:val="00E2539E"/>
    <w:rsid w:val="00E25405"/>
    <w:rsid w:val="00E25434"/>
    <w:rsid w:val="00E254D1"/>
    <w:rsid w:val="00E254E5"/>
    <w:rsid w:val="00E25537"/>
    <w:rsid w:val="00E255DB"/>
    <w:rsid w:val="00E256AA"/>
    <w:rsid w:val="00E2575D"/>
    <w:rsid w:val="00E257CE"/>
    <w:rsid w:val="00E25932"/>
    <w:rsid w:val="00E25978"/>
    <w:rsid w:val="00E259BD"/>
    <w:rsid w:val="00E259C6"/>
    <w:rsid w:val="00E259E4"/>
    <w:rsid w:val="00E25AB2"/>
    <w:rsid w:val="00E25B2C"/>
    <w:rsid w:val="00E25BC4"/>
    <w:rsid w:val="00E25CAC"/>
    <w:rsid w:val="00E25CCD"/>
    <w:rsid w:val="00E25CD3"/>
    <w:rsid w:val="00E25D1B"/>
    <w:rsid w:val="00E25E04"/>
    <w:rsid w:val="00E25E15"/>
    <w:rsid w:val="00E25E70"/>
    <w:rsid w:val="00E25EA9"/>
    <w:rsid w:val="00E25EB6"/>
    <w:rsid w:val="00E26090"/>
    <w:rsid w:val="00E261A6"/>
    <w:rsid w:val="00E261EF"/>
    <w:rsid w:val="00E262BA"/>
    <w:rsid w:val="00E26360"/>
    <w:rsid w:val="00E263A2"/>
    <w:rsid w:val="00E2646E"/>
    <w:rsid w:val="00E2659C"/>
    <w:rsid w:val="00E2659E"/>
    <w:rsid w:val="00E2666B"/>
    <w:rsid w:val="00E26671"/>
    <w:rsid w:val="00E2672F"/>
    <w:rsid w:val="00E2676C"/>
    <w:rsid w:val="00E267B2"/>
    <w:rsid w:val="00E26800"/>
    <w:rsid w:val="00E268FA"/>
    <w:rsid w:val="00E2694E"/>
    <w:rsid w:val="00E269E3"/>
    <w:rsid w:val="00E26A46"/>
    <w:rsid w:val="00E26A8B"/>
    <w:rsid w:val="00E26AC3"/>
    <w:rsid w:val="00E26B01"/>
    <w:rsid w:val="00E26BC4"/>
    <w:rsid w:val="00E26C3E"/>
    <w:rsid w:val="00E26DE6"/>
    <w:rsid w:val="00E26E4A"/>
    <w:rsid w:val="00E26E66"/>
    <w:rsid w:val="00E26EE1"/>
    <w:rsid w:val="00E26F0E"/>
    <w:rsid w:val="00E26F73"/>
    <w:rsid w:val="00E26FF5"/>
    <w:rsid w:val="00E270F2"/>
    <w:rsid w:val="00E27179"/>
    <w:rsid w:val="00E27195"/>
    <w:rsid w:val="00E27270"/>
    <w:rsid w:val="00E27290"/>
    <w:rsid w:val="00E27360"/>
    <w:rsid w:val="00E273C3"/>
    <w:rsid w:val="00E2743E"/>
    <w:rsid w:val="00E2745C"/>
    <w:rsid w:val="00E27480"/>
    <w:rsid w:val="00E2753C"/>
    <w:rsid w:val="00E2754B"/>
    <w:rsid w:val="00E275B2"/>
    <w:rsid w:val="00E27713"/>
    <w:rsid w:val="00E277BE"/>
    <w:rsid w:val="00E278FB"/>
    <w:rsid w:val="00E279BF"/>
    <w:rsid w:val="00E27AB0"/>
    <w:rsid w:val="00E27B08"/>
    <w:rsid w:val="00E27B4C"/>
    <w:rsid w:val="00E27C9F"/>
    <w:rsid w:val="00E27CB7"/>
    <w:rsid w:val="00E27CCC"/>
    <w:rsid w:val="00E27CEA"/>
    <w:rsid w:val="00E27CEE"/>
    <w:rsid w:val="00E27D3B"/>
    <w:rsid w:val="00E27E9A"/>
    <w:rsid w:val="00E27EA0"/>
    <w:rsid w:val="00E27EEE"/>
    <w:rsid w:val="00E30199"/>
    <w:rsid w:val="00E302DC"/>
    <w:rsid w:val="00E30383"/>
    <w:rsid w:val="00E30394"/>
    <w:rsid w:val="00E30449"/>
    <w:rsid w:val="00E3052C"/>
    <w:rsid w:val="00E30664"/>
    <w:rsid w:val="00E30761"/>
    <w:rsid w:val="00E30772"/>
    <w:rsid w:val="00E307FE"/>
    <w:rsid w:val="00E30803"/>
    <w:rsid w:val="00E30840"/>
    <w:rsid w:val="00E30877"/>
    <w:rsid w:val="00E30987"/>
    <w:rsid w:val="00E309D6"/>
    <w:rsid w:val="00E30AB5"/>
    <w:rsid w:val="00E30AD1"/>
    <w:rsid w:val="00E30B71"/>
    <w:rsid w:val="00E30BBB"/>
    <w:rsid w:val="00E30BCA"/>
    <w:rsid w:val="00E30C6C"/>
    <w:rsid w:val="00E30C83"/>
    <w:rsid w:val="00E30CC4"/>
    <w:rsid w:val="00E30DDB"/>
    <w:rsid w:val="00E30E0B"/>
    <w:rsid w:val="00E30E27"/>
    <w:rsid w:val="00E30E7C"/>
    <w:rsid w:val="00E30EB4"/>
    <w:rsid w:val="00E30F1A"/>
    <w:rsid w:val="00E30FF5"/>
    <w:rsid w:val="00E31196"/>
    <w:rsid w:val="00E31230"/>
    <w:rsid w:val="00E31396"/>
    <w:rsid w:val="00E314CA"/>
    <w:rsid w:val="00E31517"/>
    <w:rsid w:val="00E315F4"/>
    <w:rsid w:val="00E31635"/>
    <w:rsid w:val="00E31713"/>
    <w:rsid w:val="00E317D5"/>
    <w:rsid w:val="00E3182B"/>
    <w:rsid w:val="00E31839"/>
    <w:rsid w:val="00E318DF"/>
    <w:rsid w:val="00E31A4A"/>
    <w:rsid w:val="00E31A9F"/>
    <w:rsid w:val="00E31AA9"/>
    <w:rsid w:val="00E31AEF"/>
    <w:rsid w:val="00E31B32"/>
    <w:rsid w:val="00E31B78"/>
    <w:rsid w:val="00E31BD6"/>
    <w:rsid w:val="00E31C13"/>
    <w:rsid w:val="00E31CE3"/>
    <w:rsid w:val="00E31CFD"/>
    <w:rsid w:val="00E31D23"/>
    <w:rsid w:val="00E31DE2"/>
    <w:rsid w:val="00E31E4A"/>
    <w:rsid w:val="00E31EE8"/>
    <w:rsid w:val="00E31F29"/>
    <w:rsid w:val="00E32080"/>
    <w:rsid w:val="00E32265"/>
    <w:rsid w:val="00E32292"/>
    <w:rsid w:val="00E322CF"/>
    <w:rsid w:val="00E322FF"/>
    <w:rsid w:val="00E32427"/>
    <w:rsid w:val="00E32456"/>
    <w:rsid w:val="00E32747"/>
    <w:rsid w:val="00E327FF"/>
    <w:rsid w:val="00E329E0"/>
    <w:rsid w:val="00E32BA1"/>
    <w:rsid w:val="00E32D18"/>
    <w:rsid w:val="00E32E7A"/>
    <w:rsid w:val="00E32E89"/>
    <w:rsid w:val="00E32EBC"/>
    <w:rsid w:val="00E32F13"/>
    <w:rsid w:val="00E32F67"/>
    <w:rsid w:val="00E32FB4"/>
    <w:rsid w:val="00E3300F"/>
    <w:rsid w:val="00E33010"/>
    <w:rsid w:val="00E33033"/>
    <w:rsid w:val="00E33048"/>
    <w:rsid w:val="00E33102"/>
    <w:rsid w:val="00E3311B"/>
    <w:rsid w:val="00E331F5"/>
    <w:rsid w:val="00E33203"/>
    <w:rsid w:val="00E332EA"/>
    <w:rsid w:val="00E3337B"/>
    <w:rsid w:val="00E33401"/>
    <w:rsid w:val="00E33467"/>
    <w:rsid w:val="00E334EA"/>
    <w:rsid w:val="00E33587"/>
    <w:rsid w:val="00E335B3"/>
    <w:rsid w:val="00E33606"/>
    <w:rsid w:val="00E336DC"/>
    <w:rsid w:val="00E33731"/>
    <w:rsid w:val="00E33746"/>
    <w:rsid w:val="00E33767"/>
    <w:rsid w:val="00E3388A"/>
    <w:rsid w:val="00E339EB"/>
    <w:rsid w:val="00E33A8C"/>
    <w:rsid w:val="00E33B40"/>
    <w:rsid w:val="00E33BC8"/>
    <w:rsid w:val="00E33CBF"/>
    <w:rsid w:val="00E33CCD"/>
    <w:rsid w:val="00E33D29"/>
    <w:rsid w:val="00E33D7F"/>
    <w:rsid w:val="00E33DCD"/>
    <w:rsid w:val="00E33E42"/>
    <w:rsid w:val="00E33F84"/>
    <w:rsid w:val="00E3406E"/>
    <w:rsid w:val="00E340AA"/>
    <w:rsid w:val="00E340CB"/>
    <w:rsid w:val="00E341B5"/>
    <w:rsid w:val="00E3430C"/>
    <w:rsid w:val="00E34345"/>
    <w:rsid w:val="00E3439B"/>
    <w:rsid w:val="00E343C9"/>
    <w:rsid w:val="00E3441D"/>
    <w:rsid w:val="00E344B6"/>
    <w:rsid w:val="00E345A3"/>
    <w:rsid w:val="00E345D2"/>
    <w:rsid w:val="00E345E8"/>
    <w:rsid w:val="00E34628"/>
    <w:rsid w:val="00E3462A"/>
    <w:rsid w:val="00E3465E"/>
    <w:rsid w:val="00E34660"/>
    <w:rsid w:val="00E34696"/>
    <w:rsid w:val="00E34716"/>
    <w:rsid w:val="00E34721"/>
    <w:rsid w:val="00E347AD"/>
    <w:rsid w:val="00E347FA"/>
    <w:rsid w:val="00E34846"/>
    <w:rsid w:val="00E348CA"/>
    <w:rsid w:val="00E3495C"/>
    <w:rsid w:val="00E34A9F"/>
    <w:rsid w:val="00E34AE0"/>
    <w:rsid w:val="00E34B04"/>
    <w:rsid w:val="00E34B0F"/>
    <w:rsid w:val="00E34B6D"/>
    <w:rsid w:val="00E34BA6"/>
    <w:rsid w:val="00E34C64"/>
    <w:rsid w:val="00E34D4C"/>
    <w:rsid w:val="00E34EAD"/>
    <w:rsid w:val="00E34EBC"/>
    <w:rsid w:val="00E34F53"/>
    <w:rsid w:val="00E34F63"/>
    <w:rsid w:val="00E35015"/>
    <w:rsid w:val="00E3503A"/>
    <w:rsid w:val="00E3508E"/>
    <w:rsid w:val="00E350B8"/>
    <w:rsid w:val="00E350BD"/>
    <w:rsid w:val="00E3512E"/>
    <w:rsid w:val="00E35190"/>
    <w:rsid w:val="00E352A0"/>
    <w:rsid w:val="00E352A4"/>
    <w:rsid w:val="00E352B3"/>
    <w:rsid w:val="00E353CE"/>
    <w:rsid w:val="00E3547B"/>
    <w:rsid w:val="00E35489"/>
    <w:rsid w:val="00E354F1"/>
    <w:rsid w:val="00E355D8"/>
    <w:rsid w:val="00E35630"/>
    <w:rsid w:val="00E3567B"/>
    <w:rsid w:val="00E356E8"/>
    <w:rsid w:val="00E3570A"/>
    <w:rsid w:val="00E3576C"/>
    <w:rsid w:val="00E3577B"/>
    <w:rsid w:val="00E35799"/>
    <w:rsid w:val="00E35837"/>
    <w:rsid w:val="00E3592C"/>
    <w:rsid w:val="00E35976"/>
    <w:rsid w:val="00E35A0E"/>
    <w:rsid w:val="00E35C3E"/>
    <w:rsid w:val="00E35CF1"/>
    <w:rsid w:val="00E35E0B"/>
    <w:rsid w:val="00E35FB6"/>
    <w:rsid w:val="00E35FE0"/>
    <w:rsid w:val="00E35FF3"/>
    <w:rsid w:val="00E3602D"/>
    <w:rsid w:val="00E360E9"/>
    <w:rsid w:val="00E3614A"/>
    <w:rsid w:val="00E3616D"/>
    <w:rsid w:val="00E36211"/>
    <w:rsid w:val="00E362D6"/>
    <w:rsid w:val="00E362F4"/>
    <w:rsid w:val="00E36351"/>
    <w:rsid w:val="00E3639D"/>
    <w:rsid w:val="00E36492"/>
    <w:rsid w:val="00E36579"/>
    <w:rsid w:val="00E365D4"/>
    <w:rsid w:val="00E36700"/>
    <w:rsid w:val="00E36702"/>
    <w:rsid w:val="00E3680F"/>
    <w:rsid w:val="00E36871"/>
    <w:rsid w:val="00E368D1"/>
    <w:rsid w:val="00E369E0"/>
    <w:rsid w:val="00E36A67"/>
    <w:rsid w:val="00E36ACD"/>
    <w:rsid w:val="00E36B1E"/>
    <w:rsid w:val="00E36C73"/>
    <w:rsid w:val="00E36D6F"/>
    <w:rsid w:val="00E36D7C"/>
    <w:rsid w:val="00E36D87"/>
    <w:rsid w:val="00E36D91"/>
    <w:rsid w:val="00E36DB2"/>
    <w:rsid w:val="00E36E55"/>
    <w:rsid w:val="00E36E62"/>
    <w:rsid w:val="00E3717E"/>
    <w:rsid w:val="00E371AF"/>
    <w:rsid w:val="00E37340"/>
    <w:rsid w:val="00E373A1"/>
    <w:rsid w:val="00E3750A"/>
    <w:rsid w:val="00E37614"/>
    <w:rsid w:val="00E37647"/>
    <w:rsid w:val="00E376F9"/>
    <w:rsid w:val="00E37846"/>
    <w:rsid w:val="00E3787C"/>
    <w:rsid w:val="00E379A6"/>
    <w:rsid w:val="00E379F5"/>
    <w:rsid w:val="00E37A82"/>
    <w:rsid w:val="00E37A95"/>
    <w:rsid w:val="00E37AE9"/>
    <w:rsid w:val="00E37B69"/>
    <w:rsid w:val="00E37B8C"/>
    <w:rsid w:val="00E37BB6"/>
    <w:rsid w:val="00E37BC3"/>
    <w:rsid w:val="00E37CA6"/>
    <w:rsid w:val="00E37CA7"/>
    <w:rsid w:val="00E37CEF"/>
    <w:rsid w:val="00E37D3B"/>
    <w:rsid w:val="00E37DB5"/>
    <w:rsid w:val="00E37E97"/>
    <w:rsid w:val="00E40004"/>
    <w:rsid w:val="00E4004E"/>
    <w:rsid w:val="00E40062"/>
    <w:rsid w:val="00E40089"/>
    <w:rsid w:val="00E400A2"/>
    <w:rsid w:val="00E4013C"/>
    <w:rsid w:val="00E4016F"/>
    <w:rsid w:val="00E401EA"/>
    <w:rsid w:val="00E4025D"/>
    <w:rsid w:val="00E402DF"/>
    <w:rsid w:val="00E4034B"/>
    <w:rsid w:val="00E403B4"/>
    <w:rsid w:val="00E40467"/>
    <w:rsid w:val="00E4064D"/>
    <w:rsid w:val="00E406F4"/>
    <w:rsid w:val="00E40716"/>
    <w:rsid w:val="00E40757"/>
    <w:rsid w:val="00E40831"/>
    <w:rsid w:val="00E409BB"/>
    <w:rsid w:val="00E409D8"/>
    <w:rsid w:val="00E40A75"/>
    <w:rsid w:val="00E40B0E"/>
    <w:rsid w:val="00E40B8C"/>
    <w:rsid w:val="00E40B93"/>
    <w:rsid w:val="00E40BD8"/>
    <w:rsid w:val="00E40CD2"/>
    <w:rsid w:val="00E40CF6"/>
    <w:rsid w:val="00E40DAF"/>
    <w:rsid w:val="00E40DD3"/>
    <w:rsid w:val="00E40E25"/>
    <w:rsid w:val="00E40E44"/>
    <w:rsid w:val="00E40EA8"/>
    <w:rsid w:val="00E41060"/>
    <w:rsid w:val="00E4109D"/>
    <w:rsid w:val="00E410D7"/>
    <w:rsid w:val="00E41269"/>
    <w:rsid w:val="00E41274"/>
    <w:rsid w:val="00E41275"/>
    <w:rsid w:val="00E4129A"/>
    <w:rsid w:val="00E4133D"/>
    <w:rsid w:val="00E413AB"/>
    <w:rsid w:val="00E414AD"/>
    <w:rsid w:val="00E414B4"/>
    <w:rsid w:val="00E414B5"/>
    <w:rsid w:val="00E415D4"/>
    <w:rsid w:val="00E415DA"/>
    <w:rsid w:val="00E417A4"/>
    <w:rsid w:val="00E41838"/>
    <w:rsid w:val="00E4187D"/>
    <w:rsid w:val="00E41882"/>
    <w:rsid w:val="00E418F1"/>
    <w:rsid w:val="00E41978"/>
    <w:rsid w:val="00E41987"/>
    <w:rsid w:val="00E41A24"/>
    <w:rsid w:val="00E41A87"/>
    <w:rsid w:val="00E41ABF"/>
    <w:rsid w:val="00E41BDB"/>
    <w:rsid w:val="00E41C10"/>
    <w:rsid w:val="00E41D33"/>
    <w:rsid w:val="00E41DF2"/>
    <w:rsid w:val="00E4207F"/>
    <w:rsid w:val="00E4208A"/>
    <w:rsid w:val="00E4214B"/>
    <w:rsid w:val="00E4220A"/>
    <w:rsid w:val="00E42231"/>
    <w:rsid w:val="00E422F6"/>
    <w:rsid w:val="00E42392"/>
    <w:rsid w:val="00E424B1"/>
    <w:rsid w:val="00E426E5"/>
    <w:rsid w:val="00E42878"/>
    <w:rsid w:val="00E42994"/>
    <w:rsid w:val="00E429D9"/>
    <w:rsid w:val="00E42A62"/>
    <w:rsid w:val="00E42A66"/>
    <w:rsid w:val="00E42B16"/>
    <w:rsid w:val="00E42BB6"/>
    <w:rsid w:val="00E42C0A"/>
    <w:rsid w:val="00E42C4C"/>
    <w:rsid w:val="00E42D26"/>
    <w:rsid w:val="00E42D36"/>
    <w:rsid w:val="00E42D64"/>
    <w:rsid w:val="00E42DDF"/>
    <w:rsid w:val="00E42F4B"/>
    <w:rsid w:val="00E42F8C"/>
    <w:rsid w:val="00E42FE9"/>
    <w:rsid w:val="00E43159"/>
    <w:rsid w:val="00E431E0"/>
    <w:rsid w:val="00E43259"/>
    <w:rsid w:val="00E432B6"/>
    <w:rsid w:val="00E43330"/>
    <w:rsid w:val="00E433D7"/>
    <w:rsid w:val="00E434D4"/>
    <w:rsid w:val="00E434EC"/>
    <w:rsid w:val="00E436AB"/>
    <w:rsid w:val="00E436CE"/>
    <w:rsid w:val="00E43708"/>
    <w:rsid w:val="00E43714"/>
    <w:rsid w:val="00E43870"/>
    <w:rsid w:val="00E4388D"/>
    <w:rsid w:val="00E438C8"/>
    <w:rsid w:val="00E438F3"/>
    <w:rsid w:val="00E43994"/>
    <w:rsid w:val="00E43B59"/>
    <w:rsid w:val="00E43BCB"/>
    <w:rsid w:val="00E43BCC"/>
    <w:rsid w:val="00E43C12"/>
    <w:rsid w:val="00E43C2D"/>
    <w:rsid w:val="00E43C77"/>
    <w:rsid w:val="00E43CAD"/>
    <w:rsid w:val="00E43E02"/>
    <w:rsid w:val="00E43F23"/>
    <w:rsid w:val="00E43F41"/>
    <w:rsid w:val="00E43F43"/>
    <w:rsid w:val="00E4403E"/>
    <w:rsid w:val="00E4406D"/>
    <w:rsid w:val="00E441DC"/>
    <w:rsid w:val="00E4420B"/>
    <w:rsid w:val="00E442AB"/>
    <w:rsid w:val="00E443DA"/>
    <w:rsid w:val="00E4443A"/>
    <w:rsid w:val="00E4443D"/>
    <w:rsid w:val="00E445C4"/>
    <w:rsid w:val="00E445DD"/>
    <w:rsid w:val="00E44662"/>
    <w:rsid w:val="00E4472E"/>
    <w:rsid w:val="00E447AA"/>
    <w:rsid w:val="00E44821"/>
    <w:rsid w:val="00E4494F"/>
    <w:rsid w:val="00E44A4E"/>
    <w:rsid w:val="00E44A85"/>
    <w:rsid w:val="00E44AE3"/>
    <w:rsid w:val="00E44BC3"/>
    <w:rsid w:val="00E44C40"/>
    <w:rsid w:val="00E44C67"/>
    <w:rsid w:val="00E44CAD"/>
    <w:rsid w:val="00E44CF7"/>
    <w:rsid w:val="00E44D91"/>
    <w:rsid w:val="00E44D9B"/>
    <w:rsid w:val="00E44EC4"/>
    <w:rsid w:val="00E44F26"/>
    <w:rsid w:val="00E44FA8"/>
    <w:rsid w:val="00E44FC6"/>
    <w:rsid w:val="00E4503C"/>
    <w:rsid w:val="00E451C6"/>
    <w:rsid w:val="00E45284"/>
    <w:rsid w:val="00E4539A"/>
    <w:rsid w:val="00E453DC"/>
    <w:rsid w:val="00E45453"/>
    <w:rsid w:val="00E455A5"/>
    <w:rsid w:val="00E455D3"/>
    <w:rsid w:val="00E456BE"/>
    <w:rsid w:val="00E456F8"/>
    <w:rsid w:val="00E4577A"/>
    <w:rsid w:val="00E45882"/>
    <w:rsid w:val="00E458B4"/>
    <w:rsid w:val="00E458F7"/>
    <w:rsid w:val="00E45A0E"/>
    <w:rsid w:val="00E45B2E"/>
    <w:rsid w:val="00E45B3C"/>
    <w:rsid w:val="00E45C6B"/>
    <w:rsid w:val="00E45C82"/>
    <w:rsid w:val="00E45CBD"/>
    <w:rsid w:val="00E45D63"/>
    <w:rsid w:val="00E45DE4"/>
    <w:rsid w:val="00E45E1D"/>
    <w:rsid w:val="00E45E9F"/>
    <w:rsid w:val="00E45F3D"/>
    <w:rsid w:val="00E45F61"/>
    <w:rsid w:val="00E46016"/>
    <w:rsid w:val="00E460B4"/>
    <w:rsid w:val="00E460CC"/>
    <w:rsid w:val="00E460E1"/>
    <w:rsid w:val="00E46183"/>
    <w:rsid w:val="00E461C6"/>
    <w:rsid w:val="00E461E2"/>
    <w:rsid w:val="00E4620F"/>
    <w:rsid w:val="00E46267"/>
    <w:rsid w:val="00E46272"/>
    <w:rsid w:val="00E462DD"/>
    <w:rsid w:val="00E46418"/>
    <w:rsid w:val="00E46608"/>
    <w:rsid w:val="00E46625"/>
    <w:rsid w:val="00E46733"/>
    <w:rsid w:val="00E46734"/>
    <w:rsid w:val="00E467A1"/>
    <w:rsid w:val="00E4685F"/>
    <w:rsid w:val="00E4689C"/>
    <w:rsid w:val="00E46907"/>
    <w:rsid w:val="00E46B3C"/>
    <w:rsid w:val="00E46B68"/>
    <w:rsid w:val="00E46B89"/>
    <w:rsid w:val="00E46BAB"/>
    <w:rsid w:val="00E46BD2"/>
    <w:rsid w:val="00E46C7A"/>
    <w:rsid w:val="00E46CE8"/>
    <w:rsid w:val="00E46F08"/>
    <w:rsid w:val="00E46F66"/>
    <w:rsid w:val="00E46FC8"/>
    <w:rsid w:val="00E46FCE"/>
    <w:rsid w:val="00E4710E"/>
    <w:rsid w:val="00E47256"/>
    <w:rsid w:val="00E472C6"/>
    <w:rsid w:val="00E473E6"/>
    <w:rsid w:val="00E47462"/>
    <w:rsid w:val="00E4748E"/>
    <w:rsid w:val="00E4749D"/>
    <w:rsid w:val="00E4749E"/>
    <w:rsid w:val="00E474DB"/>
    <w:rsid w:val="00E47565"/>
    <w:rsid w:val="00E4756E"/>
    <w:rsid w:val="00E475A2"/>
    <w:rsid w:val="00E47695"/>
    <w:rsid w:val="00E477CC"/>
    <w:rsid w:val="00E47850"/>
    <w:rsid w:val="00E479A4"/>
    <w:rsid w:val="00E47A02"/>
    <w:rsid w:val="00E47A39"/>
    <w:rsid w:val="00E47A82"/>
    <w:rsid w:val="00E47AA9"/>
    <w:rsid w:val="00E47B27"/>
    <w:rsid w:val="00E47B35"/>
    <w:rsid w:val="00E47B7A"/>
    <w:rsid w:val="00E47C41"/>
    <w:rsid w:val="00E47CC9"/>
    <w:rsid w:val="00E47D37"/>
    <w:rsid w:val="00E47F8E"/>
    <w:rsid w:val="00E47FB0"/>
    <w:rsid w:val="00E5000B"/>
    <w:rsid w:val="00E50171"/>
    <w:rsid w:val="00E501FE"/>
    <w:rsid w:val="00E5021C"/>
    <w:rsid w:val="00E50291"/>
    <w:rsid w:val="00E50443"/>
    <w:rsid w:val="00E50509"/>
    <w:rsid w:val="00E50539"/>
    <w:rsid w:val="00E505C5"/>
    <w:rsid w:val="00E506EC"/>
    <w:rsid w:val="00E50918"/>
    <w:rsid w:val="00E5091C"/>
    <w:rsid w:val="00E50987"/>
    <w:rsid w:val="00E50991"/>
    <w:rsid w:val="00E50A76"/>
    <w:rsid w:val="00E50ABD"/>
    <w:rsid w:val="00E50C99"/>
    <w:rsid w:val="00E50CD4"/>
    <w:rsid w:val="00E50E42"/>
    <w:rsid w:val="00E50E44"/>
    <w:rsid w:val="00E50E46"/>
    <w:rsid w:val="00E50E4B"/>
    <w:rsid w:val="00E50E96"/>
    <w:rsid w:val="00E50EFE"/>
    <w:rsid w:val="00E50F27"/>
    <w:rsid w:val="00E5101C"/>
    <w:rsid w:val="00E51065"/>
    <w:rsid w:val="00E5108D"/>
    <w:rsid w:val="00E510BB"/>
    <w:rsid w:val="00E5114C"/>
    <w:rsid w:val="00E511DB"/>
    <w:rsid w:val="00E51324"/>
    <w:rsid w:val="00E5133A"/>
    <w:rsid w:val="00E51398"/>
    <w:rsid w:val="00E51429"/>
    <w:rsid w:val="00E5144F"/>
    <w:rsid w:val="00E514EF"/>
    <w:rsid w:val="00E5153D"/>
    <w:rsid w:val="00E51632"/>
    <w:rsid w:val="00E51758"/>
    <w:rsid w:val="00E5176A"/>
    <w:rsid w:val="00E51804"/>
    <w:rsid w:val="00E51921"/>
    <w:rsid w:val="00E519B9"/>
    <w:rsid w:val="00E519F2"/>
    <w:rsid w:val="00E51A36"/>
    <w:rsid w:val="00E51A3B"/>
    <w:rsid w:val="00E51A85"/>
    <w:rsid w:val="00E51B4F"/>
    <w:rsid w:val="00E51DA3"/>
    <w:rsid w:val="00E51DA9"/>
    <w:rsid w:val="00E51EDE"/>
    <w:rsid w:val="00E52088"/>
    <w:rsid w:val="00E5214C"/>
    <w:rsid w:val="00E52155"/>
    <w:rsid w:val="00E521CC"/>
    <w:rsid w:val="00E5221A"/>
    <w:rsid w:val="00E5224B"/>
    <w:rsid w:val="00E52356"/>
    <w:rsid w:val="00E524F8"/>
    <w:rsid w:val="00E5251B"/>
    <w:rsid w:val="00E5254C"/>
    <w:rsid w:val="00E52570"/>
    <w:rsid w:val="00E525A8"/>
    <w:rsid w:val="00E525BB"/>
    <w:rsid w:val="00E525C3"/>
    <w:rsid w:val="00E525D6"/>
    <w:rsid w:val="00E52643"/>
    <w:rsid w:val="00E527A9"/>
    <w:rsid w:val="00E527FE"/>
    <w:rsid w:val="00E52873"/>
    <w:rsid w:val="00E5293A"/>
    <w:rsid w:val="00E52963"/>
    <w:rsid w:val="00E529B7"/>
    <w:rsid w:val="00E52AAA"/>
    <w:rsid w:val="00E52B3A"/>
    <w:rsid w:val="00E52B4E"/>
    <w:rsid w:val="00E52C2C"/>
    <w:rsid w:val="00E52CBB"/>
    <w:rsid w:val="00E52CC9"/>
    <w:rsid w:val="00E52D22"/>
    <w:rsid w:val="00E52D40"/>
    <w:rsid w:val="00E52D72"/>
    <w:rsid w:val="00E52EAE"/>
    <w:rsid w:val="00E52F20"/>
    <w:rsid w:val="00E532B2"/>
    <w:rsid w:val="00E53336"/>
    <w:rsid w:val="00E5338D"/>
    <w:rsid w:val="00E53411"/>
    <w:rsid w:val="00E53527"/>
    <w:rsid w:val="00E53533"/>
    <w:rsid w:val="00E535E8"/>
    <w:rsid w:val="00E53748"/>
    <w:rsid w:val="00E537C1"/>
    <w:rsid w:val="00E5383E"/>
    <w:rsid w:val="00E53A0D"/>
    <w:rsid w:val="00E53A7A"/>
    <w:rsid w:val="00E53AC3"/>
    <w:rsid w:val="00E53B72"/>
    <w:rsid w:val="00E53C20"/>
    <w:rsid w:val="00E53CC5"/>
    <w:rsid w:val="00E53D35"/>
    <w:rsid w:val="00E53D6D"/>
    <w:rsid w:val="00E53D73"/>
    <w:rsid w:val="00E53E8A"/>
    <w:rsid w:val="00E53EBB"/>
    <w:rsid w:val="00E53FBC"/>
    <w:rsid w:val="00E53FEA"/>
    <w:rsid w:val="00E540FA"/>
    <w:rsid w:val="00E54144"/>
    <w:rsid w:val="00E5439C"/>
    <w:rsid w:val="00E54455"/>
    <w:rsid w:val="00E5446D"/>
    <w:rsid w:val="00E54487"/>
    <w:rsid w:val="00E545D7"/>
    <w:rsid w:val="00E54619"/>
    <w:rsid w:val="00E54636"/>
    <w:rsid w:val="00E54661"/>
    <w:rsid w:val="00E546B5"/>
    <w:rsid w:val="00E546F2"/>
    <w:rsid w:val="00E54745"/>
    <w:rsid w:val="00E54856"/>
    <w:rsid w:val="00E54917"/>
    <w:rsid w:val="00E549DF"/>
    <w:rsid w:val="00E54A60"/>
    <w:rsid w:val="00E54AF1"/>
    <w:rsid w:val="00E54AFC"/>
    <w:rsid w:val="00E54B95"/>
    <w:rsid w:val="00E54B9D"/>
    <w:rsid w:val="00E54C7C"/>
    <w:rsid w:val="00E54D24"/>
    <w:rsid w:val="00E54E3F"/>
    <w:rsid w:val="00E54EB2"/>
    <w:rsid w:val="00E54F27"/>
    <w:rsid w:val="00E54F99"/>
    <w:rsid w:val="00E5503D"/>
    <w:rsid w:val="00E550BD"/>
    <w:rsid w:val="00E55130"/>
    <w:rsid w:val="00E55243"/>
    <w:rsid w:val="00E553BC"/>
    <w:rsid w:val="00E553E9"/>
    <w:rsid w:val="00E5540E"/>
    <w:rsid w:val="00E55426"/>
    <w:rsid w:val="00E55517"/>
    <w:rsid w:val="00E55531"/>
    <w:rsid w:val="00E555F5"/>
    <w:rsid w:val="00E55678"/>
    <w:rsid w:val="00E55707"/>
    <w:rsid w:val="00E5575B"/>
    <w:rsid w:val="00E557E0"/>
    <w:rsid w:val="00E55904"/>
    <w:rsid w:val="00E559DE"/>
    <w:rsid w:val="00E55A07"/>
    <w:rsid w:val="00E55A4B"/>
    <w:rsid w:val="00E55B10"/>
    <w:rsid w:val="00E55B35"/>
    <w:rsid w:val="00E55C0C"/>
    <w:rsid w:val="00E55C0F"/>
    <w:rsid w:val="00E55C6F"/>
    <w:rsid w:val="00E55CBA"/>
    <w:rsid w:val="00E55D9E"/>
    <w:rsid w:val="00E55DA8"/>
    <w:rsid w:val="00E55E17"/>
    <w:rsid w:val="00E55E26"/>
    <w:rsid w:val="00E55FC3"/>
    <w:rsid w:val="00E55FCF"/>
    <w:rsid w:val="00E5607A"/>
    <w:rsid w:val="00E56100"/>
    <w:rsid w:val="00E5614B"/>
    <w:rsid w:val="00E56166"/>
    <w:rsid w:val="00E562E2"/>
    <w:rsid w:val="00E562FD"/>
    <w:rsid w:val="00E5635F"/>
    <w:rsid w:val="00E56362"/>
    <w:rsid w:val="00E563D8"/>
    <w:rsid w:val="00E564BA"/>
    <w:rsid w:val="00E565B7"/>
    <w:rsid w:val="00E565DA"/>
    <w:rsid w:val="00E5667C"/>
    <w:rsid w:val="00E566CA"/>
    <w:rsid w:val="00E567F9"/>
    <w:rsid w:val="00E5681C"/>
    <w:rsid w:val="00E56A5B"/>
    <w:rsid w:val="00E56AD0"/>
    <w:rsid w:val="00E56B0D"/>
    <w:rsid w:val="00E56B5F"/>
    <w:rsid w:val="00E56BFC"/>
    <w:rsid w:val="00E56C05"/>
    <w:rsid w:val="00E56C8A"/>
    <w:rsid w:val="00E56CDF"/>
    <w:rsid w:val="00E56D0D"/>
    <w:rsid w:val="00E56DDE"/>
    <w:rsid w:val="00E56DF2"/>
    <w:rsid w:val="00E56E04"/>
    <w:rsid w:val="00E56E5C"/>
    <w:rsid w:val="00E56EC5"/>
    <w:rsid w:val="00E56EDB"/>
    <w:rsid w:val="00E56F29"/>
    <w:rsid w:val="00E56F4B"/>
    <w:rsid w:val="00E56F53"/>
    <w:rsid w:val="00E56FD0"/>
    <w:rsid w:val="00E5706D"/>
    <w:rsid w:val="00E57135"/>
    <w:rsid w:val="00E57185"/>
    <w:rsid w:val="00E5719D"/>
    <w:rsid w:val="00E572BC"/>
    <w:rsid w:val="00E572C5"/>
    <w:rsid w:val="00E572F2"/>
    <w:rsid w:val="00E5733A"/>
    <w:rsid w:val="00E5733C"/>
    <w:rsid w:val="00E5734A"/>
    <w:rsid w:val="00E5742F"/>
    <w:rsid w:val="00E57537"/>
    <w:rsid w:val="00E575C8"/>
    <w:rsid w:val="00E577EB"/>
    <w:rsid w:val="00E5795A"/>
    <w:rsid w:val="00E57A2D"/>
    <w:rsid w:val="00E57A47"/>
    <w:rsid w:val="00E57ABA"/>
    <w:rsid w:val="00E57B4A"/>
    <w:rsid w:val="00E57CA3"/>
    <w:rsid w:val="00E57F47"/>
    <w:rsid w:val="00E57F74"/>
    <w:rsid w:val="00E60075"/>
    <w:rsid w:val="00E6008C"/>
    <w:rsid w:val="00E600ED"/>
    <w:rsid w:val="00E60112"/>
    <w:rsid w:val="00E6011D"/>
    <w:rsid w:val="00E6016B"/>
    <w:rsid w:val="00E60221"/>
    <w:rsid w:val="00E6023A"/>
    <w:rsid w:val="00E60292"/>
    <w:rsid w:val="00E6029E"/>
    <w:rsid w:val="00E60388"/>
    <w:rsid w:val="00E603CE"/>
    <w:rsid w:val="00E603F3"/>
    <w:rsid w:val="00E6041F"/>
    <w:rsid w:val="00E6043E"/>
    <w:rsid w:val="00E6049E"/>
    <w:rsid w:val="00E605F1"/>
    <w:rsid w:val="00E605FA"/>
    <w:rsid w:val="00E606D4"/>
    <w:rsid w:val="00E6072C"/>
    <w:rsid w:val="00E6075D"/>
    <w:rsid w:val="00E60797"/>
    <w:rsid w:val="00E60A8F"/>
    <w:rsid w:val="00E60AEC"/>
    <w:rsid w:val="00E60B9B"/>
    <w:rsid w:val="00E60BCD"/>
    <w:rsid w:val="00E60CB3"/>
    <w:rsid w:val="00E60CD0"/>
    <w:rsid w:val="00E60DDF"/>
    <w:rsid w:val="00E60EBA"/>
    <w:rsid w:val="00E60F13"/>
    <w:rsid w:val="00E60F87"/>
    <w:rsid w:val="00E610B1"/>
    <w:rsid w:val="00E6118D"/>
    <w:rsid w:val="00E611B7"/>
    <w:rsid w:val="00E611D3"/>
    <w:rsid w:val="00E6124A"/>
    <w:rsid w:val="00E61256"/>
    <w:rsid w:val="00E61337"/>
    <w:rsid w:val="00E613DC"/>
    <w:rsid w:val="00E61408"/>
    <w:rsid w:val="00E61458"/>
    <w:rsid w:val="00E614A8"/>
    <w:rsid w:val="00E61516"/>
    <w:rsid w:val="00E61577"/>
    <w:rsid w:val="00E615B0"/>
    <w:rsid w:val="00E61627"/>
    <w:rsid w:val="00E61699"/>
    <w:rsid w:val="00E61777"/>
    <w:rsid w:val="00E6183E"/>
    <w:rsid w:val="00E6188E"/>
    <w:rsid w:val="00E618F5"/>
    <w:rsid w:val="00E6190A"/>
    <w:rsid w:val="00E6193B"/>
    <w:rsid w:val="00E61957"/>
    <w:rsid w:val="00E61A31"/>
    <w:rsid w:val="00E61A6A"/>
    <w:rsid w:val="00E61B63"/>
    <w:rsid w:val="00E61B7F"/>
    <w:rsid w:val="00E61BC1"/>
    <w:rsid w:val="00E61C05"/>
    <w:rsid w:val="00E61D07"/>
    <w:rsid w:val="00E61D73"/>
    <w:rsid w:val="00E61D75"/>
    <w:rsid w:val="00E61E17"/>
    <w:rsid w:val="00E61E23"/>
    <w:rsid w:val="00E61F38"/>
    <w:rsid w:val="00E62011"/>
    <w:rsid w:val="00E62127"/>
    <w:rsid w:val="00E62133"/>
    <w:rsid w:val="00E62137"/>
    <w:rsid w:val="00E621CE"/>
    <w:rsid w:val="00E62212"/>
    <w:rsid w:val="00E6237C"/>
    <w:rsid w:val="00E62485"/>
    <w:rsid w:val="00E624B1"/>
    <w:rsid w:val="00E62524"/>
    <w:rsid w:val="00E6258F"/>
    <w:rsid w:val="00E625EB"/>
    <w:rsid w:val="00E62624"/>
    <w:rsid w:val="00E6269D"/>
    <w:rsid w:val="00E627A9"/>
    <w:rsid w:val="00E62897"/>
    <w:rsid w:val="00E628C3"/>
    <w:rsid w:val="00E62945"/>
    <w:rsid w:val="00E629A9"/>
    <w:rsid w:val="00E62A7B"/>
    <w:rsid w:val="00E62B53"/>
    <w:rsid w:val="00E62C71"/>
    <w:rsid w:val="00E62C7A"/>
    <w:rsid w:val="00E62CED"/>
    <w:rsid w:val="00E62D87"/>
    <w:rsid w:val="00E62E97"/>
    <w:rsid w:val="00E62F5B"/>
    <w:rsid w:val="00E630FE"/>
    <w:rsid w:val="00E63156"/>
    <w:rsid w:val="00E6316E"/>
    <w:rsid w:val="00E63176"/>
    <w:rsid w:val="00E631D1"/>
    <w:rsid w:val="00E6326A"/>
    <w:rsid w:val="00E6326D"/>
    <w:rsid w:val="00E632ED"/>
    <w:rsid w:val="00E6331E"/>
    <w:rsid w:val="00E6332E"/>
    <w:rsid w:val="00E633E2"/>
    <w:rsid w:val="00E6347C"/>
    <w:rsid w:val="00E6357D"/>
    <w:rsid w:val="00E63598"/>
    <w:rsid w:val="00E635FB"/>
    <w:rsid w:val="00E63646"/>
    <w:rsid w:val="00E636CB"/>
    <w:rsid w:val="00E6371E"/>
    <w:rsid w:val="00E637C7"/>
    <w:rsid w:val="00E6382E"/>
    <w:rsid w:val="00E63866"/>
    <w:rsid w:val="00E6387D"/>
    <w:rsid w:val="00E63900"/>
    <w:rsid w:val="00E6399D"/>
    <w:rsid w:val="00E639DD"/>
    <w:rsid w:val="00E63A04"/>
    <w:rsid w:val="00E63ADC"/>
    <w:rsid w:val="00E63BE2"/>
    <w:rsid w:val="00E63DF1"/>
    <w:rsid w:val="00E63FFA"/>
    <w:rsid w:val="00E640A7"/>
    <w:rsid w:val="00E640E9"/>
    <w:rsid w:val="00E641CA"/>
    <w:rsid w:val="00E641F8"/>
    <w:rsid w:val="00E64279"/>
    <w:rsid w:val="00E64319"/>
    <w:rsid w:val="00E6433B"/>
    <w:rsid w:val="00E64347"/>
    <w:rsid w:val="00E6439E"/>
    <w:rsid w:val="00E643AB"/>
    <w:rsid w:val="00E643BB"/>
    <w:rsid w:val="00E643C8"/>
    <w:rsid w:val="00E64518"/>
    <w:rsid w:val="00E6454F"/>
    <w:rsid w:val="00E64581"/>
    <w:rsid w:val="00E645EE"/>
    <w:rsid w:val="00E6460E"/>
    <w:rsid w:val="00E647F6"/>
    <w:rsid w:val="00E648AC"/>
    <w:rsid w:val="00E6495C"/>
    <w:rsid w:val="00E6499D"/>
    <w:rsid w:val="00E649B4"/>
    <w:rsid w:val="00E649D7"/>
    <w:rsid w:val="00E64AAF"/>
    <w:rsid w:val="00E64B51"/>
    <w:rsid w:val="00E64B76"/>
    <w:rsid w:val="00E64C0A"/>
    <w:rsid w:val="00E64D74"/>
    <w:rsid w:val="00E64D79"/>
    <w:rsid w:val="00E64DCA"/>
    <w:rsid w:val="00E64EAC"/>
    <w:rsid w:val="00E64F6A"/>
    <w:rsid w:val="00E64F76"/>
    <w:rsid w:val="00E65191"/>
    <w:rsid w:val="00E651C2"/>
    <w:rsid w:val="00E65267"/>
    <w:rsid w:val="00E652DC"/>
    <w:rsid w:val="00E6531A"/>
    <w:rsid w:val="00E655A0"/>
    <w:rsid w:val="00E655CA"/>
    <w:rsid w:val="00E65603"/>
    <w:rsid w:val="00E6561C"/>
    <w:rsid w:val="00E656AE"/>
    <w:rsid w:val="00E656BB"/>
    <w:rsid w:val="00E656CC"/>
    <w:rsid w:val="00E6578D"/>
    <w:rsid w:val="00E65892"/>
    <w:rsid w:val="00E658B0"/>
    <w:rsid w:val="00E659A0"/>
    <w:rsid w:val="00E659C5"/>
    <w:rsid w:val="00E65A34"/>
    <w:rsid w:val="00E65A73"/>
    <w:rsid w:val="00E65A7B"/>
    <w:rsid w:val="00E65A97"/>
    <w:rsid w:val="00E65A9E"/>
    <w:rsid w:val="00E65AE0"/>
    <w:rsid w:val="00E65B0F"/>
    <w:rsid w:val="00E65DB5"/>
    <w:rsid w:val="00E65DCC"/>
    <w:rsid w:val="00E65E6F"/>
    <w:rsid w:val="00E65E8D"/>
    <w:rsid w:val="00E65EB8"/>
    <w:rsid w:val="00E65F1C"/>
    <w:rsid w:val="00E65F45"/>
    <w:rsid w:val="00E65F90"/>
    <w:rsid w:val="00E66008"/>
    <w:rsid w:val="00E66117"/>
    <w:rsid w:val="00E662A7"/>
    <w:rsid w:val="00E662BE"/>
    <w:rsid w:val="00E66302"/>
    <w:rsid w:val="00E663D4"/>
    <w:rsid w:val="00E664B3"/>
    <w:rsid w:val="00E66508"/>
    <w:rsid w:val="00E6662E"/>
    <w:rsid w:val="00E666BA"/>
    <w:rsid w:val="00E666BB"/>
    <w:rsid w:val="00E66721"/>
    <w:rsid w:val="00E66769"/>
    <w:rsid w:val="00E66822"/>
    <w:rsid w:val="00E66934"/>
    <w:rsid w:val="00E66A33"/>
    <w:rsid w:val="00E66CFA"/>
    <w:rsid w:val="00E66D15"/>
    <w:rsid w:val="00E66D22"/>
    <w:rsid w:val="00E66D3B"/>
    <w:rsid w:val="00E66EBB"/>
    <w:rsid w:val="00E66F0C"/>
    <w:rsid w:val="00E66F12"/>
    <w:rsid w:val="00E66F21"/>
    <w:rsid w:val="00E66F2B"/>
    <w:rsid w:val="00E66F6B"/>
    <w:rsid w:val="00E67014"/>
    <w:rsid w:val="00E67071"/>
    <w:rsid w:val="00E6709D"/>
    <w:rsid w:val="00E670F6"/>
    <w:rsid w:val="00E6710E"/>
    <w:rsid w:val="00E6711A"/>
    <w:rsid w:val="00E6716C"/>
    <w:rsid w:val="00E671AC"/>
    <w:rsid w:val="00E67216"/>
    <w:rsid w:val="00E67280"/>
    <w:rsid w:val="00E672E6"/>
    <w:rsid w:val="00E67303"/>
    <w:rsid w:val="00E673AB"/>
    <w:rsid w:val="00E67540"/>
    <w:rsid w:val="00E675AE"/>
    <w:rsid w:val="00E675E4"/>
    <w:rsid w:val="00E676C7"/>
    <w:rsid w:val="00E67701"/>
    <w:rsid w:val="00E678A4"/>
    <w:rsid w:val="00E679B3"/>
    <w:rsid w:val="00E679F9"/>
    <w:rsid w:val="00E67A26"/>
    <w:rsid w:val="00E67B4E"/>
    <w:rsid w:val="00E67CE8"/>
    <w:rsid w:val="00E67D15"/>
    <w:rsid w:val="00E67D54"/>
    <w:rsid w:val="00E67DA4"/>
    <w:rsid w:val="00E67DBD"/>
    <w:rsid w:val="00E67DE5"/>
    <w:rsid w:val="00E67E0F"/>
    <w:rsid w:val="00E67E1E"/>
    <w:rsid w:val="00E67E27"/>
    <w:rsid w:val="00E67EE1"/>
    <w:rsid w:val="00E67F04"/>
    <w:rsid w:val="00E67F27"/>
    <w:rsid w:val="00E67F6D"/>
    <w:rsid w:val="00E67FC2"/>
    <w:rsid w:val="00E67FF6"/>
    <w:rsid w:val="00E70007"/>
    <w:rsid w:val="00E700F5"/>
    <w:rsid w:val="00E701DC"/>
    <w:rsid w:val="00E70233"/>
    <w:rsid w:val="00E7028C"/>
    <w:rsid w:val="00E702DC"/>
    <w:rsid w:val="00E702F8"/>
    <w:rsid w:val="00E70373"/>
    <w:rsid w:val="00E7037D"/>
    <w:rsid w:val="00E7039F"/>
    <w:rsid w:val="00E703FC"/>
    <w:rsid w:val="00E70614"/>
    <w:rsid w:val="00E707D3"/>
    <w:rsid w:val="00E707FF"/>
    <w:rsid w:val="00E7091E"/>
    <w:rsid w:val="00E70985"/>
    <w:rsid w:val="00E709B7"/>
    <w:rsid w:val="00E70A20"/>
    <w:rsid w:val="00E70A80"/>
    <w:rsid w:val="00E70B3A"/>
    <w:rsid w:val="00E70B9F"/>
    <w:rsid w:val="00E70BA7"/>
    <w:rsid w:val="00E70C5E"/>
    <w:rsid w:val="00E70C98"/>
    <w:rsid w:val="00E70C9B"/>
    <w:rsid w:val="00E70CBC"/>
    <w:rsid w:val="00E70CE0"/>
    <w:rsid w:val="00E70CEA"/>
    <w:rsid w:val="00E70E8E"/>
    <w:rsid w:val="00E70F5D"/>
    <w:rsid w:val="00E70F6A"/>
    <w:rsid w:val="00E70F82"/>
    <w:rsid w:val="00E70FF5"/>
    <w:rsid w:val="00E710F0"/>
    <w:rsid w:val="00E71101"/>
    <w:rsid w:val="00E71119"/>
    <w:rsid w:val="00E7127C"/>
    <w:rsid w:val="00E7127D"/>
    <w:rsid w:val="00E71292"/>
    <w:rsid w:val="00E71435"/>
    <w:rsid w:val="00E7148E"/>
    <w:rsid w:val="00E714B9"/>
    <w:rsid w:val="00E71573"/>
    <w:rsid w:val="00E716BC"/>
    <w:rsid w:val="00E716D1"/>
    <w:rsid w:val="00E71747"/>
    <w:rsid w:val="00E71804"/>
    <w:rsid w:val="00E71846"/>
    <w:rsid w:val="00E71885"/>
    <w:rsid w:val="00E7190F"/>
    <w:rsid w:val="00E71AC9"/>
    <w:rsid w:val="00E71BCB"/>
    <w:rsid w:val="00E71CF0"/>
    <w:rsid w:val="00E71D1A"/>
    <w:rsid w:val="00E71DBB"/>
    <w:rsid w:val="00E71DC8"/>
    <w:rsid w:val="00E71E62"/>
    <w:rsid w:val="00E71EA7"/>
    <w:rsid w:val="00E71EC7"/>
    <w:rsid w:val="00E71EDC"/>
    <w:rsid w:val="00E71F5D"/>
    <w:rsid w:val="00E71FA9"/>
    <w:rsid w:val="00E71FDE"/>
    <w:rsid w:val="00E72047"/>
    <w:rsid w:val="00E7207D"/>
    <w:rsid w:val="00E721ED"/>
    <w:rsid w:val="00E721FA"/>
    <w:rsid w:val="00E72271"/>
    <w:rsid w:val="00E722E3"/>
    <w:rsid w:val="00E72363"/>
    <w:rsid w:val="00E72399"/>
    <w:rsid w:val="00E723AE"/>
    <w:rsid w:val="00E72444"/>
    <w:rsid w:val="00E72483"/>
    <w:rsid w:val="00E724AE"/>
    <w:rsid w:val="00E724CD"/>
    <w:rsid w:val="00E724D4"/>
    <w:rsid w:val="00E725FE"/>
    <w:rsid w:val="00E72668"/>
    <w:rsid w:val="00E72688"/>
    <w:rsid w:val="00E726C9"/>
    <w:rsid w:val="00E72731"/>
    <w:rsid w:val="00E7275F"/>
    <w:rsid w:val="00E727DD"/>
    <w:rsid w:val="00E7282D"/>
    <w:rsid w:val="00E7283C"/>
    <w:rsid w:val="00E728F7"/>
    <w:rsid w:val="00E729AD"/>
    <w:rsid w:val="00E72A0F"/>
    <w:rsid w:val="00E72AF0"/>
    <w:rsid w:val="00E72CF0"/>
    <w:rsid w:val="00E72D98"/>
    <w:rsid w:val="00E72DDF"/>
    <w:rsid w:val="00E72EA9"/>
    <w:rsid w:val="00E72EEA"/>
    <w:rsid w:val="00E73077"/>
    <w:rsid w:val="00E7310F"/>
    <w:rsid w:val="00E7319E"/>
    <w:rsid w:val="00E73265"/>
    <w:rsid w:val="00E732A1"/>
    <w:rsid w:val="00E73331"/>
    <w:rsid w:val="00E7337F"/>
    <w:rsid w:val="00E73494"/>
    <w:rsid w:val="00E735B3"/>
    <w:rsid w:val="00E7364A"/>
    <w:rsid w:val="00E7368C"/>
    <w:rsid w:val="00E736D5"/>
    <w:rsid w:val="00E7377E"/>
    <w:rsid w:val="00E737A3"/>
    <w:rsid w:val="00E73894"/>
    <w:rsid w:val="00E7397E"/>
    <w:rsid w:val="00E73A5F"/>
    <w:rsid w:val="00E73B57"/>
    <w:rsid w:val="00E73B7F"/>
    <w:rsid w:val="00E73B82"/>
    <w:rsid w:val="00E73C39"/>
    <w:rsid w:val="00E73C49"/>
    <w:rsid w:val="00E73D0F"/>
    <w:rsid w:val="00E73D99"/>
    <w:rsid w:val="00E73DD1"/>
    <w:rsid w:val="00E73ED8"/>
    <w:rsid w:val="00E73F7B"/>
    <w:rsid w:val="00E740AF"/>
    <w:rsid w:val="00E740C6"/>
    <w:rsid w:val="00E740ED"/>
    <w:rsid w:val="00E7414A"/>
    <w:rsid w:val="00E74237"/>
    <w:rsid w:val="00E7424C"/>
    <w:rsid w:val="00E742EB"/>
    <w:rsid w:val="00E7432B"/>
    <w:rsid w:val="00E7433B"/>
    <w:rsid w:val="00E74382"/>
    <w:rsid w:val="00E7440E"/>
    <w:rsid w:val="00E745F8"/>
    <w:rsid w:val="00E746FB"/>
    <w:rsid w:val="00E74775"/>
    <w:rsid w:val="00E74843"/>
    <w:rsid w:val="00E748CB"/>
    <w:rsid w:val="00E74921"/>
    <w:rsid w:val="00E749A4"/>
    <w:rsid w:val="00E749D9"/>
    <w:rsid w:val="00E749F7"/>
    <w:rsid w:val="00E74A16"/>
    <w:rsid w:val="00E74A62"/>
    <w:rsid w:val="00E74A8A"/>
    <w:rsid w:val="00E74A8C"/>
    <w:rsid w:val="00E74B2E"/>
    <w:rsid w:val="00E74BD8"/>
    <w:rsid w:val="00E74C8A"/>
    <w:rsid w:val="00E74CEF"/>
    <w:rsid w:val="00E74D8A"/>
    <w:rsid w:val="00E74DAB"/>
    <w:rsid w:val="00E74DBE"/>
    <w:rsid w:val="00E74DD4"/>
    <w:rsid w:val="00E74DEE"/>
    <w:rsid w:val="00E74E39"/>
    <w:rsid w:val="00E74E5C"/>
    <w:rsid w:val="00E74FE1"/>
    <w:rsid w:val="00E75031"/>
    <w:rsid w:val="00E750BB"/>
    <w:rsid w:val="00E750F8"/>
    <w:rsid w:val="00E75188"/>
    <w:rsid w:val="00E751D8"/>
    <w:rsid w:val="00E75220"/>
    <w:rsid w:val="00E7525C"/>
    <w:rsid w:val="00E752A6"/>
    <w:rsid w:val="00E753A4"/>
    <w:rsid w:val="00E7544F"/>
    <w:rsid w:val="00E75568"/>
    <w:rsid w:val="00E755D7"/>
    <w:rsid w:val="00E755F0"/>
    <w:rsid w:val="00E75684"/>
    <w:rsid w:val="00E7575E"/>
    <w:rsid w:val="00E758EE"/>
    <w:rsid w:val="00E75933"/>
    <w:rsid w:val="00E75979"/>
    <w:rsid w:val="00E759FC"/>
    <w:rsid w:val="00E75A17"/>
    <w:rsid w:val="00E75A35"/>
    <w:rsid w:val="00E75ABB"/>
    <w:rsid w:val="00E75B26"/>
    <w:rsid w:val="00E75B45"/>
    <w:rsid w:val="00E75BFD"/>
    <w:rsid w:val="00E75C7A"/>
    <w:rsid w:val="00E75D1B"/>
    <w:rsid w:val="00E75DA5"/>
    <w:rsid w:val="00E75E0B"/>
    <w:rsid w:val="00E75E26"/>
    <w:rsid w:val="00E75E4D"/>
    <w:rsid w:val="00E75F00"/>
    <w:rsid w:val="00E75F21"/>
    <w:rsid w:val="00E75FDE"/>
    <w:rsid w:val="00E76000"/>
    <w:rsid w:val="00E76019"/>
    <w:rsid w:val="00E76028"/>
    <w:rsid w:val="00E76056"/>
    <w:rsid w:val="00E76091"/>
    <w:rsid w:val="00E760C1"/>
    <w:rsid w:val="00E760C4"/>
    <w:rsid w:val="00E76112"/>
    <w:rsid w:val="00E76163"/>
    <w:rsid w:val="00E76262"/>
    <w:rsid w:val="00E762D9"/>
    <w:rsid w:val="00E76301"/>
    <w:rsid w:val="00E7631D"/>
    <w:rsid w:val="00E7645E"/>
    <w:rsid w:val="00E765F1"/>
    <w:rsid w:val="00E76602"/>
    <w:rsid w:val="00E76665"/>
    <w:rsid w:val="00E7666A"/>
    <w:rsid w:val="00E76780"/>
    <w:rsid w:val="00E76806"/>
    <w:rsid w:val="00E76924"/>
    <w:rsid w:val="00E769F4"/>
    <w:rsid w:val="00E76B52"/>
    <w:rsid w:val="00E76CD5"/>
    <w:rsid w:val="00E76D1C"/>
    <w:rsid w:val="00E76D24"/>
    <w:rsid w:val="00E76D86"/>
    <w:rsid w:val="00E76E48"/>
    <w:rsid w:val="00E76E64"/>
    <w:rsid w:val="00E76E6C"/>
    <w:rsid w:val="00E76E79"/>
    <w:rsid w:val="00E76E94"/>
    <w:rsid w:val="00E76F80"/>
    <w:rsid w:val="00E76FEF"/>
    <w:rsid w:val="00E76FF4"/>
    <w:rsid w:val="00E77045"/>
    <w:rsid w:val="00E77107"/>
    <w:rsid w:val="00E771BD"/>
    <w:rsid w:val="00E77398"/>
    <w:rsid w:val="00E773B3"/>
    <w:rsid w:val="00E774D7"/>
    <w:rsid w:val="00E774F3"/>
    <w:rsid w:val="00E7750B"/>
    <w:rsid w:val="00E7755E"/>
    <w:rsid w:val="00E775CB"/>
    <w:rsid w:val="00E77699"/>
    <w:rsid w:val="00E776D6"/>
    <w:rsid w:val="00E77719"/>
    <w:rsid w:val="00E77A4C"/>
    <w:rsid w:val="00E77AD3"/>
    <w:rsid w:val="00E77B64"/>
    <w:rsid w:val="00E77BD1"/>
    <w:rsid w:val="00E77BD7"/>
    <w:rsid w:val="00E77C03"/>
    <w:rsid w:val="00E77C06"/>
    <w:rsid w:val="00E77D22"/>
    <w:rsid w:val="00E77E3A"/>
    <w:rsid w:val="00E77FFE"/>
    <w:rsid w:val="00E800EA"/>
    <w:rsid w:val="00E801A1"/>
    <w:rsid w:val="00E801B2"/>
    <w:rsid w:val="00E80243"/>
    <w:rsid w:val="00E80264"/>
    <w:rsid w:val="00E802B3"/>
    <w:rsid w:val="00E80320"/>
    <w:rsid w:val="00E80356"/>
    <w:rsid w:val="00E8039C"/>
    <w:rsid w:val="00E803AB"/>
    <w:rsid w:val="00E8043C"/>
    <w:rsid w:val="00E804DB"/>
    <w:rsid w:val="00E80715"/>
    <w:rsid w:val="00E80723"/>
    <w:rsid w:val="00E8079A"/>
    <w:rsid w:val="00E808D4"/>
    <w:rsid w:val="00E80944"/>
    <w:rsid w:val="00E80A1F"/>
    <w:rsid w:val="00E80B23"/>
    <w:rsid w:val="00E80B8E"/>
    <w:rsid w:val="00E80C3B"/>
    <w:rsid w:val="00E80C55"/>
    <w:rsid w:val="00E80CB6"/>
    <w:rsid w:val="00E80CE3"/>
    <w:rsid w:val="00E80D28"/>
    <w:rsid w:val="00E80D96"/>
    <w:rsid w:val="00E80EEF"/>
    <w:rsid w:val="00E81020"/>
    <w:rsid w:val="00E81088"/>
    <w:rsid w:val="00E8108E"/>
    <w:rsid w:val="00E811E1"/>
    <w:rsid w:val="00E8128D"/>
    <w:rsid w:val="00E812C9"/>
    <w:rsid w:val="00E81306"/>
    <w:rsid w:val="00E81310"/>
    <w:rsid w:val="00E81338"/>
    <w:rsid w:val="00E8135E"/>
    <w:rsid w:val="00E813C1"/>
    <w:rsid w:val="00E813F7"/>
    <w:rsid w:val="00E81465"/>
    <w:rsid w:val="00E81503"/>
    <w:rsid w:val="00E8168D"/>
    <w:rsid w:val="00E816BC"/>
    <w:rsid w:val="00E816F9"/>
    <w:rsid w:val="00E8171E"/>
    <w:rsid w:val="00E8172F"/>
    <w:rsid w:val="00E8183A"/>
    <w:rsid w:val="00E81882"/>
    <w:rsid w:val="00E8192F"/>
    <w:rsid w:val="00E819BA"/>
    <w:rsid w:val="00E81B2B"/>
    <w:rsid w:val="00E81B49"/>
    <w:rsid w:val="00E81B63"/>
    <w:rsid w:val="00E81BD6"/>
    <w:rsid w:val="00E81C5C"/>
    <w:rsid w:val="00E81D20"/>
    <w:rsid w:val="00E81DB1"/>
    <w:rsid w:val="00E81DB5"/>
    <w:rsid w:val="00E81DDC"/>
    <w:rsid w:val="00E81E40"/>
    <w:rsid w:val="00E81E77"/>
    <w:rsid w:val="00E81F26"/>
    <w:rsid w:val="00E81F86"/>
    <w:rsid w:val="00E81F99"/>
    <w:rsid w:val="00E81FDD"/>
    <w:rsid w:val="00E8205C"/>
    <w:rsid w:val="00E82131"/>
    <w:rsid w:val="00E8215E"/>
    <w:rsid w:val="00E82229"/>
    <w:rsid w:val="00E8228F"/>
    <w:rsid w:val="00E82295"/>
    <w:rsid w:val="00E822A6"/>
    <w:rsid w:val="00E82324"/>
    <w:rsid w:val="00E82383"/>
    <w:rsid w:val="00E823CE"/>
    <w:rsid w:val="00E823D4"/>
    <w:rsid w:val="00E82541"/>
    <w:rsid w:val="00E8255D"/>
    <w:rsid w:val="00E82574"/>
    <w:rsid w:val="00E826B7"/>
    <w:rsid w:val="00E826E4"/>
    <w:rsid w:val="00E82709"/>
    <w:rsid w:val="00E82744"/>
    <w:rsid w:val="00E8276B"/>
    <w:rsid w:val="00E82780"/>
    <w:rsid w:val="00E8281D"/>
    <w:rsid w:val="00E82845"/>
    <w:rsid w:val="00E82899"/>
    <w:rsid w:val="00E828AB"/>
    <w:rsid w:val="00E8297D"/>
    <w:rsid w:val="00E829DD"/>
    <w:rsid w:val="00E829F3"/>
    <w:rsid w:val="00E82A61"/>
    <w:rsid w:val="00E82AD6"/>
    <w:rsid w:val="00E82B9C"/>
    <w:rsid w:val="00E82BA2"/>
    <w:rsid w:val="00E82C3B"/>
    <w:rsid w:val="00E82D53"/>
    <w:rsid w:val="00E82D70"/>
    <w:rsid w:val="00E82DD1"/>
    <w:rsid w:val="00E82EE4"/>
    <w:rsid w:val="00E82F1E"/>
    <w:rsid w:val="00E83256"/>
    <w:rsid w:val="00E832D4"/>
    <w:rsid w:val="00E832F5"/>
    <w:rsid w:val="00E83310"/>
    <w:rsid w:val="00E8337F"/>
    <w:rsid w:val="00E833A2"/>
    <w:rsid w:val="00E834E3"/>
    <w:rsid w:val="00E834E4"/>
    <w:rsid w:val="00E834FF"/>
    <w:rsid w:val="00E835EC"/>
    <w:rsid w:val="00E83602"/>
    <w:rsid w:val="00E83716"/>
    <w:rsid w:val="00E8371E"/>
    <w:rsid w:val="00E8376B"/>
    <w:rsid w:val="00E837DC"/>
    <w:rsid w:val="00E83897"/>
    <w:rsid w:val="00E838F5"/>
    <w:rsid w:val="00E8394F"/>
    <w:rsid w:val="00E839D3"/>
    <w:rsid w:val="00E839E8"/>
    <w:rsid w:val="00E839F6"/>
    <w:rsid w:val="00E83A0E"/>
    <w:rsid w:val="00E83A37"/>
    <w:rsid w:val="00E83A83"/>
    <w:rsid w:val="00E83AC6"/>
    <w:rsid w:val="00E83BAD"/>
    <w:rsid w:val="00E83C18"/>
    <w:rsid w:val="00E83D6B"/>
    <w:rsid w:val="00E83D7D"/>
    <w:rsid w:val="00E83D95"/>
    <w:rsid w:val="00E83DC9"/>
    <w:rsid w:val="00E83E12"/>
    <w:rsid w:val="00E83F02"/>
    <w:rsid w:val="00E83FDB"/>
    <w:rsid w:val="00E8411D"/>
    <w:rsid w:val="00E841A6"/>
    <w:rsid w:val="00E84332"/>
    <w:rsid w:val="00E84353"/>
    <w:rsid w:val="00E843AC"/>
    <w:rsid w:val="00E84539"/>
    <w:rsid w:val="00E8454B"/>
    <w:rsid w:val="00E84556"/>
    <w:rsid w:val="00E845B5"/>
    <w:rsid w:val="00E845EE"/>
    <w:rsid w:val="00E84603"/>
    <w:rsid w:val="00E8470A"/>
    <w:rsid w:val="00E8478E"/>
    <w:rsid w:val="00E8486B"/>
    <w:rsid w:val="00E848BF"/>
    <w:rsid w:val="00E848CD"/>
    <w:rsid w:val="00E8491E"/>
    <w:rsid w:val="00E84AFD"/>
    <w:rsid w:val="00E84BE7"/>
    <w:rsid w:val="00E84BEE"/>
    <w:rsid w:val="00E84C6A"/>
    <w:rsid w:val="00E84D5B"/>
    <w:rsid w:val="00E84E07"/>
    <w:rsid w:val="00E84E38"/>
    <w:rsid w:val="00E84EA4"/>
    <w:rsid w:val="00E84EC3"/>
    <w:rsid w:val="00E84F5F"/>
    <w:rsid w:val="00E84FE8"/>
    <w:rsid w:val="00E85032"/>
    <w:rsid w:val="00E851D2"/>
    <w:rsid w:val="00E85224"/>
    <w:rsid w:val="00E854B4"/>
    <w:rsid w:val="00E854CA"/>
    <w:rsid w:val="00E8566B"/>
    <w:rsid w:val="00E85693"/>
    <w:rsid w:val="00E85754"/>
    <w:rsid w:val="00E8577F"/>
    <w:rsid w:val="00E85781"/>
    <w:rsid w:val="00E85841"/>
    <w:rsid w:val="00E85878"/>
    <w:rsid w:val="00E85891"/>
    <w:rsid w:val="00E85968"/>
    <w:rsid w:val="00E8599E"/>
    <w:rsid w:val="00E85A2D"/>
    <w:rsid w:val="00E85A80"/>
    <w:rsid w:val="00E85AA7"/>
    <w:rsid w:val="00E85AE0"/>
    <w:rsid w:val="00E85B22"/>
    <w:rsid w:val="00E85B8F"/>
    <w:rsid w:val="00E85BE8"/>
    <w:rsid w:val="00E85C53"/>
    <w:rsid w:val="00E85C68"/>
    <w:rsid w:val="00E85C7F"/>
    <w:rsid w:val="00E85C94"/>
    <w:rsid w:val="00E85CAF"/>
    <w:rsid w:val="00E85CB3"/>
    <w:rsid w:val="00E85CED"/>
    <w:rsid w:val="00E85D1E"/>
    <w:rsid w:val="00E85D33"/>
    <w:rsid w:val="00E85E10"/>
    <w:rsid w:val="00E85FE7"/>
    <w:rsid w:val="00E86008"/>
    <w:rsid w:val="00E861FE"/>
    <w:rsid w:val="00E86230"/>
    <w:rsid w:val="00E86237"/>
    <w:rsid w:val="00E863FF"/>
    <w:rsid w:val="00E86423"/>
    <w:rsid w:val="00E8648A"/>
    <w:rsid w:val="00E864A9"/>
    <w:rsid w:val="00E864F0"/>
    <w:rsid w:val="00E86612"/>
    <w:rsid w:val="00E866C0"/>
    <w:rsid w:val="00E8671D"/>
    <w:rsid w:val="00E867E6"/>
    <w:rsid w:val="00E867FB"/>
    <w:rsid w:val="00E86822"/>
    <w:rsid w:val="00E86959"/>
    <w:rsid w:val="00E869B6"/>
    <w:rsid w:val="00E869DE"/>
    <w:rsid w:val="00E86A20"/>
    <w:rsid w:val="00E86A71"/>
    <w:rsid w:val="00E86AB9"/>
    <w:rsid w:val="00E86B2E"/>
    <w:rsid w:val="00E86B43"/>
    <w:rsid w:val="00E86B5D"/>
    <w:rsid w:val="00E86C31"/>
    <w:rsid w:val="00E86D32"/>
    <w:rsid w:val="00E86D65"/>
    <w:rsid w:val="00E86DA5"/>
    <w:rsid w:val="00E86DD8"/>
    <w:rsid w:val="00E86EA7"/>
    <w:rsid w:val="00E86F03"/>
    <w:rsid w:val="00E86FFD"/>
    <w:rsid w:val="00E8704C"/>
    <w:rsid w:val="00E87100"/>
    <w:rsid w:val="00E87136"/>
    <w:rsid w:val="00E87296"/>
    <w:rsid w:val="00E872F0"/>
    <w:rsid w:val="00E87311"/>
    <w:rsid w:val="00E87386"/>
    <w:rsid w:val="00E87394"/>
    <w:rsid w:val="00E873D4"/>
    <w:rsid w:val="00E87515"/>
    <w:rsid w:val="00E875E9"/>
    <w:rsid w:val="00E87699"/>
    <w:rsid w:val="00E876A7"/>
    <w:rsid w:val="00E876B5"/>
    <w:rsid w:val="00E876D4"/>
    <w:rsid w:val="00E87A32"/>
    <w:rsid w:val="00E87A71"/>
    <w:rsid w:val="00E87AE6"/>
    <w:rsid w:val="00E87AEE"/>
    <w:rsid w:val="00E87B18"/>
    <w:rsid w:val="00E87B24"/>
    <w:rsid w:val="00E87B80"/>
    <w:rsid w:val="00E87B8A"/>
    <w:rsid w:val="00E87BAB"/>
    <w:rsid w:val="00E87BFC"/>
    <w:rsid w:val="00E87CDD"/>
    <w:rsid w:val="00E87D05"/>
    <w:rsid w:val="00E87E70"/>
    <w:rsid w:val="00E87F09"/>
    <w:rsid w:val="00E90068"/>
    <w:rsid w:val="00E900F2"/>
    <w:rsid w:val="00E90269"/>
    <w:rsid w:val="00E90272"/>
    <w:rsid w:val="00E9027C"/>
    <w:rsid w:val="00E902FB"/>
    <w:rsid w:val="00E90524"/>
    <w:rsid w:val="00E9056B"/>
    <w:rsid w:val="00E90589"/>
    <w:rsid w:val="00E90699"/>
    <w:rsid w:val="00E90711"/>
    <w:rsid w:val="00E90954"/>
    <w:rsid w:val="00E909C6"/>
    <w:rsid w:val="00E90B7C"/>
    <w:rsid w:val="00E90C80"/>
    <w:rsid w:val="00E90CB8"/>
    <w:rsid w:val="00E90D4C"/>
    <w:rsid w:val="00E90E46"/>
    <w:rsid w:val="00E90EDB"/>
    <w:rsid w:val="00E90FD5"/>
    <w:rsid w:val="00E90FFC"/>
    <w:rsid w:val="00E91186"/>
    <w:rsid w:val="00E912BA"/>
    <w:rsid w:val="00E91371"/>
    <w:rsid w:val="00E91391"/>
    <w:rsid w:val="00E91417"/>
    <w:rsid w:val="00E9149E"/>
    <w:rsid w:val="00E914B7"/>
    <w:rsid w:val="00E914FB"/>
    <w:rsid w:val="00E9152F"/>
    <w:rsid w:val="00E91531"/>
    <w:rsid w:val="00E91595"/>
    <w:rsid w:val="00E91735"/>
    <w:rsid w:val="00E917C1"/>
    <w:rsid w:val="00E917FF"/>
    <w:rsid w:val="00E91825"/>
    <w:rsid w:val="00E91A8A"/>
    <w:rsid w:val="00E91B57"/>
    <w:rsid w:val="00E91C16"/>
    <w:rsid w:val="00E91C1E"/>
    <w:rsid w:val="00E91C86"/>
    <w:rsid w:val="00E91F5B"/>
    <w:rsid w:val="00E91FD7"/>
    <w:rsid w:val="00E9210B"/>
    <w:rsid w:val="00E92195"/>
    <w:rsid w:val="00E92329"/>
    <w:rsid w:val="00E9233A"/>
    <w:rsid w:val="00E92497"/>
    <w:rsid w:val="00E924D1"/>
    <w:rsid w:val="00E924E0"/>
    <w:rsid w:val="00E925A9"/>
    <w:rsid w:val="00E92601"/>
    <w:rsid w:val="00E9268A"/>
    <w:rsid w:val="00E926E9"/>
    <w:rsid w:val="00E9291C"/>
    <w:rsid w:val="00E929B3"/>
    <w:rsid w:val="00E92A6F"/>
    <w:rsid w:val="00E92A9F"/>
    <w:rsid w:val="00E92CFC"/>
    <w:rsid w:val="00E92D5C"/>
    <w:rsid w:val="00E92D62"/>
    <w:rsid w:val="00E92DA3"/>
    <w:rsid w:val="00E92E57"/>
    <w:rsid w:val="00E92F5F"/>
    <w:rsid w:val="00E92FA9"/>
    <w:rsid w:val="00E92FFC"/>
    <w:rsid w:val="00E930D0"/>
    <w:rsid w:val="00E93103"/>
    <w:rsid w:val="00E93182"/>
    <w:rsid w:val="00E93294"/>
    <w:rsid w:val="00E933A8"/>
    <w:rsid w:val="00E934FB"/>
    <w:rsid w:val="00E9358E"/>
    <w:rsid w:val="00E93851"/>
    <w:rsid w:val="00E93897"/>
    <w:rsid w:val="00E938BB"/>
    <w:rsid w:val="00E938D1"/>
    <w:rsid w:val="00E93A29"/>
    <w:rsid w:val="00E93A7C"/>
    <w:rsid w:val="00E93A9D"/>
    <w:rsid w:val="00E93C1C"/>
    <w:rsid w:val="00E93C6A"/>
    <w:rsid w:val="00E93CF3"/>
    <w:rsid w:val="00E93D4D"/>
    <w:rsid w:val="00E93EBC"/>
    <w:rsid w:val="00E93F77"/>
    <w:rsid w:val="00E94158"/>
    <w:rsid w:val="00E94189"/>
    <w:rsid w:val="00E9419B"/>
    <w:rsid w:val="00E94248"/>
    <w:rsid w:val="00E94269"/>
    <w:rsid w:val="00E9428A"/>
    <w:rsid w:val="00E942A2"/>
    <w:rsid w:val="00E943A4"/>
    <w:rsid w:val="00E94402"/>
    <w:rsid w:val="00E94410"/>
    <w:rsid w:val="00E94511"/>
    <w:rsid w:val="00E94537"/>
    <w:rsid w:val="00E94558"/>
    <w:rsid w:val="00E94588"/>
    <w:rsid w:val="00E94663"/>
    <w:rsid w:val="00E94698"/>
    <w:rsid w:val="00E946E0"/>
    <w:rsid w:val="00E946E8"/>
    <w:rsid w:val="00E94710"/>
    <w:rsid w:val="00E94954"/>
    <w:rsid w:val="00E94A09"/>
    <w:rsid w:val="00E94A6A"/>
    <w:rsid w:val="00E94A9A"/>
    <w:rsid w:val="00E94ACE"/>
    <w:rsid w:val="00E94AFC"/>
    <w:rsid w:val="00E94BA3"/>
    <w:rsid w:val="00E94C0F"/>
    <w:rsid w:val="00E94C65"/>
    <w:rsid w:val="00E94D2B"/>
    <w:rsid w:val="00E94D56"/>
    <w:rsid w:val="00E94DD5"/>
    <w:rsid w:val="00E94E35"/>
    <w:rsid w:val="00E94EB0"/>
    <w:rsid w:val="00E94ED5"/>
    <w:rsid w:val="00E94F8D"/>
    <w:rsid w:val="00E94FB0"/>
    <w:rsid w:val="00E95148"/>
    <w:rsid w:val="00E952E8"/>
    <w:rsid w:val="00E953A2"/>
    <w:rsid w:val="00E95534"/>
    <w:rsid w:val="00E95577"/>
    <w:rsid w:val="00E9565D"/>
    <w:rsid w:val="00E958E2"/>
    <w:rsid w:val="00E958F4"/>
    <w:rsid w:val="00E959EB"/>
    <w:rsid w:val="00E95A2C"/>
    <w:rsid w:val="00E95A47"/>
    <w:rsid w:val="00E95A55"/>
    <w:rsid w:val="00E95A84"/>
    <w:rsid w:val="00E95AF2"/>
    <w:rsid w:val="00E95CE8"/>
    <w:rsid w:val="00E95CEB"/>
    <w:rsid w:val="00E95CF4"/>
    <w:rsid w:val="00E95D34"/>
    <w:rsid w:val="00E95D8E"/>
    <w:rsid w:val="00E95DE3"/>
    <w:rsid w:val="00E95E4B"/>
    <w:rsid w:val="00E95F47"/>
    <w:rsid w:val="00E9602A"/>
    <w:rsid w:val="00E96072"/>
    <w:rsid w:val="00E9610E"/>
    <w:rsid w:val="00E961EC"/>
    <w:rsid w:val="00E961F5"/>
    <w:rsid w:val="00E96273"/>
    <w:rsid w:val="00E96316"/>
    <w:rsid w:val="00E9637A"/>
    <w:rsid w:val="00E963FC"/>
    <w:rsid w:val="00E96405"/>
    <w:rsid w:val="00E96418"/>
    <w:rsid w:val="00E9643B"/>
    <w:rsid w:val="00E96485"/>
    <w:rsid w:val="00E964F2"/>
    <w:rsid w:val="00E964F3"/>
    <w:rsid w:val="00E9650B"/>
    <w:rsid w:val="00E9678D"/>
    <w:rsid w:val="00E969B9"/>
    <w:rsid w:val="00E969DA"/>
    <w:rsid w:val="00E96A00"/>
    <w:rsid w:val="00E96A31"/>
    <w:rsid w:val="00E96AE4"/>
    <w:rsid w:val="00E96B0A"/>
    <w:rsid w:val="00E96B38"/>
    <w:rsid w:val="00E96BC1"/>
    <w:rsid w:val="00E96C33"/>
    <w:rsid w:val="00E96C91"/>
    <w:rsid w:val="00E96CBE"/>
    <w:rsid w:val="00E96D11"/>
    <w:rsid w:val="00E96D12"/>
    <w:rsid w:val="00E96EE0"/>
    <w:rsid w:val="00E96F3F"/>
    <w:rsid w:val="00E96FC1"/>
    <w:rsid w:val="00E96FEA"/>
    <w:rsid w:val="00E97097"/>
    <w:rsid w:val="00E97203"/>
    <w:rsid w:val="00E9722B"/>
    <w:rsid w:val="00E97300"/>
    <w:rsid w:val="00E9741E"/>
    <w:rsid w:val="00E9753A"/>
    <w:rsid w:val="00E975FE"/>
    <w:rsid w:val="00E976C7"/>
    <w:rsid w:val="00E976E4"/>
    <w:rsid w:val="00E977A2"/>
    <w:rsid w:val="00E977B5"/>
    <w:rsid w:val="00E978D5"/>
    <w:rsid w:val="00E9795A"/>
    <w:rsid w:val="00E979E5"/>
    <w:rsid w:val="00E97A0C"/>
    <w:rsid w:val="00E97A32"/>
    <w:rsid w:val="00E97A66"/>
    <w:rsid w:val="00E97AF5"/>
    <w:rsid w:val="00E97D73"/>
    <w:rsid w:val="00E97E0E"/>
    <w:rsid w:val="00E97E24"/>
    <w:rsid w:val="00E97E2B"/>
    <w:rsid w:val="00E97FDB"/>
    <w:rsid w:val="00E97FFA"/>
    <w:rsid w:val="00EA0124"/>
    <w:rsid w:val="00EA0160"/>
    <w:rsid w:val="00EA01DF"/>
    <w:rsid w:val="00EA022E"/>
    <w:rsid w:val="00EA026D"/>
    <w:rsid w:val="00EA0335"/>
    <w:rsid w:val="00EA03FC"/>
    <w:rsid w:val="00EA044C"/>
    <w:rsid w:val="00EA06E4"/>
    <w:rsid w:val="00EA077D"/>
    <w:rsid w:val="00EA082C"/>
    <w:rsid w:val="00EA089D"/>
    <w:rsid w:val="00EA08AA"/>
    <w:rsid w:val="00EA0A17"/>
    <w:rsid w:val="00EA0AD3"/>
    <w:rsid w:val="00EA0AD9"/>
    <w:rsid w:val="00EA0B1B"/>
    <w:rsid w:val="00EA0CAA"/>
    <w:rsid w:val="00EA0CD3"/>
    <w:rsid w:val="00EA0D19"/>
    <w:rsid w:val="00EA0DB0"/>
    <w:rsid w:val="00EA0DC8"/>
    <w:rsid w:val="00EA0DD5"/>
    <w:rsid w:val="00EA0E8E"/>
    <w:rsid w:val="00EA0EDB"/>
    <w:rsid w:val="00EA0F3D"/>
    <w:rsid w:val="00EA108C"/>
    <w:rsid w:val="00EA1091"/>
    <w:rsid w:val="00EA11D8"/>
    <w:rsid w:val="00EA1212"/>
    <w:rsid w:val="00EA1283"/>
    <w:rsid w:val="00EA12FF"/>
    <w:rsid w:val="00EA13B9"/>
    <w:rsid w:val="00EA13D4"/>
    <w:rsid w:val="00EA1474"/>
    <w:rsid w:val="00EA147C"/>
    <w:rsid w:val="00EA14F1"/>
    <w:rsid w:val="00EA1512"/>
    <w:rsid w:val="00EA1535"/>
    <w:rsid w:val="00EA1560"/>
    <w:rsid w:val="00EA15B6"/>
    <w:rsid w:val="00EA1649"/>
    <w:rsid w:val="00EA1748"/>
    <w:rsid w:val="00EA175C"/>
    <w:rsid w:val="00EA17F9"/>
    <w:rsid w:val="00EA1862"/>
    <w:rsid w:val="00EA1876"/>
    <w:rsid w:val="00EA188B"/>
    <w:rsid w:val="00EA18C8"/>
    <w:rsid w:val="00EA197E"/>
    <w:rsid w:val="00EA1B21"/>
    <w:rsid w:val="00EA1B27"/>
    <w:rsid w:val="00EA1BC1"/>
    <w:rsid w:val="00EA1BD0"/>
    <w:rsid w:val="00EA1BD5"/>
    <w:rsid w:val="00EA1C85"/>
    <w:rsid w:val="00EA1D0D"/>
    <w:rsid w:val="00EA1D1B"/>
    <w:rsid w:val="00EA1D1F"/>
    <w:rsid w:val="00EA1EAF"/>
    <w:rsid w:val="00EA1F60"/>
    <w:rsid w:val="00EA204A"/>
    <w:rsid w:val="00EA20EB"/>
    <w:rsid w:val="00EA2101"/>
    <w:rsid w:val="00EA2119"/>
    <w:rsid w:val="00EA211B"/>
    <w:rsid w:val="00EA212F"/>
    <w:rsid w:val="00EA2162"/>
    <w:rsid w:val="00EA21D8"/>
    <w:rsid w:val="00EA2240"/>
    <w:rsid w:val="00EA22D3"/>
    <w:rsid w:val="00EA2346"/>
    <w:rsid w:val="00EA236C"/>
    <w:rsid w:val="00EA23E9"/>
    <w:rsid w:val="00EA23F7"/>
    <w:rsid w:val="00EA24E1"/>
    <w:rsid w:val="00EA2549"/>
    <w:rsid w:val="00EA282D"/>
    <w:rsid w:val="00EA29B1"/>
    <w:rsid w:val="00EA2A32"/>
    <w:rsid w:val="00EA2A94"/>
    <w:rsid w:val="00EA2B45"/>
    <w:rsid w:val="00EA2B68"/>
    <w:rsid w:val="00EA2CD6"/>
    <w:rsid w:val="00EA2D12"/>
    <w:rsid w:val="00EA2DDD"/>
    <w:rsid w:val="00EA2DEC"/>
    <w:rsid w:val="00EA2E0B"/>
    <w:rsid w:val="00EA2E5A"/>
    <w:rsid w:val="00EA2E89"/>
    <w:rsid w:val="00EA2F05"/>
    <w:rsid w:val="00EA300C"/>
    <w:rsid w:val="00EA30D6"/>
    <w:rsid w:val="00EA30E1"/>
    <w:rsid w:val="00EA3193"/>
    <w:rsid w:val="00EA3199"/>
    <w:rsid w:val="00EA31A3"/>
    <w:rsid w:val="00EA3223"/>
    <w:rsid w:val="00EA324A"/>
    <w:rsid w:val="00EA3288"/>
    <w:rsid w:val="00EA3328"/>
    <w:rsid w:val="00EA3417"/>
    <w:rsid w:val="00EA3436"/>
    <w:rsid w:val="00EA343B"/>
    <w:rsid w:val="00EA34E7"/>
    <w:rsid w:val="00EA34F4"/>
    <w:rsid w:val="00EA35CF"/>
    <w:rsid w:val="00EA35F8"/>
    <w:rsid w:val="00EA3600"/>
    <w:rsid w:val="00EA3660"/>
    <w:rsid w:val="00EA36EF"/>
    <w:rsid w:val="00EA3715"/>
    <w:rsid w:val="00EA37D5"/>
    <w:rsid w:val="00EA3882"/>
    <w:rsid w:val="00EA39E1"/>
    <w:rsid w:val="00EA3A5E"/>
    <w:rsid w:val="00EA3A76"/>
    <w:rsid w:val="00EA3B07"/>
    <w:rsid w:val="00EA3BCA"/>
    <w:rsid w:val="00EA3BDA"/>
    <w:rsid w:val="00EA3D05"/>
    <w:rsid w:val="00EA3D73"/>
    <w:rsid w:val="00EA3DC4"/>
    <w:rsid w:val="00EA3E2B"/>
    <w:rsid w:val="00EA3E6E"/>
    <w:rsid w:val="00EA3ED6"/>
    <w:rsid w:val="00EA3EDA"/>
    <w:rsid w:val="00EA3F12"/>
    <w:rsid w:val="00EA3F82"/>
    <w:rsid w:val="00EA3FF4"/>
    <w:rsid w:val="00EA403E"/>
    <w:rsid w:val="00EA40D7"/>
    <w:rsid w:val="00EA40F2"/>
    <w:rsid w:val="00EA413F"/>
    <w:rsid w:val="00EA417E"/>
    <w:rsid w:val="00EA4194"/>
    <w:rsid w:val="00EA42CC"/>
    <w:rsid w:val="00EA42D4"/>
    <w:rsid w:val="00EA43B0"/>
    <w:rsid w:val="00EA43DC"/>
    <w:rsid w:val="00EA447E"/>
    <w:rsid w:val="00EA44A9"/>
    <w:rsid w:val="00EA44FE"/>
    <w:rsid w:val="00EA45EA"/>
    <w:rsid w:val="00EA46BF"/>
    <w:rsid w:val="00EA46D5"/>
    <w:rsid w:val="00EA495E"/>
    <w:rsid w:val="00EA49BD"/>
    <w:rsid w:val="00EA4B18"/>
    <w:rsid w:val="00EA4C78"/>
    <w:rsid w:val="00EA4CF2"/>
    <w:rsid w:val="00EA4D72"/>
    <w:rsid w:val="00EA4E0A"/>
    <w:rsid w:val="00EA4E19"/>
    <w:rsid w:val="00EA4E46"/>
    <w:rsid w:val="00EA4F7F"/>
    <w:rsid w:val="00EA4FAD"/>
    <w:rsid w:val="00EA4FDE"/>
    <w:rsid w:val="00EA506E"/>
    <w:rsid w:val="00EA5164"/>
    <w:rsid w:val="00EA51B4"/>
    <w:rsid w:val="00EA51D0"/>
    <w:rsid w:val="00EA51EA"/>
    <w:rsid w:val="00EA52D7"/>
    <w:rsid w:val="00EA5313"/>
    <w:rsid w:val="00EA531A"/>
    <w:rsid w:val="00EA5321"/>
    <w:rsid w:val="00EA536C"/>
    <w:rsid w:val="00EA53F2"/>
    <w:rsid w:val="00EA549D"/>
    <w:rsid w:val="00EA560B"/>
    <w:rsid w:val="00EA5610"/>
    <w:rsid w:val="00EA5641"/>
    <w:rsid w:val="00EA56EB"/>
    <w:rsid w:val="00EA578F"/>
    <w:rsid w:val="00EA5807"/>
    <w:rsid w:val="00EA5838"/>
    <w:rsid w:val="00EA58A2"/>
    <w:rsid w:val="00EA591E"/>
    <w:rsid w:val="00EA5960"/>
    <w:rsid w:val="00EA59D1"/>
    <w:rsid w:val="00EA5A96"/>
    <w:rsid w:val="00EA5B68"/>
    <w:rsid w:val="00EA5B8D"/>
    <w:rsid w:val="00EA5D65"/>
    <w:rsid w:val="00EA5EE2"/>
    <w:rsid w:val="00EA5EF1"/>
    <w:rsid w:val="00EA5FA6"/>
    <w:rsid w:val="00EA60E8"/>
    <w:rsid w:val="00EA6129"/>
    <w:rsid w:val="00EA63D7"/>
    <w:rsid w:val="00EA6443"/>
    <w:rsid w:val="00EA64D7"/>
    <w:rsid w:val="00EA64F7"/>
    <w:rsid w:val="00EA66DE"/>
    <w:rsid w:val="00EA68B8"/>
    <w:rsid w:val="00EA68CE"/>
    <w:rsid w:val="00EA69EB"/>
    <w:rsid w:val="00EA6A6E"/>
    <w:rsid w:val="00EA6ADB"/>
    <w:rsid w:val="00EA6AFF"/>
    <w:rsid w:val="00EA6B3A"/>
    <w:rsid w:val="00EA6BD2"/>
    <w:rsid w:val="00EA6C05"/>
    <w:rsid w:val="00EA6D61"/>
    <w:rsid w:val="00EA6D6E"/>
    <w:rsid w:val="00EA6D90"/>
    <w:rsid w:val="00EA6E4D"/>
    <w:rsid w:val="00EA6E74"/>
    <w:rsid w:val="00EA6EFE"/>
    <w:rsid w:val="00EA6F2C"/>
    <w:rsid w:val="00EA7096"/>
    <w:rsid w:val="00EA70C4"/>
    <w:rsid w:val="00EA7121"/>
    <w:rsid w:val="00EA7230"/>
    <w:rsid w:val="00EA72E4"/>
    <w:rsid w:val="00EA73B2"/>
    <w:rsid w:val="00EA73CC"/>
    <w:rsid w:val="00EA73E0"/>
    <w:rsid w:val="00EA7583"/>
    <w:rsid w:val="00EA75DF"/>
    <w:rsid w:val="00EA7638"/>
    <w:rsid w:val="00EA7661"/>
    <w:rsid w:val="00EA76FB"/>
    <w:rsid w:val="00EA77DD"/>
    <w:rsid w:val="00EA77E6"/>
    <w:rsid w:val="00EA77F3"/>
    <w:rsid w:val="00EA7856"/>
    <w:rsid w:val="00EA792C"/>
    <w:rsid w:val="00EA7AF4"/>
    <w:rsid w:val="00EA7B5F"/>
    <w:rsid w:val="00EA7B6B"/>
    <w:rsid w:val="00EA7B7F"/>
    <w:rsid w:val="00EA7BA7"/>
    <w:rsid w:val="00EA7C97"/>
    <w:rsid w:val="00EA7CAF"/>
    <w:rsid w:val="00EA7D45"/>
    <w:rsid w:val="00EA7D9E"/>
    <w:rsid w:val="00EA7F22"/>
    <w:rsid w:val="00EA7F6F"/>
    <w:rsid w:val="00EA7FDE"/>
    <w:rsid w:val="00EB0175"/>
    <w:rsid w:val="00EB026F"/>
    <w:rsid w:val="00EB03E8"/>
    <w:rsid w:val="00EB0447"/>
    <w:rsid w:val="00EB0460"/>
    <w:rsid w:val="00EB049F"/>
    <w:rsid w:val="00EB04BD"/>
    <w:rsid w:val="00EB0550"/>
    <w:rsid w:val="00EB0592"/>
    <w:rsid w:val="00EB05AA"/>
    <w:rsid w:val="00EB05C8"/>
    <w:rsid w:val="00EB0643"/>
    <w:rsid w:val="00EB06CC"/>
    <w:rsid w:val="00EB06CF"/>
    <w:rsid w:val="00EB0744"/>
    <w:rsid w:val="00EB0AF9"/>
    <w:rsid w:val="00EB0B0F"/>
    <w:rsid w:val="00EB0B65"/>
    <w:rsid w:val="00EB0C62"/>
    <w:rsid w:val="00EB0C6A"/>
    <w:rsid w:val="00EB0CB9"/>
    <w:rsid w:val="00EB0E56"/>
    <w:rsid w:val="00EB0EC9"/>
    <w:rsid w:val="00EB0F58"/>
    <w:rsid w:val="00EB1037"/>
    <w:rsid w:val="00EB10DA"/>
    <w:rsid w:val="00EB1232"/>
    <w:rsid w:val="00EB1308"/>
    <w:rsid w:val="00EB1333"/>
    <w:rsid w:val="00EB152B"/>
    <w:rsid w:val="00EB15F0"/>
    <w:rsid w:val="00EB16C6"/>
    <w:rsid w:val="00EB1902"/>
    <w:rsid w:val="00EB1920"/>
    <w:rsid w:val="00EB1921"/>
    <w:rsid w:val="00EB1A11"/>
    <w:rsid w:val="00EB1A6E"/>
    <w:rsid w:val="00EB1A75"/>
    <w:rsid w:val="00EB1B3A"/>
    <w:rsid w:val="00EB1B7D"/>
    <w:rsid w:val="00EB1BE0"/>
    <w:rsid w:val="00EB1C19"/>
    <w:rsid w:val="00EB1C92"/>
    <w:rsid w:val="00EB1CA3"/>
    <w:rsid w:val="00EB1D82"/>
    <w:rsid w:val="00EB1E22"/>
    <w:rsid w:val="00EB1E29"/>
    <w:rsid w:val="00EB1F1D"/>
    <w:rsid w:val="00EB1FDA"/>
    <w:rsid w:val="00EB20B0"/>
    <w:rsid w:val="00EB2135"/>
    <w:rsid w:val="00EB2137"/>
    <w:rsid w:val="00EB21E9"/>
    <w:rsid w:val="00EB2201"/>
    <w:rsid w:val="00EB2223"/>
    <w:rsid w:val="00EB2296"/>
    <w:rsid w:val="00EB22F4"/>
    <w:rsid w:val="00EB23C0"/>
    <w:rsid w:val="00EB23D2"/>
    <w:rsid w:val="00EB2464"/>
    <w:rsid w:val="00EB246F"/>
    <w:rsid w:val="00EB266E"/>
    <w:rsid w:val="00EB26EE"/>
    <w:rsid w:val="00EB2707"/>
    <w:rsid w:val="00EB2716"/>
    <w:rsid w:val="00EB28AF"/>
    <w:rsid w:val="00EB2983"/>
    <w:rsid w:val="00EB299E"/>
    <w:rsid w:val="00EB29BA"/>
    <w:rsid w:val="00EB29C1"/>
    <w:rsid w:val="00EB2A22"/>
    <w:rsid w:val="00EB2B8A"/>
    <w:rsid w:val="00EB2CDD"/>
    <w:rsid w:val="00EB2CEC"/>
    <w:rsid w:val="00EB2D42"/>
    <w:rsid w:val="00EB2E72"/>
    <w:rsid w:val="00EB2EAF"/>
    <w:rsid w:val="00EB2ED9"/>
    <w:rsid w:val="00EB2F22"/>
    <w:rsid w:val="00EB2FE8"/>
    <w:rsid w:val="00EB3031"/>
    <w:rsid w:val="00EB30B4"/>
    <w:rsid w:val="00EB3145"/>
    <w:rsid w:val="00EB315A"/>
    <w:rsid w:val="00EB31CA"/>
    <w:rsid w:val="00EB31CB"/>
    <w:rsid w:val="00EB31E0"/>
    <w:rsid w:val="00EB329C"/>
    <w:rsid w:val="00EB32AC"/>
    <w:rsid w:val="00EB3369"/>
    <w:rsid w:val="00EB336C"/>
    <w:rsid w:val="00EB33A1"/>
    <w:rsid w:val="00EB33FB"/>
    <w:rsid w:val="00EB340E"/>
    <w:rsid w:val="00EB346B"/>
    <w:rsid w:val="00EB3492"/>
    <w:rsid w:val="00EB34CE"/>
    <w:rsid w:val="00EB34E1"/>
    <w:rsid w:val="00EB3551"/>
    <w:rsid w:val="00EB35E6"/>
    <w:rsid w:val="00EB3814"/>
    <w:rsid w:val="00EB3879"/>
    <w:rsid w:val="00EB38D8"/>
    <w:rsid w:val="00EB390D"/>
    <w:rsid w:val="00EB3918"/>
    <w:rsid w:val="00EB397D"/>
    <w:rsid w:val="00EB39E5"/>
    <w:rsid w:val="00EB3A2D"/>
    <w:rsid w:val="00EB3B5F"/>
    <w:rsid w:val="00EB3B66"/>
    <w:rsid w:val="00EB3C90"/>
    <w:rsid w:val="00EB3CF1"/>
    <w:rsid w:val="00EB3D94"/>
    <w:rsid w:val="00EB3E2E"/>
    <w:rsid w:val="00EB3F08"/>
    <w:rsid w:val="00EB3F13"/>
    <w:rsid w:val="00EB3F19"/>
    <w:rsid w:val="00EB3F6F"/>
    <w:rsid w:val="00EB3FB6"/>
    <w:rsid w:val="00EB3FC2"/>
    <w:rsid w:val="00EB3FDA"/>
    <w:rsid w:val="00EB4093"/>
    <w:rsid w:val="00EB413A"/>
    <w:rsid w:val="00EB4293"/>
    <w:rsid w:val="00EB434C"/>
    <w:rsid w:val="00EB43A1"/>
    <w:rsid w:val="00EB4426"/>
    <w:rsid w:val="00EB444C"/>
    <w:rsid w:val="00EB445A"/>
    <w:rsid w:val="00EB44A5"/>
    <w:rsid w:val="00EB44D3"/>
    <w:rsid w:val="00EB4520"/>
    <w:rsid w:val="00EB46EC"/>
    <w:rsid w:val="00EB474E"/>
    <w:rsid w:val="00EB477B"/>
    <w:rsid w:val="00EB4863"/>
    <w:rsid w:val="00EB4954"/>
    <w:rsid w:val="00EB496D"/>
    <w:rsid w:val="00EB4988"/>
    <w:rsid w:val="00EB49C5"/>
    <w:rsid w:val="00EB4A5C"/>
    <w:rsid w:val="00EB4AA4"/>
    <w:rsid w:val="00EB4AD6"/>
    <w:rsid w:val="00EB4B24"/>
    <w:rsid w:val="00EB4B25"/>
    <w:rsid w:val="00EB4B60"/>
    <w:rsid w:val="00EB4D4B"/>
    <w:rsid w:val="00EB4D60"/>
    <w:rsid w:val="00EB4D82"/>
    <w:rsid w:val="00EB4DD6"/>
    <w:rsid w:val="00EB4E39"/>
    <w:rsid w:val="00EB4EF3"/>
    <w:rsid w:val="00EB4F4A"/>
    <w:rsid w:val="00EB4FEE"/>
    <w:rsid w:val="00EB4FF2"/>
    <w:rsid w:val="00EB50B1"/>
    <w:rsid w:val="00EB50B6"/>
    <w:rsid w:val="00EB50D9"/>
    <w:rsid w:val="00EB5104"/>
    <w:rsid w:val="00EB5165"/>
    <w:rsid w:val="00EB51FC"/>
    <w:rsid w:val="00EB5252"/>
    <w:rsid w:val="00EB52D4"/>
    <w:rsid w:val="00EB5317"/>
    <w:rsid w:val="00EB531C"/>
    <w:rsid w:val="00EB5361"/>
    <w:rsid w:val="00EB5416"/>
    <w:rsid w:val="00EB5437"/>
    <w:rsid w:val="00EB54C5"/>
    <w:rsid w:val="00EB552D"/>
    <w:rsid w:val="00EB5530"/>
    <w:rsid w:val="00EB5748"/>
    <w:rsid w:val="00EB5792"/>
    <w:rsid w:val="00EB5999"/>
    <w:rsid w:val="00EB5AD6"/>
    <w:rsid w:val="00EB5AE5"/>
    <w:rsid w:val="00EB5B35"/>
    <w:rsid w:val="00EB5B92"/>
    <w:rsid w:val="00EB5C67"/>
    <w:rsid w:val="00EB5C6E"/>
    <w:rsid w:val="00EB5C8E"/>
    <w:rsid w:val="00EB5D7B"/>
    <w:rsid w:val="00EB5D9B"/>
    <w:rsid w:val="00EB5DFF"/>
    <w:rsid w:val="00EB5E15"/>
    <w:rsid w:val="00EB5E7F"/>
    <w:rsid w:val="00EB5F0A"/>
    <w:rsid w:val="00EB5F80"/>
    <w:rsid w:val="00EB606C"/>
    <w:rsid w:val="00EB60BA"/>
    <w:rsid w:val="00EB61C5"/>
    <w:rsid w:val="00EB623B"/>
    <w:rsid w:val="00EB6243"/>
    <w:rsid w:val="00EB6254"/>
    <w:rsid w:val="00EB6307"/>
    <w:rsid w:val="00EB6388"/>
    <w:rsid w:val="00EB644A"/>
    <w:rsid w:val="00EB6470"/>
    <w:rsid w:val="00EB64E2"/>
    <w:rsid w:val="00EB6504"/>
    <w:rsid w:val="00EB6542"/>
    <w:rsid w:val="00EB6582"/>
    <w:rsid w:val="00EB65B0"/>
    <w:rsid w:val="00EB6609"/>
    <w:rsid w:val="00EB664C"/>
    <w:rsid w:val="00EB6657"/>
    <w:rsid w:val="00EB6795"/>
    <w:rsid w:val="00EB682A"/>
    <w:rsid w:val="00EB683B"/>
    <w:rsid w:val="00EB685E"/>
    <w:rsid w:val="00EB68A7"/>
    <w:rsid w:val="00EB6926"/>
    <w:rsid w:val="00EB694D"/>
    <w:rsid w:val="00EB698C"/>
    <w:rsid w:val="00EB69D4"/>
    <w:rsid w:val="00EB69E5"/>
    <w:rsid w:val="00EB6A14"/>
    <w:rsid w:val="00EB6ACC"/>
    <w:rsid w:val="00EB6C89"/>
    <w:rsid w:val="00EB6D60"/>
    <w:rsid w:val="00EB6D8C"/>
    <w:rsid w:val="00EB6DFA"/>
    <w:rsid w:val="00EB6E04"/>
    <w:rsid w:val="00EB6E51"/>
    <w:rsid w:val="00EB6E56"/>
    <w:rsid w:val="00EB6EBD"/>
    <w:rsid w:val="00EB6F55"/>
    <w:rsid w:val="00EB6FA6"/>
    <w:rsid w:val="00EB7072"/>
    <w:rsid w:val="00EB71D4"/>
    <w:rsid w:val="00EB728B"/>
    <w:rsid w:val="00EB72E8"/>
    <w:rsid w:val="00EB7303"/>
    <w:rsid w:val="00EB732A"/>
    <w:rsid w:val="00EB73B6"/>
    <w:rsid w:val="00EB73CF"/>
    <w:rsid w:val="00EB7429"/>
    <w:rsid w:val="00EB7455"/>
    <w:rsid w:val="00EB7510"/>
    <w:rsid w:val="00EB756A"/>
    <w:rsid w:val="00EB781E"/>
    <w:rsid w:val="00EB7860"/>
    <w:rsid w:val="00EB78BE"/>
    <w:rsid w:val="00EB7926"/>
    <w:rsid w:val="00EB7A04"/>
    <w:rsid w:val="00EB7AE2"/>
    <w:rsid w:val="00EB7B07"/>
    <w:rsid w:val="00EB7B11"/>
    <w:rsid w:val="00EB7BF6"/>
    <w:rsid w:val="00EB7BFB"/>
    <w:rsid w:val="00EB7C21"/>
    <w:rsid w:val="00EB7C2F"/>
    <w:rsid w:val="00EB7CD8"/>
    <w:rsid w:val="00EB7D31"/>
    <w:rsid w:val="00EB7D69"/>
    <w:rsid w:val="00EB7DA7"/>
    <w:rsid w:val="00EB7E10"/>
    <w:rsid w:val="00EB7E79"/>
    <w:rsid w:val="00EB7EC7"/>
    <w:rsid w:val="00EB7F61"/>
    <w:rsid w:val="00EB7F81"/>
    <w:rsid w:val="00EC0022"/>
    <w:rsid w:val="00EC0033"/>
    <w:rsid w:val="00EC00EA"/>
    <w:rsid w:val="00EC01CF"/>
    <w:rsid w:val="00EC0218"/>
    <w:rsid w:val="00EC03BF"/>
    <w:rsid w:val="00EC03DC"/>
    <w:rsid w:val="00EC041E"/>
    <w:rsid w:val="00EC042D"/>
    <w:rsid w:val="00EC0437"/>
    <w:rsid w:val="00EC0554"/>
    <w:rsid w:val="00EC05E0"/>
    <w:rsid w:val="00EC078D"/>
    <w:rsid w:val="00EC07A4"/>
    <w:rsid w:val="00EC0806"/>
    <w:rsid w:val="00EC082E"/>
    <w:rsid w:val="00EC08DF"/>
    <w:rsid w:val="00EC0911"/>
    <w:rsid w:val="00EC0981"/>
    <w:rsid w:val="00EC0C7E"/>
    <w:rsid w:val="00EC0CB9"/>
    <w:rsid w:val="00EC0D86"/>
    <w:rsid w:val="00EC0E16"/>
    <w:rsid w:val="00EC0EE5"/>
    <w:rsid w:val="00EC0F1A"/>
    <w:rsid w:val="00EC0F8B"/>
    <w:rsid w:val="00EC0F93"/>
    <w:rsid w:val="00EC0FA4"/>
    <w:rsid w:val="00EC1083"/>
    <w:rsid w:val="00EC10AE"/>
    <w:rsid w:val="00EC10E7"/>
    <w:rsid w:val="00EC11A5"/>
    <w:rsid w:val="00EC11EB"/>
    <w:rsid w:val="00EC12EF"/>
    <w:rsid w:val="00EC140D"/>
    <w:rsid w:val="00EC1503"/>
    <w:rsid w:val="00EC1573"/>
    <w:rsid w:val="00EC157A"/>
    <w:rsid w:val="00EC15E1"/>
    <w:rsid w:val="00EC1614"/>
    <w:rsid w:val="00EC1686"/>
    <w:rsid w:val="00EC16B2"/>
    <w:rsid w:val="00EC1701"/>
    <w:rsid w:val="00EC1705"/>
    <w:rsid w:val="00EC177A"/>
    <w:rsid w:val="00EC1A27"/>
    <w:rsid w:val="00EC1A5C"/>
    <w:rsid w:val="00EC1AC6"/>
    <w:rsid w:val="00EC1B02"/>
    <w:rsid w:val="00EC1BB5"/>
    <w:rsid w:val="00EC1C1D"/>
    <w:rsid w:val="00EC1CC9"/>
    <w:rsid w:val="00EC1D04"/>
    <w:rsid w:val="00EC1D11"/>
    <w:rsid w:val="00EC1DF1"/>
    <w:rsid w:val="00EC1E7E"/>
    <w:rsid w:val="00EC1E81"/>
    <w:rsid w:val="00EC1E8D"/>
    <w:rsid w:val="00EC1EED"/>
    <w:rsid w:val="00EC1F5A"/>
    <w:rsid w:val="00EC1F5D"/>
    <w:rsid w:val="00EC1FA9"/>
    <w:rsid w:val="00EC215C"/>
    <w:rsid w:val="00EC22DD"/>
    <w:rsid w:val="00EC23CB"/>
    <w:rsid w:val="00EC25FB"/>
    <w:rsid w:val="00EC2601"/>
    <w:rsid w:val="00EC2603"/>
    <w:rsid w:val="00EC2646"/>
    <w:rsid w:val="00EC275E"/>
    <w:rsid w:val="00EC276E"/>
    <w:rsid w:val="00EC27E1"/>
    <w:rsid w:val="00EC29D7"/>
    <w:rsid w:val="00EC2A7B"/>
    <w:rsid w:val="00EC2AF5"/>
    <w:rsid w:val="00EC2BAA"/>
    <w:rsid w:val="00EC2CF0"/>
    <w:rsid w:val="00EC2D99"/>
    <w:rsid w:val="00EC2EB7"/>
    <w:rsid w:val="00EC2F13"/>
    <w:rsid w:val="00EC2F47"/>
    <w:rsid w:val="00EC3098"/>
    <w:rsid w:val="00EC30B9"/>
    <w:rsid w:val="00EC30E1"/>
    <w:rsid w:val="00EC3172"/>
    <w:rsid w:val="00EC32CA"/>
    <w:rsid w:val="00EC331A"/>
    <w:rsid w:val="00EC3336"/>
    <w:rsid w:val="00EC3346"/>
    <w:rsid w:val="00EC3398"/>
    <w:rsid w:val="00EC33D7"/>
    <w:rsid w:val="00EC3489"/>
    <w:rsid w:val="00EC34FD"/>
    <w:rsid w:val="00EC353D"/>
    <w:rsid w:val="00EC369A"/>
    <w:rsid w:val="00EC36F9"/>
    <w:rsid w:val="00EC3816"/>
    <w:rsid w:val="00EC395E"/>
    <w:rsid w:val="00EC3E10"/>
    <w:rsid w:val="00EC3E6D"/>
    <w:rsid w:val="00EC3E86"/>
    <w:rsid w:val="00EC3FDE"/>
    <w:rsid w:val="00EC4009"/>
    <w:rsid w:val="00EC416B"/>
    <w:rsid w:val="00EC4176"/>
    <w:rsid w:val="00EC41AD"/>
    <w:rsid w:val="00EC41D2"/>
    <w:rsid w:val="00EC42C2"/>
    <w:rsid w:val="00EC4319"/>
    <w:rsid w:val="00EC4335"/>
    <w:rsid w:val="00EC436A"/>
    <w:rsid w:val="00EC43A4"/>
    <w:rsid w:val="00EC4409"/>
    <w:rsid w:val="00EC4457"/>
    <w:rsid w:val="00EC4492"/>
    <w:rsid w:val="00EC44B1"/>
    <w:rsid w:val="00EC44B8"/>
    <w:rsid w:val="00EC44E6"/>
    <w:rsid w:val="00EC4558"/>
    <w:rsid w:val="00EC4575"/>
    <w:rsid w:val="00EC467C"/>
    <w:rsid w:val="00EC4689"/>
    <w:rsid w:val="00EC4783"/>
    <w:rsid w:val="00EC47B9"/>
    <w:rsid w:val="00EC482B"/>
    <w:rsid w:val="00EC49D5"/>
    <w:rsid w:val="00EC4A41"/>
    <w:rsid w:val="00EC4B40"/>
    <w:rsid w:val="00EC4B47"/>
    <w:rsid w:val="00EC4B59"/>
    <w:rsid w:val="00EC4CC4"/>
    <w:rsid w:val="00EC4D40"/>
    <w:rsid w:val="00EC4D7A"/>
    <w:rsid w:val="00EC4DA3"/>
    <w:rsid w:val="00EC4DBC"/>
    <w:rsid w:val="00EC4DC0"/>
    <w:rsid w:val="00EC4FC4"/>
    <w:rsid w:val="00EC504C"/>
    <w:rsid w:val="00EC50A2"/>
    <w:rsid w:val="00EC50BD"/>
    <w:rsid w:val="00EC50F3"/>
    <w:rsid w:val="00EC50F9"/>
    <w:rsid w:val="00EC50FB"/>
    <w:rsid w:val="00EC5210"/>
    <w:rsid w:val="00EC522E"/>
    <w:rsid w:val="00EC531E"/>
    <w:rsid w:val="00EC5325"/>
    <w:rsid w:val="00EC534A"/>
    <w:rsid w:val="00EC543E"/>
    <w:rsid w:val="00EC544D"/>
    <w:rsid w:val="00EC547B"/>
    <w:rsid w:val="00EC54CC"/>
    <w:rsid w:val="00EC55C6"/>
    <w:rsid w:val="00EC5646"/>
    <w:rsid w:val="00EC5705"/>
    <w:rsid w:val="00EC5707"/>
    <w:rsid w:val="00EC575D"/>
    <w:rsid w:val="00EC5845"/>
    <w:rsid w:val="00EC597B"/>
    <w:rsid w:val="00EC5992"/>
    <w:rsid w:val="00EC5C90"/>
    <w:rsid w:val="00EC5CE0"/>
    <w:rsid w:val="00EC5D7E"/>
    <w:rsid w:val="00EC5DFF"/>
    <w:rsid w:val="00EC5E08"/>
    <w:rsid w:val="00EC5F9C"/>
    <w:rsid w:val="00EC6018"/>
    <w:rsid w:val="00EC6036"/>
    <w:rsid w:val="00EC603F"/>
    <w:rsid w:val="00EC60C1"/>
    <w:rsid w:val="00EC61F3"/>
    <w:rsid w:val="00EC62A1"/>
    <w:rsid w:val="00EC64E0"/>
    <w:rsid w:val="00EC6607"/>
    <w:rsid w:val="00EC6637"/>
    <w:rsid w:val="00EC68B7"/>
    <w:rsid w:val="00EC68C9"/>
    <w:rsid w:val="00EC69CF"/>
    <w:rsid w:val="00EC6A4B"/>
    <w:rsid w:val="00EC6A6D"/>
    <w:rsid w:val="00EC6B37"/>
    <w:rsid w:val="00EC6BEB"/>
    <w:rsid w:val="00EC6CEB"/>
    <w:rsid w:val="00EC6D38"/>
    <w:rsid w:val="00EC6DA2"/>
    <w:rsid w:val="00EC6DCF"/>
    <w:rsid w:val="00EC6DF0"/>
    <w:rsid w:val="00EC6E47"/>
    <w:rsid w:val="00EC6EE1"/>
    <w:rsid w:val="00EC6F1F"/>
    <w:rsid w:val="00EC7052"/>
    <w:rsid w:val="00EC70AA"/>
    <w:rsid w:val="00EC70C1"/>
    <w:rsid w:val="00EC70E9"/>
    <w:rsid w:val="00EC716D"/>
    <w:rsid w:val="00EC71FA"/>
    <w:rsid w:val="00EC7209"/>
    <w:rsid w:val="00EC7214"/>
    <w:rsid w:val="00EC72EB"/>
    <w:rsid w:val="00EC74E2"/>
    <w:rsid w:val="00EC7753"/>
    <w:rsid w:val="00EC775E"/>
    <w:rsid w:val="00EC77B6"/>
    <w:rsid w:val="00EC782A"/>
    <w:rsid w:val="00EC78EE"/>
    <w:rsid w:val="00EC7A69"/>
    <w:rsid w:val="00EC7B18"/>
    <w:rsid w:val="00EC7D1D"/>
    <w:rsid w:val="00EC7E66"/>
    <w:rsid w:val="00EC7F90"/>
    <w:rsid w:val="00EC7FE0"/>
    <w:rsid w:val="00ED004D"/>
    <w:rsid w:val="00ED009B"/>
    <w:rsid w:val="00ED01A2"/>
    <w:rsid w:val="00ED0207"/>
    <w:rsid w:val="00ED0210"/>
    <w:rsid w:val="00ED02C8"/>
    <w:rsid w:val="00ED03E2"/>
    <w:rsid w:val="00ED0446"/>
    <w:rsid w:val="00ED049F"/>
    <w:rsid w:val="00ED04CC"/>
    <w:rsid w:val="00ED0599"/>
    <w:rsid w:val="00ED05A5"/>
    <w:rsid w:val="00ED05B8"/>
    <w:rsid w:val="00ED05F1"/>
    <w:rsid w:val="00ED0610"/>
    <w:rsid w:val="00ED0632"/>
    <w:rsid w:val="00ED0646"/>
    <w:rsid w:val="00ED06A9"/>
    <w:rsid w:val="00ED06F3"/>
    <w:rsid w:val="00ED0701"/>
    <w:rsid w:val="00ED0716"/>
    <w:rsid w:val="00ED0791"/>
    <w:rsid w:val="00ED0845"/>
    <w:rsid w:val="00ED085F"/>
    <w:rsid w:val="00ED0912"/>
    <w:rsid w:val="00ED0974"/>
    <w:rsid w:val="00ED0A8D"/>
    <w:rsid w:val="00ED0B2B"/>
    <w:rsid w:val="00ED0B34"/>
    <w:rsid w:val="00ED0BA3"/>
    <w:rsid w:val="00ED0BBC"/>
    <w:rsid w:val="00ED0C00"/>
    <w:rsid w:val="00ED0C14"/>
    <w:rsid w:val="00ED0C3E"/>
    <w:rsid w:val="00ED0D69"/>
    <w:rsid w:val="00ED0D93"/>
    <w:rsid w:val="00ED0E29"/>
    <w:rsid w:val="00ED0E2C"/>
    <w:rsid w:val="00ED0E5E"/>
    <w:rsid w:val="00ED0E61"/>
    <w:rsid w:val="00ED0E8F"/>
    <w:rsid w:val="00ED0E94"/>
    <w:rsid w:val="00ED0FD3"/>
    <w:rsid w:val="00ED10B2"/>
    <w:rsid w:val="00ED11A2"/>
    <w:rsid w:val="00ED1207"/>
    <w:rsid w:val="00ED120A"/>
    <w:rsid w:val="00ED1335"/>
    <w:rsid w:val="00ED135E"/>
    <w:rsid w:val="00ED13B5"/>
    <w:rsid w:val="00ED13D6"/>
    <w:rsid w:val="00ED166F"/>
    <w:rsid w:val="00ED175B"/>
    <w:rsid w:val="00ED1768"/>
    <w:rsid w:val="00ED1824"/>
    <w:rsid w:val="00ED182C"/>
    <w:rsid w:val="00ED18EB"/>
    <w:rsid w:val="00ED19D9"/>
    <w:rsid w:val="00ED1A17"/>
    <w:rsid w:val="00ED1A5F"/>
    <w:rsid w:val="00ED1AB7"/>
    <w:rsid w:val="00ED1AE3"/>
    <w:rsid w:val="00ED1AF9"/>
    <w:rsid w:val="00ED1B6B"/>
    <w:rsid w:val="00ED1B85"/>
    <w:rsid w:val="00ED1BAB"/>
    <w:rsid w:val="00ED1C0D"/>
    <w:rsid w:val="00ED1C48"/>
    <w:rsid w:val="00ED1C89"/>
    <w:rsid w:val="00ED1CD4"/>
    <w:rsid w:val="00ED1CD9"/>
    <w:rsid w:val="00ED1D0C"/>
    <w:rsid w:val="00ED1D8A"/>
    <w:rsid w:val="00ED1FCD"/>
    <w:rsid w:val="00ED2056"/>
    <w:rsid w:val="00ED2060"/>
    <w:rsid w:val="00ED209E"/>
    <w:rsid w:val="00ED2137"/>
    <w:rsid w:val="00ED21A5"/>
    <w:rsid w:val="00ED2307"/>
    <w:rsid w:val="00ED2313"/>
    <w:rsid w:val="00ED2320"/>
    <w:rsid w:val="00ED2344"/>
    <w:rsid w:val="00ED23BA"/>
    <w:rsid w:val="00ED23EF"/>
    <w:rsid w:val="00ED2482"/>
    <w:rsid w:val="00ED2491"/>
    <w:rsid w:val="00ED2536"/>
    <w:rsid w:val="00ED258F"/>
    <w:rsid w:val="00ED259D"/>
    <w:rsid w:val="00ED25C7"/>
    <w:rsid w:val="00ED261E"/>
    <w:rsid w:val="00ED2641"/>
    <w:rsid w:val="00ED2645"/>
    <w:rsid w:val="00ED270E"/>
    <w:rsid w:val="00ED2744"/>
    <w:rsid w:val="00ED2750"/>
    <w:rsid w:val="00ED2779"/>
    <w:rsid w:val="00ED27E5"/>
    <w:rsid w:val="00ED27F4"/>
    <w:rsid w:val="00ED281A"/>
    <w:rsid w:val="00ED2832"/>
    <w:rsid w:val="00ED2A18"/>
    <w:rsid w:val="00ED2A50"/>
    <w:rsid w:val="00ED2A5D"/>
    <w:rsid w:val="00ED2A62"/>
    <w:rsid w:val="00ED2ADA"/>
    <w:rsid w:val="00ED2BB9"/>
    <w:rsid w:val="00ED2BC9"/>
    <w:rsid w:val="00ED2BE3"/>
    <w:rsid w:val="00ED2C6F"/>
    <w:rsid w:val="00ED2D87"/>
    <w:rsid w:val="00ED2E3B"/>
    <w:rsid w:val="00ED2F14"/>
    <w:rsid w:val="00ED2F22"/>
    <w:rsid w:val="00ED2FB8"/>
    <w:rsid w:val="00ED2FCC"/>
    <w:rsid w:val="00ED308E"/>
    <w:rsid w:val="00ED30B1"/>
    <w:rsid w:val="00ED3123"/>
    <w:rsid w:val="00ED318A"/>
    <w:rsid w:val="00ED3195"/>
    <w:rsid w:val="00ED31CD"/>
    <w:rsid w:val="00ED32FD"/>
    <w:rsid w:val="00ED3396"/>
    <w:rsid w:val="00ED33A2"/>
    <w:rsid w:val="00ED33DF"/>
    <w:rsid w:val="00ED3445"/>
    <w:rsid w:val="00ED370F"/>
    <w:rsid w:val="00ED3729"/>
    <w:rsid w:val="00ED3752"/>
    <w:rsid w:val="00ED3790"/>
    <w:rsid w:val="00ED379F"/>
    <w:rsid w:val="00ED3808"/>
    <w:rsid w:val="00ED3820"/>
    <w:rsid w:val="00ED387F"/>
    <w:rsid w:val="00ED3893"/>
    <w:rsid w:val="00ED39AF"/>
    <w:rsid w:val="00ED39E9"/>
    <w:rsid w:val="00ED3ABE"/>
    <w:rsid w:val="00ED3B43"/>
    <w:rsid w:val="00ED3CD6"/>
    <w:rsid w:val="00ED3D99"/>
    <w:rsid w:val="00ED3E70"/>
    <w:rsid w:val="00ED3F54"/>
    <w:rsid w:val="00ED3FC0"/>
    <w:rsid w:val="00ED40C8"/>
    <w:rsid w:val="00ED4122"/>
    <w:rsid w:val="00ED41CA"/>
    <w:rsid w:val="00ED4272"/>
    <w:rsid w:val="00ED4292"/>
    <w:rsid w:val="00ED42E8"/>
    <w:rsid w:val="00ED4421"/>
    <w:rsid w:val="00ED442A"/>
    <w:rsid w:val="00ED4434"/>
    <w:rsid w:val="00ED454E"/>
    <w:rsid w:val="00ED4570"/>
    <w:rsid w:val="00ED4578"/>
    <w:rsid w:val="00ED45FE"/>
    <w:rsid w:val="00ED469D"/>
    <w:rsid w:val="00ED46C1"/>
    <w:rsid w:val="00ED47FF"/>
    <w:rsid w:val="00ED4889"/>
    <w:rsid w:val="00ED48C8"/>
    <w:rsid w:val="00ED48F9"/>
    <w:rsid w:val="00ED4A39"/>
    <w:rsid w:val="00ED4A99"/>
    <w:rsid w:val="00ED4C19"/>
    <w:rsid w:val="00ED4C4D"/>
    <w:rsid w:val="00ED4CBC"/>
    <w:rsid w:val="00ED4D39"/>
    <w:rsid w:val="00ED4D6F"/>
    <w:rsid w:val="00ED4DBB"/>
    <w:rsid w:val="00ED4E40"/>
    <w:rsid w:val="00ED4E86"/>
    <w:rsid w:val="00ED4EE5"/>
    <w:rsid w:val="00ED4F54"/>
    <w:rsid w:val="00ED5038"/>
    <w:rsid w:val="00ED5100"/>
    <w:rsid w:val="00ED523F"/>
    <w:rsid w:val="00ED5267"/>
    <w:rsid w:val="00ED5300"/>
    <w:rsid w:val="00ED531C"/>
    <w:rsid w:val="00ED5429"/>
    <w:rsid w:val="00ED5736"/>
    <w:rsid w:val="00ED57C4"/>
    <w:rsid w:val="00ED57E4"/>
    <w:rsid w:val="00ED5832"/>
    <w:rsid w:val="00ED5834"/>
    <w:rsid w:val="00ED591E"/>
    <w:rsid w:val="00ED5A27"/>
    <w:rsid w:val="00ED5A33"/>
    <w:rsid w:val="00ED5A69"/>
    <w:rsid w:val="00ED5A71"/>
    <w:rsid w:val="00ED5B02"/>
    <w:rsid w:val="00ED5B96"/>
    <w:rsid w:val="00ED5CA6"/>
    <w:rsid w:val="00ED5E63"/>
    <w:rsid w:val="00ED5F67"/>
    <w:rsid w:val="00ED5F86"/>
    <w:rsid w:val="00ED5FB0"/>
    <w:rsid w:val="00ED6022"/>
    <w:rsid w:val="00ED608B"/>
    <w:rsid w:val="00ED6103"/>
    <w:rsid w:val="00ED6177"/>
    <w:rsid w:val="00ED61D9"/>
    <w:rsid w:val="00ED621D"/>
    <w:rsid w:val="00ED6266"/>
    <w:rsid w:val="00ED62A7"/>
    <w:rsid w:val="00ED62E6"/>
    <w:rsid w:val="00ED6332"/>
    <w:rsid w:val="00ED636E"/>
    <w:rsid w:val="00ED63CF"/>
    <w:rsid w:val="00ED6442"/>
    <w:rsid w:val="00ED648C"/>
    <w:rsid w:val="00ED64B2"/>
    <w:rsid w:val="00ED65D1"/>
    <w:rsid w:val="00ED6695"/>
    <w:rsid w:val="00ED66F7"/>
    <w:rsid w:val="00ED6776"/>
    <w:rsid w:val="00ED67CA"/>
    <w:rsid w:val="00ED6840"/>
    <w:rsid w:val="00ED68A3"/>
    <w:rsid w:val="00ED6936"/>
    <w:rsid w:val="00ED6978"/>
    <w:rsid w:val="00ED6A3C"/>
    <w:rsid w:val="00ED6AEE"/>
    <w:rsid w:val="00ED6B26"/>
    <w:rsid w:val="00ED6B5E"/>
    <w:rsid w:val="00ED6C79"/>
    <w:rsid w:val="00ED6CBE"/>
    <w:rsid w:val="00ED6D4F"/>
    <w:rsid w:val="00ED6E60"/>
    <w:rsid w:val="00ED6E97"/>
    <w:rsid w:val="00ED6EB2"/>
    <w:rsid w:val="00ED6F7D"/>
    <w:rsid w:val="00ED6F8D"/>
    <w:rsid w:val="00ED704F"/>
    <w:rsid w:val="00ED70B7"/>
    <w:rsid w:val="00ED7230"/>
    <w:rsid w:val="00ED7376"/>
    <w:rsid w:val="00ED7395"/>
    <w:rsid w:val="00ED73EC"/>
    <w:rsid w:val="00ED73F5"/>
    <w:rsid w:val="00ED7569"/>
    <w:rsid w:val="00ED75B5"/>
    <w:rsid w:val="00ED75C3"/>
    <w:rsid w:val="00ED76B3"/>
    <w:rsid w:val="00ED777A"/>
    <w:rsid w:val="00ED7783"/>
    <w:rsid w:val="00ED783D"/>
    <w:rsid w:val="00ED7852"/>
    <w:rsid w:val="00ED7873"/>
    <w:rsid w:val="00ED78B2"/>
    <w:rsid w:val="00ED7982"/>
    <w:rsid w:val="00ED799F"/>
    <w:rsid w:val="00ED7A38"/>
    <w:rsid w:val="00ED7BE0"/>
    <w:rsid w:val="00ED7C44"/>
    <w:rsid w:val="00ED7C69"/>
    <w:rsid w:val="00ED7C9F"/>
    <w:rsid w:val="00ED7D07"/>
    <w:rsid w:val="00ED7DD3"/>
    <w:rsid w:val="00ED7E28"/>
    <w:rsid w:val="00ED7E46"/>
    <w:rsid w:val="00ED7E48"/>
    <w:rsid w:val="00ED7EC9"/>
    <w:rsid w:val="00ED7EFF"/>
    <w:rsid w:val="00ED7F0E"/>
    <w:rsid w:val="00ED7F26"/>
    <w:rsid w:val="00ED7FAA"/>
    <w:rsid w:val="00ED7FC9"/>
    <w:rsid w:val="00EE011A"/>
    <w:rsid w:val="00EE0222"/>
    <w:rsid w:val="00EE0313"/>
    <w:rsid w:val="00EE033F"/>
    <w:rsid w:val="00EE0342"/>
    <w:rsid w:val="00EE04C5"/>
    <w:rsid w:val="00EE04DC"/>
    <w:rsid w:val="00EE0514"/>
    <w:rsid w:val="00EE051D"/>
    <w:rsid w:val="00EE0647"/>
    <w:rsid w:val="00EE0747"/>
    <w:rsid w:val="00EE07BB"/>
    <w:rsid w:val="00EE080C"/>
    <w:rsid w:val="00EE08D2"/>
    <w:rsid w:val="00EE08D6"/>
    <w:rsid w:val="00EE0A6C"/>
    <w:rsid w:val="00EE0B16"/>
    <w:rsid w:val="00EE0BFA"/>
    <w:rsid w:val="00EE0DA7"/>
    <w:rsid w:val="00EE0DFE"/>
    <w:rsid w:val="00EE0E30"/>
    <w:rsid w:val="00EE0E6E"/>
    <w:rsid w:val="00EE0EB6"/>
    <w:rsid w:val="00EE0F83"/>
    <w:rsid w:val="00EE108F"/>
    <w:rsid w:val="00EE111A"/>
    <w:rsid w:val="00EE111E"/>
    <w:rsid w:val="00EE1173"/>
    <w:rsid w:val="00EE1256"/>
    <w:rsid w:val="00EE1290"/>
    <w:rsid w:val="00EE1298"/>
    <w:rsid w:val="00EE1299"/>
    <w:rsid w:val="00EE12FF"/>
    <w:rsid w:val="00EE13CB"/>
    <w:rsid w:val="00EE1566"/>
    <w:rsid w:val="00EE15F8"/>
    <w:rsid w:val="00EE1659"/>
    <w:rsid w:val="00EE1679"/>
    <w:rsid w:val="00EE16D3"/>
    <w:rsid w:val="00EE1758"/>
    <w:rsid w:val="00EE1829"/>
    <w:rsid w:val="00EE1864"/>
    <w:rsid w:val="00EE18A6"/>
    <w:rsid w:val="00EE199F"/>
    <w:rsid w:val="00EE1A15"/>
    <w:rsid w:val="00EE1A49"/>
    <w:rsid w:val="00EE1A85"/>
    <w:rsid w:val="00EE1B02"/>
    <w:rsid w:val="00EE1B76"/>
    <w:rsid w:val="00EE1BE8"/>
    <w:rsid w:val="00EE1C2F"/>
    <w:rsid w:val="00EE1CBA"/>
    <w:rsid w:val="00EE1CEF"/>
    <w:rsid w:val="00EE1DA8"/>
    <w:rsid w:val="00EE1E17"/>
    <w:rsid w:val="00EE1E2A"/>
    <w:rsid w:val="00EE1E3D"/>
    <w:rsid w:val="00EE1E8C"/>
    <w:rsid w:val="00EE1EC1"/>
    <w:rsid w:val="00EE1EC2"/>
    <w:rsid w:val="00EE1EFF"/>
    <w:rsid w:val="00EE2024"/>
    <w:rsid w:val="00EE20E5"/>
    <w:rsid w:val="00EE219B"/>
    <w:rsid w:val="00EE2288"/>
    <w:rsid w:val="00EE22EB"/>
    <w:rsid w:val="00EE238B"/>
    <w:rsid w:val="00EE2626"/>
    <w:rsid w:val="00EE269A"/>
    <w:rsid w:val="00EE27B2"/>
    <w:rsid w:val="00EE27DD"/>
    <w:rsid w:val="00EE287A"/>
    <w:rsid w:val="00EE2891"/>
    <w:rsid w:val="00EE291E"/>
    <w:rsid w:val="00EE293C"/>
    <w:rsid w:val="00EE298D"/>
    <w:rsid w:val="00EE2990"/>
    <w:rsid w:val="00EE29E3"/>
    <w:rsid w:val="00EE2A6D"/>
    <w:rsid w:val="00EE2AAD"/>
    <w:rsid w:val="00EE2BC2"/>
    <w:rsid w:val="00EE2BEE"/>
    <w:rsid w:val="00EE2C54"/>
    <w:rsid w:val="00EE2CED"/>
    <w:rsid w:val="00EE2DEC"/>
    <w:rsid w:val="00EE2DF3"/>
    <w:rsid w:val="00EE2E39"/>
    <w:rsid w:val="00EE2EA3"/>
    <w:rsid w:val="00EE2F8E"/>
    <w:rsid w:val="00EE2FA6"/>
    <w:rsid w:val="00EE2FA9"/>
    <w:rsid w:val="00EE312B"/>
    <w:rsid w:val="00EE3154"/>
    <w:rsid w:val="00EE315B"/>
    <w:rsid w:val="00EE3221"/>
    <w:rsid w:val="00EE323D"/>
    <w:rsid w:val="00EE326D"/>
    <w:rsid w:val="00EE328A"/>
    <w:rsid w:val="00EE3402"/>
    <w:rsid w:val="00EE352D"/>
    <w:rsid w:val="00EE357E"/>
    <w:rsid w:val="00EE3629"/>
    <w:rsid w:val="00EE3750"/>
    <w:rsid w:val="00EE3795"/>
    <w:rsid w:val="00EE37C7"/>
    <w:rsid w:val="00EE37DA"/>
    <w:rsid w:val="00EE3871"/>
    <w:rsid w:val="00EE3910"/>
    <w:rsid w:val="00EE399F"/>
    <w:rsid w:val="00EE3A74"/>
    <w:rsid w:val="00EE3ABC"/>
    <w:rsid w:val="00EE3ABD"/>
    <w:rsid w:val="00EE3B01"/>
    <w:rsid w:val="00EE3B64"/>
    <w:rsid w:val="00EE3B6E"/>
    <w:rsid w:val="00EE3BEF"/>
    <w:rsid w:val="00EE3C5F"/>
    <w:rsid w:val="00EE3CA8"/>
    <w:rsid w:val="00EE3CD2"/>
    <w:rsid w:val="00EE3CFA"/>
    <w:rsid w:val="00EE3DBB"/>
    <w:rsid w:val="00EE3E41"/>
    <w:rsid w:val="00EE3F8A"/>
    <w:rsid w:val="00EE3F91"/>
    <w:rsid w:val="00EE3FBE"/>
    <w:rsid w:val="00EE4013"/>
    <w:rsid w:val="00EE408E"/>
    <w:rsid w:val="00EE42C5"/>
    <w:rsid w:val="00EE43BC"/>
    <w:rsid w:val="00EE43FE"/>
    <w:rsid w:val="00EE45ED"/>
    <w:rsid w:val="00EE45FD"/>
    <w:rsid w:val="00EE460B"/>
    <w:rsid w:val="00EE4748"/>
    <w:rsid w:val="00EE48F0"/>
    <w:rsid w:val="00EE49AE"/>
    <w:rsid w:val="00EE49B8"/>
    <w:rsid w:val="00EE4A22"/>
    <w:rsid w:val="00EE4A2D"/>
    <w:rsid w:val="00EE4A40"/>
    <w:rsid w:val="00EE4A64"/>
    <w:rsid w:val="00EE4BA2"/>
    <w:rsid w:val="00EE4C7A"/>
    <w:rsid w:val="00EE4CA0"/>
    <w:rsid w:val="00EE4CBC"/>
    <w:rsid w:val="00EE4CD9"/>
    <w:rsid w:val="00EE4CF5"/>
    <w:rsid w:val="00EE4E89"/>
    <w:rsid w:val="00EE4F32"/>
    <w:rsid w:val="00EE501C"/>
    <w:rsid w:val="00EE5027"/>
    <w:rsid w:val="00EE506B"/>
    <w:rsid w:val="00EE507D"/>
    <w:rsid w:val="00EE50A4"/>
    <w:rsid w:val="00EE50D0"/>
    <w:rsid w:val="00EE5147"/>
    <w:rsid w:val="00EE51C0"/>
    <w:rsid w:val="00EE51C8"/>
    <w:rsid w:val="00EE5270"/>
    <w:rsid w:val="00EE538E"/>
    <w:rsid w:val="00EE53AC"/>
    <w:rsid w:val="00EE5642"/>
    <w:rsid w:val="00EE5697"/>
    <w:rsid w:val="00EE573E"/>
    <w:rsid w:val="00EE5745"/>
    <w:rsid w:val="00EE5784"/>
    <w:rsid w:val="00EE57F4"/>
    <w:rsid w:val="00EE59D4"/>
    <w:rsid w:val="00EE5A29"/>
    <w:rsid w:val="00EE5CC6"/>
    <w:rsid w:val="00EE5CD7"/>
    <w:rsid w:val="00EE5D7A"/>
    <w:rsid w:val="00EE5E70"/>
    <w:rsid w:val="00EE5E7C"/>
    <w:rsid w:val="00EE5E96"/>
    <w:rsid w:val="00EE5EA0"/>
    <w:rsid w:val="00EE5F39"/>
    <w:rsid w:val="00EE5F73"/>
    <w:rsid w:val="00EE5F88"/>
    <w:rsid w:val="00EE606B"/>
    <w:rsid w:val="00EE6107"/>
    <w:rsid w:val="00EE6127"/>
    <w:rsid w:val="00EE63A0"/>
    <w:rsid w:val="00EE63CE"/>
    <w:rsid w:val="00EE63EE"/>
    <w:rsid w:val="00EE6485"/>
    <w:rsid w:val="00EE6566"/>
    <w:rsid w:val="00EE6685"/>
    <w:rsid w:val="00EE6802"/>
    <w:rsid w:val="00EE683D"/>
    <w:rsid w:val="00EE696B"/>
    <w:rsid w:val="00EE69F4"/>
    <w:rsid w:val="00EE69FC"/>
    <w:rsid w:val="00EE6A44"/>
    <w:rsid w:val="00EE6BA5"/>
    <w:rsid w:val="00EE6BB1"/>
    <w:rsid w:val="00EE6C35"/>
    <w:rsid w:val="00EE6CF9"/>
    <w:rsid w:val="00EE6D08"/>
    <w:rsid w:val="00EE6D65"/>
    <w:rsid w:val="00EE6E76"/>
    <w:rsid w:val="00EE6FC7"/>
    <w:rsid w:val="00EE7076"/>
    <w:rsid w:val="00EE7079"/>
    <w:rsid w:val="00EE708A"/>
    <w:rsid w:val="00EE7163"/>
    <w:rsid w:val="00EE7290"/>
    <w:rsid w:val="00EE72AC"/>
    <w:rsid w:val="00EE737E"/>
    <w:rsid w:val="00EE73BA"/>
    <w:rsid w:val="00EE7655"/>
    <w:rsid w:val="00EE7696"/>
    <w:rsid w:val="00EE77DF"/>
    <w:rsid w:val="00EE7882"/>
    <w:rsid w:val="00EE793A"/>
    <w:rsid w:val="00EE79F9"/>
    <w:rsid w:val="00EE7AA1"/>
    <w:rsid w:val="00EE7BB8"/>
    <w:rsid w:val="00EE7D01"/>
    <w:rsid w:val="00EE7D1A"/>
    <w:rsid w:val="00EE7D32"/>
    <w:rsid w:val="00EE7DCF"/>
    <w:rsid w:val="00EE7E5D"/>
    <w:rsid w:val="00EE7E6B"/>
    <w:rsid w:val="00EE7E6D"/>
    <w:rsid w:val="00EE7FC8"/>
    <w:rsid w:val="00EF00F5"/>
    <w:rsid w:val="00EF015B"/>
    <w:rsid w:val="00EF0164"/>
    <w:rsid w:val="00EF0202"/>
    <w:rsid w:val="00EF0261"/>
    <w:rsid w:val="00EF027A"/>
    <w:rsid w:val="00EF0311"/>
    <w:rsid w:val="00EF04EF"/>
    <w:rsid w:val="00EF0563"/>
    <w:rsid w:val="00EF0581"/>
    <w:rsid w:val="00EF0612"/>
    <w:rsid w:val="00EF0618"/>
    <w:rsid w:val="00EF068E"/>
    <w:rsid w:val="00EF06D4"/>
    <w:rsid w:val="00EF06E9"/>
    <w:rsid w:val="00EF06EC"/>
    <w:rsid w:val="00EF071E"/>
    <w:rsid w:val="00EF0728"/>
    <w:rsid w:val="00EF0795"/>
    <w:rsid w:val="00EF07A0"/>
    <w:rsid w:val="00EF07B0"/>
    <w:rsid w:val="00EF07FD"/>
    <w:rsid w:val="00EF0836"/>
    <w:rsid w:val="00EF0855"/>
    <w:rsid w:val="00EF0A71"/>
    <w:rsid w:val="00EF0BE3"/>
    <w:rsid w:val="00EF0C22"/>
    <w:rsid w:val="00EF0CB1"/>
    <w:rsid w:val="00EF0D80"/>
    <w:rsid w:val="00EF0D95"/>
    <w:rsid w:val="00EF0F18"/>
    <w:rsid w:val="00EF0F56"/>
    <w:rsid w:val="00EF0F8D"/>
    <w:rsid w:val="00EF1094"/>
    <w:rsid w:val="00EF10AA"/>
    <w:rsid w:val="00EF11AD"/>
    <w:rsid w:val="00EF125F"/>
    <w:rsid w:val="00EF1313"/>
    <w:rsid w:val="00EF1387"/>
    <w:rsid w:val="00EF145C"/>
    <w:rsid w:val="00EF157F"/>
    <w:rsid w:val="00EF1620"/>
    <w:rsid w:val="00EF162E"/>
    <w:rsid w:val="00EF1675"/>
    <w:rsid w:val="00EF17D4"/>
    <w:rsid w:val="00EF1866"/>
    <w:rsid w:val="00EF18DE"/>
    <w:rsid w:val="00EF190C"/>
    <w:rsid w:val="00EF193A"/>
    <w:rsid w:val="00EF1953"/>
    <w:rsid w:val="00EF19B1"/>
    <w:rsid w:val="00EF19BC"/>
    <w:rsid w:val="00EF1A33"/>
    <w:rsid w:val="00EF1AAC"/>
    <w:rsid w:val="00EF1B03"/>
    <w:rsid w:val="00EF1BF2"/>
    <w:rsid w:val="00EF1D80"/>
    <w:rsid w:val="00EF1DA1"/>
    <w:rsid w:val="00EF1DA6"/>
    <w:rsid w:val="00EF1E2D"/>
    <w:rsid w:val="00EF1EBC"/>
    <w:rsid w:val="00EF1F19"/>
    <w:rsid w:val="00EF1F60"/>
    <w:rsid w:val="00EF1F65"/>
    <w:rsid w:val="00EF1FB4"/>
    <w:rsid w:val="00EF1FE3"/>
    <w:rsid w:val="00EF2000"/>
    <w:rsid w:val="00EF2088"/>
    <w:rsid w:val="00EF2211"/>
    <w:rsid w:val="00EF226D"/>
    <w:rsid w:val="00EF226E"/>
    <w:rsid w:val="00EF22C7"/>
    <w:rsid w:val="00EF2370"/>
    <w:rsid w:val="00EF23AF"/>
    <w:rsid w:val="00EF23BA"/>
    <w:rsid w:val="00EF23CF"/>
    <w:rsid w:val="00EF23F7"/>
    <w:rsid w:val="00EF24AF"/>
    <w:rsid w:val="00EF2632"/>
    <w:rsid w:val="00EF2891"/>
    <w:rsid w:val="00EF28D9"/>
    <w:rsid w:val="00EF2990"/>
    <w:rsid w:val="00EF29DF"/>
    <w:rsid w:val="00EF2A05"/>
    <w:rsid w:val="00EF2A85"/>
    <w:rsid w:val="00EF2B43"/>
    <w:rsid w:val="00EF2B81"/>
    <w:rsid w:val="00EF2BC2"/>
    <w:rsid w:val="00EF2C44"/>
    <w:rsid w:val="00EF2CE1"/>
    <w:rsid w:val="00EF2D00"/>
    <w:rsid w:val="00EF2D7D"/>
    <w:rsid w:val="00EF2D83"/>
    <w:rsid w:val="00EF2DC3"/>
    <w:rsid w:val="00EF2E6F"/>
    <w:rsid w:val="00EF2E7D"/>
    <w:rsid w:val="00EF2E96"/>
    <w:rsid w:val="00EF2F1B"/>
    <w:rsid w:val="00EF2F2F"/>
    <w:rsid w:val="00EF2FA9"/>
    <w:rsid w:val="00EF2FFE"/>
    <w:rsid w:val="00EF305C"/>
    <w:rsid w:val="00EF30FB"/>
    <w:rsid w:val="00EF3108"/>
    <w:rsid w:val="00EF3127"/>
    <w:rsid w:val="00EF3132"/>
    <w:rsid w:val="00EF332E"/>
    <w:rsid w:val="00EF356A"/>
    <w:rsid w:val="00EF36DE"/>
    <w:rsid w:val="00EF36F1"/>
    <w:rsid w:val="00EF3705"/>
    <w:rsid w:val="00EF378C"/>
    <w:rsid w:val="00EF3871"/>
    <w:rsid w:val="00EF39E8"/>
    <w:rsid w:val="00EF3A31"/>
    <w:rsid w:val="00EF3A5E"/>
    <w:rsid w:val="00EF3A82"/>
    <w:rsid w:val="00EF3ABB"/>
    <w:rsid w:val="00EF3B69"/>
    <w:rsid w:val="00EF3C5B"/>
    <w:rsid w:val="00EF3C8C"/>
    <w:rsid w:val="00EF3EE1"/>
    <w:rsid w:val="00EF3F3F"/>
    <w:rsid w:val="00EF3F72"/>
    <w:rsid w:val="00EF4078"/>
    <w:rsid w:val="00EF4085"/>
    <w:rsid w:val="00EF40C5"/>
    <w:rsid w:val="00EF4144"/>
    <w:rsid w:val="00EF41AF"/>
    <w:rsid w:val="00EF41E9"/>
    <w:rsid w:val="00EF421C"/>
    <w:rsid w:val="00EF4272"/>
    <w:rsid w:val="00EF42BC"/>
    <w:rsid w:val="00EF433B"/>
    <w:rsid w:val="00EF43CF"/>
    <w:rsid w:val="00EF45B8"/>
    <w:rsid w:val="00EF45CC"/>
    <w:rsid w:val="00EF4657"/>
    <w:rsid w:val="00EF4672"/>
    <w:rsid w:val="00EF467D"/>
    <w:rsid w:val="00EF46FC"/>
    <w:rsid w:val="00EF478D"/>
    <w:rsid w:val="00EF481E"/>
    <w:rsid w:val="00EF486B"/>
    <w:rsid w:val="00EF48C7"/>
    <w:rsid w:val="00EF49F3"/>
    <w:rsid w:val="00EF4A59"/>
    <w:rsid w:val="00EF4AD9"/>
    <w:rsid w:val="00EF4B5D"/>
    <w:rsid w:val="00EF4C6F"/>
    <w:rsid w:val="00EF4CF4"/>
    <w:rsid w:val="00EF4D56"/>
    <w:rsid w:val="00EF4D69"/>
    <w:rsid w:val="00EF4E26"/>
    <w:rsid w:val="00EF4E2F"/>
    <w:rsid w:val="00EF4EF9"/>
    <w:rsid w:val="00EF4F2D"/>
    <w:rsid w:val="00EF4F47"/>
    <w:rsid w:val="00EF4F59"/>
    <w:rsid w:val="00EF5036"/>
    <w:rsid w:val="00EF508D"/>
    <w:rsid w:val="00EF513B"/>
    <w:rsid w:val="00EF51C0"/>
    <w:rsid w:val="00EF5211"/>
    <w:rsid w:val="00EF5229"/>
    <w:rsid w:val="00EF5237"/>
    <w:rsid w:val="00EF52BD"/>
    <w:rsid w:val="00EF5370"/>
    <w:rsid w:val="00EF537F"/>
    <w:rsid w:val="00EF5443"/>
    <w:rsid w:val="00EF54E7"/>
    <w:rsid w:val="00EF5520"/>
    <w:rsid w:val="00EF552D"/>
    <w:rsid w:val="00EF55D6"/>
    <w:rsid w:val="00EF5732"/>
    <w:rsid w:val="00EF585B"/>
    <w:rsid w:val="00EF58B9"/>
    <w:rsid w:val="00EF5A35"/>
    <w:rsid w:val="00EF5AA9"/>
    <w:rsid w:val="00EF5AD8"/>
    <w:rsid w:val="00EF5B14"/>
    <w:rsid w:val="00EF5B51"/>
    <w:rsid w:val="00EF5BB6"/>
    <w:rsid w:val="00EF5BE2"/>
    <w:rsid w:val="00EF5E5F"/>
    <w:rsid w:val="00EF5E9B"/>
    <w:rsid w:val="00EF5EA2"/>
    <w:rsid w:val="00EF5F5F"/>
    <w:rsid w:val="00EF602C"/>
    <w:rsid w:val="00EF61FC"/>
    <w:rsid w:val="00EF6206"/>
    <w:rsid w:val="00EF6231"/>
    <w:rsid w:val="00EF62C4"/>
    <w:rsid w:val="00EF6341"/>
    <w:rsid w:val="00EF6363"/>
    <w:rsid w:val="00EF639B"/>
    <w:rsid w:val="00EF63B5"/>
    <w:rsid w:val="00EF6485"/>
    <w:rsid w:val="00EF6499"/>
    <w:rsid w:val="00EF65EC"/>
    <w:rsid w:val="00EF66DC"/>
    <w:rsid w:val="00EF66E8"/>
    <w:rsid w:val="00EF6727"/>
    <w:rsid w:val="00EF673E"/>
    <w:rsid w:val="00EF6783"/>
    <w:rsid w:val="00EF67D7"/>
    <w:rsid w:val="00EF6844"/>
    <w:rsid w:val="00EF6856"/>
    <w:rsid w:val="00EF6933"/>
    <w:rsid w:val="00EF6947"/>
    <w:rsid w:val="00EF6963"/>
    <w:rsid w:val="00EF6A7C"/>
    <w:rsid w:val="00EF6AC6"/>
    <w:rsid w:val="00EF6B11"/>
    <w:rsid w:val="00EF6C3B"/>
    <w:rsid w:val="00EF6CA0"/>
    <w:rsid w:val="00EF6CBB"/>
    <w:rsid w:val="00EF6D0A"/>
    <w:rsid w:val="00EF6D2B"/>
    <w:rsid w:val="00EF6E50"/>
    <w:rsid w:val="00EF6E66"/>
    <w:rsid w:val="00EF6E7D"/>
    <w:rsid w:val="00EF6E91"/>
    <w:rsid w:val="00EF6EC7"/>
    <w:rsid w:val="00EF6ED2"/>
    <w:rsid w:val="00EF6FED"/>
    <w:rsid w:val="00EF701D"/>
    <w:rsid w:val="00EF702F"/>
    <w:rsid w:val="00EF707B"/>
    <w:rsid w:val="00EF7177"/>
    <w:rsid w:val="00EF71A2"/>
    <w:rsid w:val="00EF723E"/>
    <w:rsid w:val="00EF7281"/>
    <w:rsid w:val="00EF7322"/>
    <w:rsid w:val="00EF7386"/>
    <w:rsid w:val="00EF73CF"/>
    <w:rsid w:val="00EF73EB"/>
    <w:rsid w:val="00EF7428"/>
    <w:rsid w:val="00EF753D"/>
    <w:rsid w:val="00EF757B"/>
    <w:rsid w:val="00EF75F5"/>
    <w:rsid w:val="00EF7683"/>
    <w:rsid w:val="00EF76B4"/>
    <w:rsid w:val="00EF76F9"/>
    <w:rsid w:val="00EF7744"/>
    <w:rsid w:val="00EF776C"/>
    <w:rsid w:val="00EF793E"/>
    <w:rsid w:val="00EF79FB"/>
    <w:rsid w:val="00EF7A03"/>
    <w:rsid w:val="00EF7A9C"/>
    <w:rsid w:val="00EF7B40"/>
    <w:rsid w:val="00EF7B89"/>
    <w:rsid w:val="00EF7C05"/>
    <w:rsid w:val="00EF7C5E"/>
    <w:rsid w:val="00EF7D93"/>
    <w:rsid w:val="00EF7FBE"/>
    <w:rsid w:val="00F00074"/>
    <w:rsid w:val="00F0013C"/>
    <w:rsid w:val="00F0015F"/>
    <w:rsid w:val="00F00181"/>
    <w:rsid w:val="00F001AE"/>
    <w:rsid w:val="00F001EA"/>
    <w:rsid w:val="00F0022B"/>
    <w:rsid w:val="00F00267"/>
    <w:rsid w:val="00F003AA"/>
    <w:rsid w:val="00F0047B"/>
    <w:rsid w:val="00F00494"/>
    <w:rsid w:val="00F00594"/>
    <w:rsid w:val="00F005E0"/>
    <w:rsid w:val="00F00624"/>
    <w:rsid w:val="00F00670"/>
    <w:rsid w:val="00F00725"/>
    <w:rsid w:val="00F007A2"/>
    <w:rsid w:val="00F008DA"/>
    <w:rsid w:val="00F00903"/>
    <w:rsid w:val="00F00917"/>
    <w:rsid w:val="00F00A60"/>
    <w:rsid w:val="00F00AB3"/>
    <w:rsid w:val="00F00C03"/>
    <w:rsid w:val="00F00D00"/>
    <w:rsid w:val="00F00D8F"/>
    <w:rsid w:val="00F00E14"/>
    <w:rsid w:val="00F00EDE"/>
    <w:rsid w:val="00F00F05"/>
    <w:rsid w:val="00F01123"/>
    <w:rsid w:val="00F0114A"/>
    <w:rsid w:val="00F011B8"/>
    <w:rsid w:val="00F011BC"/>
    <w:rsid w:val="00F0120F"/>
    <w:rsid w:val="00F01214"/>
    <w:rsid w:val="00F01216"/>
    <w:rsid w:val="00F0127C"/>
    <w:rsid w:val="00F01376"/>
    <w:rsid w:val="00F01380"/>
    <w:rsid w:val="00F0147F"/>
    <w:rsid w:val="00F0148A"/>
    <w:rsid w:val="00F014F5"/>
    <w:rsid w:val="00F015B7"/>
    <w:rsid w:val="00F015F7"/>
    <w:rsid w:val="00F01734"/>
    <w:rsid w:val="00F01741"/>
    <w:rsid w:val="00F01778"/>
    <w:rsid w:val="00F017EB"/>
    <w:rsid w:val="00F01834"/>
    <w:rsid w:val="00F01879"/>
    <w:rsid w:val="00F01925"/>
    <w:rsid w:val="00F01A01"/>
    <w:rsid w:val="00F01AC1"/>
    <w:rsid w:val="00F01B52"/>
    <w:rsid w:val="00F01C04"/>
    <w:rsid w:val="00F01C2D"/>
    <w:rsid w:val="00F01C7C"/>
    <w:rsid w:val="00F01E42"/>
    <w:rsid w:val="00F01E95"/>
    <w:rsid w:val="00F01ED9"/>
    <w:rsid w:val="00F01F76"/>
    <w:rsid w:val="00F01F7C"/>
    <w:rsid w:val="00F01F93"/>
    <w:rsid w:val="00F01FD2"/>
    <w:rsid w:val="00F02042"/>
    <w:rsid w:val="00F02229"/>
    <w:rsid w:val="00F02256"/>
    <w:rsid w:val="00F02337"/>
    <w:rsid w:val="00F0233B"/>
    <w:rsid w:val="00F02445"/>
    <w:rsid w:val="00F024AD"/>
    <w:rsid w:val="00F0251A"/>
    <w:rsid w:val="00F02539"/>
    <w:rsid w:val="00F0254A"/>
    <w:rsid w:val="00F0256D"/>
    <w:rsid w:val="00F02577"/>
    <w:rsid w:val="00F02617"/>
    <w:rsid w:val="00F026DD"/>
    <w:rsid w:val="00F0277C"/>
    <w:rsid w:val="00F0282F"/>
    <w:rsid w:val="00F029BF"/>
    <w:rsid w:val="00F029F3"/>
    <w:rsid w:val="00F02A45"/>
    <w:rsid w:val="00F02A54"/>
    <w:rsid w:val="00F02AA5"/>
    <w:rsid w:val="00F02ACA"/>
    <w:rsid w:val="00F02AE6"/>
    <w:rsid w:val="00F02B03"/>
    <w:rsid w:val="00F02BF6"/>
    <w:rsid w:val="00F02CBD"/>
    <w:rsid w:val="00F02D13"/>
    <w:rsid w:val="00F02DA9"/>
    <w:rsid w:val="00F02F32"/>
    <w:rsid w:val="00F02FDC"/>
    <w:rsid w:val="00F02FDF"/>
    <w:rsid w:val="00F02FED"/>
    <w:rsid w:val="00F0302A"/>
    <w:rsid w:val="00F03064"/>
    <w:rsid w:val="00F03068"/>
    <w:rsid w:val="00F03074"/>
    <w:rsid w:val="00F03120"/>
    <w:rsid w:val="00F0314B"/>
    <w:rsid w:val="00F03178"/>
    <w:rsid w:val="00F0329C"/>
    <w:rsid w:val="00F032A8"/>
    <w:rsid w:val="00F0335A"/>
    <w:rsid w:val="00F0336B"/>
    <w:rsid w:val="00F0339A"/>
    <w:rsid w:val="00F03423"/>
    <w:rsid w:val="00F03550"/>
    <w:rsid w:val="00F035A4"/>
    <w:rsid w:val="00F03694"/>
    <w:rsid w:val="00F036CB"/>
    <w:rsid w:val="00F036F4"/>
    <w:rsid w:val="00F03788"/>
    <w:rsid w:val="00F0387A"/>
    <w:rsid w:val="00F0399F"/>
    <w:rsid w:val="00F03A11"/>
    <w:rsid w:val="00F03A9E"/>
    <w:rsid w:val="00F03B05"/>
    <w:rsid w:val="00F03C0B"/>
    <w:rsid w:val="00F03D6B"/>
    <w:rsid w:val="00F03D6C"/>
    <w:rsid w:val="00F03DE4"/>
    <w:rsid w:val="00F03DFC"/>
    <w:rsid w:val="00F03E06"/>
    <w:rsid w:val="00F03E99"/>
    <w:rsid w:val="00F03EA7"/>
    <w:rsid w:val="00F03EB3"/>
    <w:rsid w:val="00F03FC1"/>
    <w:rsid w:val="00F03FD1"/>
    <w:rsid w:val="00F040A7"/>
    <w:rsid w:val="00F040DD"/>
    <w:rsid w:val="00F04148"/>
    <w:rsid w:val="00F04154"/>
    <w:rsid w:val="00F0422F"/>
    <w:rsid w:val="00F0424A"/>
    <w:rsid w:val="00F04261"/>
    <w:rsid w:val="00F042BE"/>
    <w:rsid w:val="00F0435A"/>
    <w:rsid w:val="00F0438F"/>
    <w:rsid w:val="00F04394"/>
    <w:rsid w:val="00F04424"/>
    <w:rsid w:val="00F04453"/>
    <w:rsid w:val="00F044D1"/>
    <w:rsid w:val="00F04506"/>
    <w:rsid w:val="00F04571"/>
    <w:rsid w:val="00F045B1"/>
    <w:rsid w:val="00F04639"/>
    <w:rsid w:val="00F046E8"/>
    <w:rsid w:val="00F04773"/>
    <w:rsid w:val="00F047EA"/>
    <w:rsid w:val="00F04840"/>
    <w:rsid w:val="00F04879"/>
    <w:rsid w:val="00F0489F"/>
    <w:rsid w:val="00F048CB"/>
    <w:rsid w:val="00F048D3"/>
    <w:rsid w:val="00F048F4"/>
    <w:rsid w:val="00F0497E"/>
    <w:rsid w:val="00F049C7"/>
    <w:rsid w:val="00F049E7"/>
    <w:rsid w:val="00F04A36"/>
    <w:rsid w:val="00F04A4C"/>
    <w:rsid w:val="00F04B4E"/>
    <w:rsid w:val="00F04BFA"/>
    <w:rsid w:val="00F04C7A"/>
    <w:rsid w:val="00F04E04"/>
    <w:rsid w:val="00F04FA2"/>
    <w:rsid w:val="00F0507F"/>
    <w:rsid w:val="00F0513C"/>
    <w:rsid w:val="00F05150"/>
    <w:rsid w:val="00F05158"/>
    <w:rsid w:val="00F05182"/>
    <w:rsid w:val="00F05393"/>
    <w:rsid w:val="00F053FE"/>
    <w:rsid w:val="00F0541B"/>
    <w:rsid w:val="00F055A6"/>
    <w:rsid w:val="00F055D7"/>
    <w:rsid w:val="00F056C7"/>
    <w:rsid w:val="00F056F0"/>
    <w:rsid w:val="00F0585E"/>
    <w:rsid w:val="00F05998"/>
    <w:rsid w:val="00F059E8"/>
    <w:rsid w:val="00F05A88"/>
    <w:rsid w:val="00F05BFC"/>
    <w:rsid w:val="00F05C63"/>
    <w:rsid w:val="00F05C81"/>
    <w:rsid w:val="00F05CC6"/>
    <w:rsid w:val="00F05D34"/>
    <w:rsid w:val="00F05D61"/>
    <w:rsid w:val="00F05D63"/>
    <w:rsid w:val="00F05E54"/>
    <w:rsid w:val="00F05E5B"/>
    <w:rsid w:val="00F05F7A"/>
    <w:rsid w:val="00F0610F"/>
    <w:rsid w:val="00F06137"/>
    <w:rsid w:val="00F061F1"/>
    <w:rsid w:val="00F0630F"/>
    <w:rsid w:val="00F0633B"/>
    <w:rsid w:val="00F0635E"/>
    <w:rsid w:val="00F0637A"/>
    <w:rsid w:val="00F063D0"/>
    <w:rsid w:val="00F064B4"/>
    <w:rsid w:val="00F064D0"/>
    <w:rsid w:val="00F0651D"/>
    <w:rsid w:val="00F0658A"/>
    <w:rsid w:val="00F06590"/>
    <w:rsid w:val="00F06650"/>
    <w:rsid w:val="00F06679"/>
    <w:rsid w:val="00F06781"/>
    <w:rsid w:val="00F0680C"/>
    <w:rsid w:val="00F0683E"/>
    <w:rsid w:val="00F06878"/>
    <w:rsid w:val="00F06894"/>
    <w:rsid w:val="00F068EE"/>
    <w:rsid w:val="00F06932"/>
    <w:rsid w:val="00F06AED"/>
    <w:rsid w:val="00F06B26"/>
    <w:rsid w:val="00F06D23"/>
    <w:rsid w:val="00F06E28"/>
    <w:rsid w:val="00F06F82"/>
    <w:rsid w:val="00F06FFE"/>
    <w:rsid w:val="00F07000"/>
    <w:rsid w:val="00F0703A"/>
    <w:rsid w:val="00F07106"/>
    <w:rsid w:val="00F0719E"/>
    <w:rsid w:val="00F07234"/>
    <w:rsid w:val="00F0724F"/>
    <w:rsid w:val="00F07454"/>
    <w:rsid w:val="00F074AA"/>
    <w:rsid w:val="00F074E1"/>
    <w:rsid w:val="00F074E6"/>
    <w:rsid w:val="00F0750A"/>
    <w:rsid w:val="00F07541"/>
    <w:rsid w:val="00F075AE"/>
    <w:rsid w:val="00F076BC"/>
    <w:rsid w:val="00F077EC"/>
    <w:rsid w:val="00F07847"/>
    <w:rsid w:val="00F0788F"/>
    <w:rsid w:val="00F078A4"/>
    <w:rsid w:val="00F078F1"/>
    <w:rsid w:val="00F079DA"/>
    <w:rsid w:val="00F07B49"/>
    <w:rsid w:val="00F07B83"/>
    <w:rsid w:val="00F07BC3"/>
    <w:rsid w:val="00F07C04"/>
    <w:rsid w:val="00F07D9E"/>
    <w:rsid w:val="00F07ECA"/>
    <w:rsid w:val="00F07F72"/>
    <w:rsid w:val="00F07F85"/>
    <w:rsid w:val="00F10029"/>
    <w:rsid w:val="00F10082"/>
    <w:rsid w:val="00F10096"/>
    <w:rsid w:val="00F101B0"/>
    <w:rsid w:val="00F101B4"/>
    <w:rsid w:val="00F1026B"/>
    <w:rsid w:val="00F1034A"/>
    <w:rsid w:val="00F10394"/>
    <w:rsid w:val="00F10443"/>
    <w:rsid w:val="00F10445"/>
    <w:rsid w:val="00F104B3"/>
    <w:rsid w:val="00F10534"/>
    <w:rsid w:val="00F10572"/>
    <w:rsid w:val="00F105A5"/>
    <w:rsid w:val="00F106A6"/>
    <w:rsid w:val="00F106D3"/>
    <w:rsid w:val="00F107F1"/>
    <w:rsid w:val="00F1082F"/>
    <w:rsid w:val="00F108B8"/>
    <w:rsid w:val="00F108BE"/>
    <w:rsid w:val="00F10B97"/>
    <w:rsid w:val="00F10BC1"/>
    <w:rsid w:val="00F10CAE"/>
    <w:rsid w:val="00F10D2B"/>
    <w:rsid w:val="00F10D5B"/>
    <w:rsid w:val="00F10DB6"/>
    <w:rsid w:val="00F10EFE"/>
    <w:rsid w:val="00F10F44"/>
    <w:rsid w:val="00F10FED"/>
    <w:rsid w:val="00F1102F"/>
    <w:rsid w:val="00F110D6"/>
    <w:rsid w:val="00F110FC"/>
    <w:rsid w:val="00F11174"/>
    <w:rsid w:val="00F111F6"/>
    <w:rsid w:val="00F11257"/>
    <w:rsid w:val="00F1125A"/>
    <w:rsid w:val="00F11280"/>
    <w:rsid w:val="00F112D3"/>
    <w:rsid w:val="00F112E3"/>
    <w:rsid w:val="00F113C4"/>
    <w:rsid w:val="00F1149B"/>
    <w:rsid w:val="00F115F7"/>
    <w:rsid w:val="00F11689"/>
    <w:rsid w:val="00F11743"/>
    <w:rsid w:val="00F117C9"/>
    <w:rsid w:val="00F11810"/>
    <w:rsid w:val="00F11894"/>
    <w:rsid w:val="00F118EF"/>
    <w:rsid w:val="00F11965"/>
    <w:rsid w:val="00F119D6"/>
    <w:rsid w:val="00F11A13"/>
    <w:rsid w:val="00F11A98"/>
    <w:rsid w:val="00F11B5C"/>
    <w:rsid w:val="00F11C73"/>
    <w:rsid w:val="00F11E0C"/>
    <w:rsid w:val="00F11E16"/>
    <w:rsid w:val="00F11F6C"/>
    <w:rsid w:val="00F120D2"/>
    <w:rsid w:val="00F12124"/>
    <w:rsid w:val="00F12141"/>
    <w:rsid w:val="00F12187"/>
    <w:rsid w:val="00F12349"/>
    <w:rsid w:val="00F123F9"/>
    <w:rsid w:val="00F124FD"/>
    <w:rsid w:val="00F126F9"/>
    <w:rsid w:val="00F12729"/>
    <w:rsid w:val="00F127BA"/>
    <w:rsid w:val="00F1282F"/>
    <w:rsid w:val="00F12833"/>
    <w:rsid w:val="00F12899"/>
    <w:rsid w:val="00F129AD"/>
    <w:rsid w:val="00F12A0C"/>
    <w:rsid w:val="00F12B48"/>
    <w:rsid w:val="00F12BB1"/>
    <w:rsid w:val="00F12C84"/>
    <w:rsid w:val="00F12CD0"/>
    <w:rsid w:val="00F12D45"/>
    <w:rsid w:val="00F12D49"/>
    <w:rsid w:val="00F12D4E"/>
    <w:rsid w:val="00F12D63"/>
    <w:rsid w:val="00F12D6A"/>
    <w:rsid w:val="00F12D8D"/>
    <w:rsid w:val="00F12DC1"/>
    <w:rsid w:val="00F12E84"/>
    <w:rsid w:val="00F12FF8"/>
    <w:rsid w:val="00F1305A"/>
    <w:rsid w:val="00F13109"/>
    <w:rsid w:val="00F13187"/>
    <w:rsid w:val="00F13256"/>
    <w:rsid w:val="00F1325E"/>
    <w:rsid w:val="00F13398"/>
    <w:rsid w:val="00F133FE"/>
    <w:rsid w:val="00F13448"/>
    <w:rsid w:val="00F13459"/>
    <w:rsid w:val="00F13463"/>
    <w:rsid w:val="00F135A4"/>
    <w:rsid w:val="00F13613"/>
    <w:rsid w:val="00F1361B"/>
    <w:rsid w:val="00F13625"/>
    <w:rsid w:val="00F1362C"/>
    <w:rsid w:val="00F1371F"/>
    <w:rsid w:val="00F13779"/>
    <w:rsid w:val="00F13903"/>
    <w:rsid w:val="00F13955"/>
    <w:rsid w:val="00F139A0"/>
    <w:rsid w:val="00F139D1"/>
    <w:rsid w:val="00F139FD"/>
    <w:rsid w:val="00F13A01"/>
    <w:rsid w:val="00F13A6B"/>
    <w:rsid w:val="00F13B0D"/>
    <w:rsid w:val="00F13B42"/>
    <w:rsid w:val="00F13B43"/>
    <w:rsid w:val="00F13BBE"/>
    <w:rsid w:val="00F13BE2"/>
    <w:rsid w:val="00F13BF0"/>
    <w:rsid w:val="00F13C56"/>
    <w:rsid w:val="00F13D6E"/>
    <w:rsid w:val="00F13DB5"/>
    <w:rsid w:val="00F13DD3"/>
    <w:rsid w:val="00F13E91"/>
    <w:rsid w:val="00F13F65"/>
    <w:rsid w:val="00F14024"/>
    <w:rsid w:val="00F14179"/>
    <w:rsid w:val="00F141D8"/>
    <w:rsid w:val="00F142A9"/>
    <w:rsid w:val="00F14349"/>
    <w:rsid w:val="00F1439B"/>
    <w:rsid w:val="00F14410"/>
    <w:rsid w:val="00F14454"/>
    <w:rsid w:val="00F144BC"/>
    <w:rsid w:val="00F14597"/>
    <w:rsid w:val="00F14608"/>
    <w:rsid w:val="00F14629"/>
    <w:rsid w:val="00F14661"/>
    <w:rsid w:val="00F14710"/>
    <w:rsid w:val="00F14731"/>
    <w:rsid w:val="00F14779"/>
    <w:rsid w:val="00F147E9"/>
    <w:rsid w:val="00F1481A"/>
    <w:rsid w:val="00F1481C"/>
    <w:rsid w:val="00F14888"/>
    <w:rsid w:val="00F148A8"/>
    <w:rsid w:val="00F14A0A"/>
    <w:rsid w:val="00F14A89"/>
    <w:rsid w:val="00F14B94"/>
    <w:rsid w:val="00F14C81"/>
    <w:rsid w:val="00F14D52"/>
    <w:rsid w:val="00F14D77"/>
    <w:rsid w:val="00F14D82"/>
    <w:rsid w:val="00F14EA2"/>
    <w:rsid w:val="00F14F25"/>
    <w:rsid w:val="00F14FEA"/>
    <w:rsid w:val="00F15054"/>
    <w:rsid w:val="00F1507E"/>
    <w:rsid w:val="00F1508A"/>
    <w:rsid w:val="00F151FA"/>
    <w:rsid w:val="00F15515"/>
    <w:rsid w:val="00F155C0"/>
    <w:rsid w:val="00F1561C"/>
    <w:rsid w:val="00F15722"/>
    <w:rsid w:val="00F157B8"/>
    <w:rsid w:val="00F1591D"/>
    <w:rsid w:val="00F15962"/>
    <w:rsid w:val="00F159A0"/>
    <w:rsid w:val="00F15A20"/>
    <w:rsid w:val="00F15A75"/>
    <w:rsid w:val="00F15B15"/>
    <w:rsid w:val="00F15C38"/>
    <w:rsid w:val="00F15C8F"/>
    <w:rsid w:val="00F15D14"/>
    <w:rsid w:val="00F15F1A"/>
    <w:rsid w:val="00F15FDE"/>
    <w:rsid w:val="00F16035"/>
    <w:rsid w:val="00F16196"/>
    <w:rsid w:val="00F161DF"/>
    <w:rsid w:val="00F161EF"/>
    <w:rsid w:val="00F162C5"/>
    <w:rsid w:val="00F16334"/>
    <w:rsid w:val="00F163A3"/>
    <w:rsid w:val="00F163D2"/>
    <w:rsid w:val="00F16443"/>
    <w:rsid w:val="00F16447"/>
    <w:rsid w:val="00F1654B"/>
    <w:rsid w:val="00F1660C"/>
    <w:rsid w:val="00F166C3"/>
    <w:rsid w:val="00F1670E"/>
    <w:rsid w:val="00F167DF"/>
    <w:rsid w:val="00F1694C"/>
    <w:rsid w:val="00F16954"/>
    <w:rsid w:val="00F16959"/>
    <w:rsid w:val="00F169EF"/>
    <w:rsid w:val="00F16AC5"/>
    <w:rsid w:val="00F16B0E"/>
    <w:rsid w:val="00F16B36"/>
    <w:rsid w:val="00F16BA0"/>
    <w:rsid w:val="00F16BA4"/>
    <w:rsid w:val="00F16C17"/>
    <w:rsid w:val="00F16C67"/>
    <w:rsid w:val="00F16C7F"/>
    <w:rsid w:val="00F16CA0"/>
    <w:rsid w:val="00F16D23"/>
    <w:rsid w:val="00F16D75"/>
    <w:rsid w:val="00F16D83"/>
    <w:rsid w:val="00F16E08"/>
    <w:rsid w:val="00F16E3E"/>
    <w:rsid w:val="00F16E74"/>
    <w:rsid w:val="00F16F6F"/>
    <w:rsid w:val="00F17017"/>
    <w:rsid w:val="00F17336"/>
    <w:rsid w:val="00F17441"/>
    <w:rsid w:val="00F174CF"/>
    <w:rsid w:val="00F1754B"/>
    <w:rsid w:val="00F17847"/>
    <w:rsid w:val="00F178A1"/>
    <w:rsid w:val="00F178A5"/>
    <w:rsid w:val="00F17908"/>
    <w:rsid w:val="00F17978"/>
    <w:rsid w:val="00F179C8"/>
    <w:rsid w:val="00F17B39"/>
    <w:rsid w:val="00F17C46"/>
    <w:rsid w:val="00F17C70"/>
    <w:rsid w:val="00F17D47"/>
    <w:rsid w:val="00F17D58"/>
    <w:rsid w:val="00F17DD5"/>
    <w:rsid w:val="00F17F01"/>
    <w:rsid w:val="00F2000B"/>
    <w:rsid w:val="00F2001C"/>
    <w:rsid w:val="00F20026"/>
    <w:rsid w:val="00F2008C"/>
    <w:rsid w:val="00F200F7"/>
    <w:rsid w:val="00F201CB"/>
    <w:rsid w:val="00F2023B"/>
    <w:rsid w:val="00F2039D"/>
    <w:rsid w:val="00F203A8"/>
    <w:rsid w:val="00F204AB"/>
    <w:rsid w:val="00F2058E"/>
    <w:rsid w:val="00F20615"/>
    <w:rsid w:val="00F2078F"/>
    <w:rsid w:val="00F207B0"/>
    <w:rsid w:val="00F207C4"/>
    <w:rsid w:val="00F2082C"/>
    <w:rsid w:val="00F20846"/>
    <w:rsid w:val="00F209DD"/>
    <w:rsid w:val="00F20ACA"/>
    <w:rsid w:val="00F20B57"/>
    <w:rsid w:val="00F20C18"/>
    <w:rsid w:val="00F20C7E"/>
    <w:rsid w:val="00F20D7A"/>
    <w:rsid w:val="00F20DBB"/>
    <w:rsid w:val="00F20EB8"/>
    <w:rsid w:val="00F20F4F"/>
    <w:rsid w:val="00F20F54"/>
    <w:rsid w:val="00F210FB"/>
    <w:rsid w:val="00F2110F"/>
    <w:rsid w:val="00F21218"/>
    <w:rsid w:val="00F2128A"/>
    <w:rsid w:val="00F2136D"/>
    <w:rsid w:val="00F213AD"/>
    <w:rsid w:val="00F213E2"/>
    <w:rsid w:val="00F21449"/>
    <w:rsid w:val="00F2145D"/>
    <w:rsid w:val="00F21465"/>
    <w:rsid w:val="00F214C5"/>
    <w:rsid w:val="00F214D9"/>
    <w:rsid w:val="00F21555"/>
    <w:rsid w:val="00F2158B"/>
    <w:rsid w:val="00F21731"/>
    <w:rsid w:val="00F217C9"/>
    <w:rsid w:val="00F217DF"/>
    <w:rsid w:val="00F2180B"/>
    <w:rsid w:val="00F218A9"/>
    <w:rsid w:val="00F218C9"/>
    <w:rsid w:val="00F219C7"/>
    <w:rsid w:val="00F219D4"/>
    <w:rsid w:val="00F21A8F"/>
    <w:rsid w:val="00F21C77"/>
    <w:rsid w:val="00F21CA5"/>
    <w:rsid w:val="00F21CC7"/>
    <w:rsid w:val="00F21E4D"/>
    <w:rsid w:val="00F21FCA"/>
    <w:rsid w:val="00F2200D"/>
    <w:rsid w:val="00F220E0"/>
    <w:rsid w:val="00F22155"/>
    <w:rsid w:val="00F2219C"/>
    <w:rsid w:val="00F22259"/>
    <w:rsid w:val="00F222F5"/>
    <w:rsid w:val="00F2236C"/>
    <w:rsid w:val="00F22373"/>
    <w:rsid w:val="00F223A1"/>
    <w:rsid w:val="00F223B0"/>
    <w:rsid w:val="00F223B7"/>
    <w:rsid w:val="00F2242F"/>
    <w:rsid w:val="00F224C3"/>
    <w:rsid w:val="00F22785"/>
    <w:rsid w:val="00F2278F"/>
    <w:rsid w:val="00F227CC"/>
    <w:rsid w:val="00F2280B"/>
    <w:rsid w:val="00F22828"/>
    <w:rsid w:val="00F22906"/>
    <w:rsid w:val="00F229EC"/>
    <w:rsid w:val="00F22A06"/>
    <w:rsid w:val="00F22A9A"/>
    <w:rsid w:val="00F22AFA"/>
    <w:rsid w:val="00F22B4D"/>
    <w:rsid w:val="00F22B79"/>
    <w:rsid w:val="00F22BE2"/>
    <w:rsid w:val="00F22C33"/>
    <w:rsid w:val="00F22C95"/>
    <w:rsid w:val="00F22CAB"/>
    <w:rsid w:val="00F22D8B"/>
    <w:rsid w:val="00F22DB2"/>
    <w:rsid w:val="00F22DF7"/>
    <w:rsid w:val="00F22DFC"/>
    <w:rsid w:val="00F22E6A"/>
    <w:rsid w:val="00F22F7F"/>
    <w:rsid w:val="00F22FA9"/>
    <w:rsid w:val="00F2300A"/>
    <w:rsid w:val="00F2300C"/>
    <w:rsid w:val="00F23075"/>
    <w:rsid w:val="00F230CB"/>
    <w:rsid w:val="00F2328B"/>
    <w:rsid w:val="00F23317"/>
    <w:rsid w:val="00F2342C"/>
    <w:rsid w:val="00F234C3"/>
    <w:rsid w:val="00F234C4"/>
    <w:rsid w:val="00F234FE"/>
    <w:rsid w:val="00F23536"/>
    <w:rsid w:val="00F235D4"/>
    <w:rsid w:val="00F2360A"/>
    <w:rsid w:val="00F2370D"/>
    <w:rsid w:val="00F237C9"/>
    <w:rsid w:val="00F2383A"/>
    <w:rsid w:val="00F238E9"/>
    <w:rsid w:val="00F23A5B"/>
    <w:rsid w:val="00F23AA3"/>
    <w:rsid w:val="00F23B03"/>
    <w:rsid w:val="00F23B7A"/>
    <w:rsid w:val="00F23C13"/>
    <w:rsid w:val="00F23C33"/>
    <w:rsid w:val="00F23C39"/>
    <w:rsid w:val="00F23C92"/>
    <w:rsid w:val="00F23DA0"/>
    <w:rsid w:val="00F23E00"/>
    <w:rsid w:val="00F23E4F"/>
    <w:rsid w:val="00F23E7A"/>
    <w:rsid w:val="00F23EFA"/>
    <w:rsid w:val="00F23EFE"/>
    <w:rsid w:val="00F23F26"/>
    <w:rsid w:val="00F24079"/>
    <w:rsid w:val="00F2412B"/>
    <w:rsid w:val="00F24227"/>
    <w:rsid w:val="00F2422E"/>
    <w:rsid w:val="00F242AA"/>
    <w:rsid w:val="00F243A8"/>
    <w:rsid w:val="00F24416"/>
    <w:rsid w:val="00F24457"/>
    <w:rsid w:val="00F24498"/>
    <w:rsid w:val="00F244B6"/>
    <w:rsid w:val="00F24556"/>
    <w:rsid w:val="00F245BA"/>
    <w:rsid w:val="00F2465E"/>
    <w:rsid w:val="00F2466D"/>
    <w:rsid w:val="00F2474F"/>
    <w:rsid w:val="00F24755"/>
    <w:rsid w:val="00F247B4"/>
    <w:rsid w:val="00F247F6"/>
    <w:rsid w:val="00F24878"/>
    <w:rsid w:val="00F249D1"/>
    <w:rsid w:val="00F24A9B"/>
    <w:rsid w:val="00F24AFF"/>
    <w:rsid w:val="00F24B6A"/>
    <w:rsid w:val="00F24BCC"/>
    <w:rsid w:val="00F24C2E"/>
    <w:rsid w:val="00F24CD3"/>
    <w:rsid w:val="00F24CEF"/>
    <w:rsid w:val="00F24D43"/>
    <w:rsid w:val="00F24D79"/>
    <w:rsid w:val="00F24E77"/>
    <w:rsid w:val="00F24E97"/>
    <w:rsid w:val="00F24F72"/>
    <w:rsid w:val="00F25008"/>
    <w:rsid w:val="00F250B8"/>
    <w:rsid w:val="00F251BB"/>
    <w:rsid w:val="00F2520A"/>
    <w:rsid w:val="00F25511"/>
    <w:rsid w:val="00F25521"/>
    <w:rsid w:val="00F25532"/>
    <w:rsid w:val="00F25587"/>
    <w:rsid w:val="00F255BE"/>
    <w:rsid w:val="00F255D7"/>
    <w:rsid w:val="00F25611"/>
    <w:rsid w:val="00F25651"/>
    <w:rsid w:val="00F25754"/>
    <w:rsid w:val="00F2582F"/>
    <w:rsid w:val="00F2589F"/>
    <w:rsid w:val="00F258DA"/>
    <w:rsid w:val="00F258DF"/>
    <w:rsid w:val="00F25909"/>
    <w:rsid w:val="00F2593B"/>
    <w:rsid w:val="00F25B09"/>
    <w:rsid w:val="00F25BF6"/>
    <w:rsid w:val="00F25C82"/>
    <w:rsid w:val="00F25D3E"/>
    <w:rsid w:val="00F25DBC"/>
    <w:rsid w:val="00F25E39"/>
    <w:rsid w:val="00F25E5F"/>
    <w:rsid w:val="00F25E76"/>
    <w:rsid w:val="00F25E8B"/>
    <w:rsid w:val="00F25FD9"/>
    <w:rsid w:val="00F25FF9"/>
    <w:rsid w:val="00F26064"/>
    <w:rsid w:val="00F26123"/>
    <w:rsid w:val="00F261E6"/>
    <w:rsid w:val="00F26204"/>
    <w:rsid w:val="00F262B0"/>
    <w:rsid w:val="00F26401"/>
    <w:rsid w:val="00F26469"/>
    <w:rsid w:val="00F26542"/>
    <w:rsid w:val="00F26641"/>
    <w:rsid w:val="00F266BC"/>
    <w:rsid w:val="00F26707"/>
    <w:rsid w:val="00F2674B"/>
    <w:rsid w:val="00F26766"/>
    <w:rsid w:val="00F26775"/>
    <w:rsid w:val="00F2678E"/>
    <w:rsid w:val="00F26928"/>
    <w:rsid w:val="00F26939"/>
    <w:rsid w:val="00F269EA"/>
    <w:rsid w:val="00F269F1"/>
    <w:rsid w:val="00F26AD0"/>
    <w:rsid w:val="00F26AF6"/>
    <w:rsid w:val="00F26B6B"/>
    <w:rsid w:val="00F26B75"/>
    <w:rsid w:val="00F26B96"/>
    <w:rsid w:val="00F26C52"/>
    <w:rsid w:val="00F26C97"/>
    <w:rsid w:val="00F26D09"/>
    <w:rsid w:val="00F26DE1"/>
    <w:rsid w:val="00F26DEE"/>
    <w:rsid w:val="00F26E2F"/>
    <w:rsid w:val="00F26E36"/>
    <w:rsid w:val="00F26E3A"/>
    <w:rsid w:val="00F26E8B"/>
    <w:rsid w:val="00F26F45"/>
    <w:rsid w:val="00F26FEF"/>
    <w:rsid w:val="00F27068"/>
    <w:rsid w:val="00F27154"/>
    <w:rsid w:val="00F2718D"/>
    <w:rsid w:val="00F271FD"/>
    <w:rsid w:val="00F2723C"/>
    <w:rsid w:val="00F27248"/>
    <w:rsid w:val="00F27279"/>
    <w:rsid w:val="00F27381"/>
    <w:rsid w:val="00F27505"/>
    <w:rsid w:val="00F27602"/>
    <w:rsid w:val="00F27640"/>
    <w:rsid w:val="00F27695"/>
    <w:rsid w:val="00F27711"/>
    <w:rsid w:val="00F27781"/>
    <w:rsid w:val="00F2779F"/>
    <w:rsid w:val="00F277A1"/>
    <w:rsid w:val="00F277E2"/>
    <w:rsid w:val="00F278C3"/>
    <w:rsid w:val="00F27910"/>
    <w:rsid w:val="00F27967"/>
    <w:rsid w:val="00F27977"/>
    <w:rsid w:val="00F27AAF"/>
    <w:rsid w:val="00F27AED"/>
    <w:rsid w:val="00F27B93"/>
    <w:rsid w:val="00F27BB6"/>
    <w:rsid w:val="00F27BBE"/>
    <w:rsid w:val="00F27D76"/>
    <w:rsid w:val="00F27DA1"/>
    <w:rsid w:val="00F27E3A"/>
    <w:rsid w:val="00F27E72"/>
    <w:rsid w:val="00F27E80"/>
    <w:rsid w:val="00F27EA6"/>
    <w:rsid w:val="00F27F41"/>
    <w:rsid w:val="00F27FA5"/>
    <w:rsid w:val="00F27FD6"/>
    <w:rsid w:val="00F30045"/>
    <w:rsid w:val="00F3004E"/>
    <w:rsid w:val="00F300A3"/>
    <w:rsid w:val="00F30148"/>
    <w:rsid w:val="00F30224"/>
    <w:rsid w:val="00F303CD"/>
    <w:rsid w:val="00F30411"/>
    <w:rsid w:val="00F30523"/>
    <w:rsid w:val="00F30575"/>
    <w:rsid w:val="00F30626"/>
    <w:rsid w:val="00F30740"/>
    <w:rsid w:val="00F307D0"/>
    <w:rsid w:val="00F30842"/>
    <w:rsid w:val="00F308C6"/>
    <w:rsid w:val="00F308D2"/>
    <w:rsid w:val="00F3093E"/>
    <w:rsid w:val="00F309E9"/>
    <w:rsid w:val="00F30A1A"/>
    <w:rsid w:val="00F30A93"/>
    <w:rsid w:val="00F30AE9"/>
    <w:rsid w:val="00F30B98"/>
    <w:rsid w:val="00F30BDB"/>
    <w:rsid w:val="00F30C0A"/>
    <w:rsid w:val="00F30C88"/>
    <w:rsid w:val="00F30CF5"/>
    <w:rsid w:val="00F30D08"/>
    <w:rsid w:val="00F30DFC"/>
    <w:rsid w:val="00F30E27"/>
    <w:rsid w:val="00F30E30"/>
    <w:rsid w:val="00F30E54"/>
    <w:rsid w:val="00F30EFD"/>
    <w:rsid w:val="00F30F86"/>
    <w:rsid w:val="00F3102A"/>
    <w:rsid w:val="00F31036"/>
    <w:rsid w:val="00F31182"/>
    <w:rsid w:val="00F312F5"/>
    <w:rsid w:val="00F313AB"/>
    <w:rsid w:val="00F3144D"/>
    <w:rsid w:val="00F31452"/>
    <w:rsid w:val="00F314B2"/>
    <w:rsid w:val="00F314D0"/>
    <w:rsid w:val="00F31719"/>
    <w:rsid w:val="00F3176A"/>
    <w:rsid w:val="00F31772"/>
    <w:rsid w:val="00F31787"/>
    <w:rsid w:val="00F31827"/>
    <w:rsid w:val="00F31828"/>
    <w:rsid w:val="00F3183F"/>
    <w:rsid w:val="00F318F0"/>
    <w:rsid w:val="00F31A09"/>
    <w:rsid w:val="00F31A17"/>
    <w:rsid w:val="00F31A53"/>
    <w:rsid w:val="00F31B05"/>
    <w:rsid w:val="00F31B25"/>
    <w:rsid w:val="00F31C02"/>
    <w:rsid w:val="00F31C34"/>
    <w:rsid w:val="00F31D15"/>
    <w:rsid w:val="00F31D59"/>
    <w:rsid w:val="00F31D64"/>
    <w:rsid w:val="00F31D89"/>
    <w:rsid w:val="00F31DFE"/>
    <w:rsid w:val="00F31F5E"/>
    <w:rsid w:val="00F32059"/>
    <w:rsid w:val="00F320E0"/>
    <w:rsid w:val="00F32102"/>
    <w:rsid w:val="00F322FC"/>
    <w:rsid w:val="00F32339"/>
    <w:rsid w:val="00F323C4"/>
    <w:rsid w:val="00F323F2"/>
    <w:rsid w:val="00F3243D"/>
    <w:rsid w:val="00F32460"/>
    <w:rsid w:val="00F324D6"/>
    <w:rsid w:val="00F32559"/>
    <w:rsid w:val="00F325C2"/>
    <w:rsid w:val="00F32691"/>
    <w:rsid w:val="00F326BA"/>
    <w:rsid w:val="00F3278D"/>
    <w:rsid w:val="00F327CF"/>
    <w:rsid w:val="00F328DD"/>
    <w:rsid w:val="00F32917"/>
    <w:rsid w:val="00F3296C"/>
    <w:rsid w:val="00F32A92"/>
    <w:rsid w:val="00F32B6A"/>
    <w:rsid w:val="00F32C57"/>
    <w:rsid w:val="00F32CE4"/>
    <w:rsid w:val="00F32CEE"/>
    <w:rsid w:val="00F32D1F"/>
    <w:rsid w:val="00F32D64"/>
    <w:rsid w:val="00F32DCE"/>
    <w:rsid w:val="00F32DEE"/>
    <w:rsid w:val="00F32E00"/>
    <w:rsid w:val="00F32E1C"/>
    <w:rsid w:val="00F32EE3"/>
    <w:rsid w:val="00F32FDD"/>
    <w:rsid w:val="00F33023"/>
    <w:rsid w:val="00F3302A"/>
    <w:rsid w:val="00F3309F"/>
    <w:rsid w:val="00F33250"/>
    <w:rsid w:val="00F332A7"/>
    <w:rsid w:val="00F33326"/>
    <w:rsid w:val="00F33341"/>
    <w:rsid w:val="00F33359"/>
    <w:rsid w:val="00F333C7"/>
    <w:rsid w:val="00F334C2"/>
    <w:rsid w:val="00F3353F"/>
    <w:rsid w:val="00F33769"/>
    <w:rsid w:val="00F3384B"/>
    <w:rsid w:val="00F33868"/>
    <w:rsid w:val="00F33883"/>
    <w:rsid w:val="00F33933"/>
    <w:rsid w:val="00F339C0"/>
    <w:rsid w:val="00F33A93"/>
    <w:rsid w:val="00F33AA1"/>
    <w:rsid w:val="00F33AB1"/>
    <w:rsid w:val="00F33ACD"/>
    <w:rsid w:val="00F33B47"/>
    <w:rsid w:val="00F33B6C"/>
    <w:rsid w:val="00F33BD5"/>
    <w:rsid w:val="00F33BD6"/>
    <w:rsid w:val="00F33C1F"/>
    <w:rsid w:val="00F33C27"/>
    <w:rsid w:val="00F33CD9"/>
    <w:rsid w:val="00F33D31"/>
    <w:rsid w:val="00F33D5A"/>
    <w:rsid w:val="00F33E14"/>
    <w:rsid w:val="00F33E33"/>
    <w:rsid w:val="00F33EA4"/>
    <w:rsid w:val="00F33ECE"/>
    <w:rsid w:val="00F33F43"/>
    <w:rsid w:val="00F33F9A"/>
    <w:rsid w:val="00F3406F"/>
    <w:rsid w:val="00F34190"/>
    <w:rsid w:val="00F34210"/>
    <w:rsid w:val="00F3434B"/>
    <w:rsid w:val="00F34354"/>
    <w:rsid w:val="00F3435C"/>
    <w:rsid w:val="00F34387"/>
    <w:rsid w:val="00F3452E"/>
    <w:rsid w:val="00F345A8"/>
    <w:rsid w:val="00F3471E"/>
    <w:rsid w:val="00F3487B"/>
    <w:rsid w:val="00F34881"/>
    <w:rsid w:val="00F348A5"/>
    <w:rsid w:val="00F34935"/>
    <w:rsid w:val="00F3496D"/>
    <w:rsid w:val="00F349C7"/>
    <w:rsid w:val="00F34A61"/>
    <w:rsid w:val="00F34A88"/>
    <w:rsid w:val="00F34B94"/>
    <w:rsid w:val="00F34BD4"/>
    <w:rsid w:val="00F34C69"/>
    <w:rsid w:val="00F34DD1"/>
    <w:rsid w:val="00F34E27"/>
    <w:rsid w:val="00F34E59"/>
    <w:rsid w:val="00F34EC0"/>
    <w:rsid w:val="00F34EDF"/>
    <w:rsid w:val="00F34F78"/>
    <w:rsid w:val="00F3505E"/>
    <w:rsid w:val="00F35106"/>
    <w:rsid w:val="00F3517A"/>
    <w:rsid w:val="00F351FD"/>
    <w:rsid w:val="00F352B2"/>
    <w:rsid w:val="00F353F0"/>
    <w:rsid w:val="00F3542C"/>
    <w:rsid w:val="00F354C7"/>
    <w:rsid w:val="00F35563"/>
    <w:rsid w:val="00F3558B"/>
    <w:rsid w:val="00F355C8"/>
    <w:rsid w:val="00F355DF"/>
    <w:rsid w:val="00F3563B"/>
    <w:rsid w:val="00F356CF"/>
    <w:rsid w:val="00F35790"/>
    <w:rsid w:val="00F357CD"/>
    <w:rsid w:val="00F3580F"/>
    <w:rsid w:val="00F35954"/>
    <w:rsid w:val="00F359BA"/>
    <w:rsid w:val="00F359C7"/>
    <w:rsid w:val="00F35A1E"/>
    <w:rsid w:val="00F35ABB"/>
    <w:rsid w:val="00F35BA8"/>
    <w:rsid w:val="00F35BEE"/>
    <w:rsid w:val="00F35D6A"/>
    <w:rsid w:val="00F35D75"/>
    <w:rsid w:val="00F35D7E"/>
    <w:rsid w:val="00F35DF8"/>
    <w:rsid w:val="00F35E42"/>
    <w:rsid w:val="00F35E50"/>
    <w:rsid w:val="00F35EEF"/>
    <w:rsid w:val="00F35EFA"/>
    <w:rsid w:val="00F36073"/>
    <w:rsid w:val="00F3610C"/>
    <w:rsid w:val="00F3611D"/>
    <w:rsid w:val="00F36151"/>
    <w:rsid w:val="00F361AA"/>
    <w:rsid w:val="00F361FD"/>
    <w:rsid w:val="00F36233"/>
    <w:rsid w:val="00F363D0"/>
    <w:rsid w:val="00F363E9"/>
    <w:rsid w:val="00F36414"/>
    <w:rsid w:val="00F36427"/>
    <w:rsid w:val="00F3653E"/>
    <w:rsid w:val="00F3654F"/>
    <w:rsid w:val="00F3658D"/>
    <w:rsid w:val="00F366E5"/>
    <w:rsid w:val="00F3673A"/>
    <w:rsid w:val="00F367A1"/>
    <w:rsid w:val="00F367C5"/>
    <w:rsid w:val="00F367CA"/>
    <w:rsid w:val="00F36833"/>
    <w:rsid w:val="00F36846"/>
    <w:rsid w:val="00F3687A"/>
    <w:rsid w:val="00F368CA"/>
    <w:rsid w:val="00F369D3"/>
    <w:rsid w:val="00F36A13"/>
    <w:rsid w:val="00F36A80"/>
    <w:rsid w:val="00F36A9D"/>
    <w:rsid w:val="00F36B38"/>
    <w:rsid w:val="00F36BA5"/>
    <w:rsid w:val="00F36CBE"/>
    <w:rsid w:val="00F36CC0"/>
    <w:rsid w:val="00F36D67"/>
    <w:rsid w:val="00F36D70"/>
    <w:rsid w:val="00F36D87"/>
    <w:rsid w:val="00F36E6A"/>
    <w:rsid w:val="00F36EEE"/>
    <w:rsid w:val="00F36FB2"/>
    <w:rsid w:val="00F37109"/>
    <w:rsid w:val="00F37117"/>
    <w:rsid w:val="00F371E2"/>
    <w:rsid w:val="00F3721A"/>
    <w:rsid w:val="00F372A4"/>
    <w:rsid w:val="00F37495"/>
    <w:rsid w:val="00F374BE"/>
    <w:rsid w:val="00F37500"/>
    <w:rsid w:val="00F37521"/>
    <w:rsid w:val="00F37522"/>
    <w:rsid w:val="00F37545"/>
    <w:rsid w:val="00F3755B"/>
    <w:rsid w:val="00F375E5"/>
    <w:rsid w:val="00F376E0"/>
    <w:rsid w:val="00F37766"/>
    <w:rsid w:val="00F3776B"/>
    <w:rsid w:val="00F377B5"/>
    <w:rsid w:val="00F37850"/>
    <w:rsid w:val="00F378C1"/>
    <w:rsid w:val="00F37AB8"/>
    <w:rsid w:val="00F37AD5"/>
    <w:rsid w:val="00F37B37"/>
    <w:rsid w:val="00F37C6E"/>
    <w:rsid w:val="00F37DC1"/>
    <w:rsid w:val="00F37DD8"/>
    <w:rsid w:val="00F37DF4"/>
    <w:rsid w:val="00F37E08"/>
    <w:rsid w:val="00F37E37"/>
    <w:rsid w:val="00F37F90"/>
    <w:rsid w:val="00F37FE3"/>
    <w:rsid w:val="00F40128"/>
    <w:rsid w:val="00F40220"/>
    <w:rsid w:val="00F40227"/>
    <w:rsid w:val="00F40230"/>
    <w:rsid w:val="00F4027C"/>
    <w:rsid w:val="00F402C5"/>
    <w:rsid w:val="00F404AA"/>
    <w:rsid w:val="00F4067D"/>
    <w:rsid w:val="00F40831"/>
    <w:rsid w:val="00F408E2"/>
    <w:rsid w:val="00F4091A"/>
    <w:rsid w:val="00F409AC"/>
    <w:rsid w:val="00F40A5A"/>
    <w:rsid w:val="00F40A68"/>
    <w:rsid w:val="00F40B97"/>
    <w:rsid w:val="00F40C2F"/>
    <w:rsid w:val="00F40C4A"/>
    <w:rsid w:val="00F40D74"/>
    <w:rsid w:val="00F40EDB"/>
    <w:rsid w:val="00F40F41"/>
    <w:rsid w:val="00F40F4C"/>
    <w:rsid w:val="00F4102C"/>
    <w:rsid w:val="00F41045"/>
    <w:rsid w:val="00F410DB"/>
    <w:rsid w:val="00F41274"/>
    <w:rsid w:val="00F4128B"/>
    <w:rsid w:val="00F41489"/>
    <w:rsid w:val="00F41504"/>
    <w:rsid w:val="00F4151F"/>
    <w:rsid w:val="00F415CB"/>
    <w:rsid w:val="00F4175C"/>
    <w:rsid w:val="00F4176E"/>
    <w:rsid w:val="00F4179B"/>
    <w:rsid w:val="00F417F2"/>
    <w:rsid w:val="00F41916"/>
    <w:rsid w:val="00F41992"/>
    <w:rsid w:val="00F419EE"/>
    <w:rsid w:val="00F41B1D"/>
    <w:rsid w:val="00F41B5B"/>
    <w:rsid w:val="00F41B7C"/>
    <w:rsid w:val="00F41B9E"/>
    <w:rsid w:val="00F41BB2"/>
    <w:rsid w:val="00F41C42"/>
    <w:rsid w:val="00F41C89"/>
    <w:rsid w:val="00F41D13"/>
    <w:rsid w:val="00F41DCA"/>
    <w:rsid w:val="00F41E1E"/>
    <w:rsid w:val="00F41EDE"/>
    <w:rsid w:val="00F41F06"/>
    <w:rsid w:val="00F41F82"/>
    <w:rsid w:val="00F42008"/>
    <w:rsid w:val="00F42131"/>
    <w:rsid w:val="00F42145"/>
    <w:rsid w:val="00F42222"/>
    <w:rsid w:val="00F42313"/>
    <w:rsid w:val="00F42336"/>
    <w:rsid w:val="00F42470"/>
    <w:rsid w:val="00F42484"/>
    <w:rsid w:val="00F425AB"/>
    <w:rsid w:val="00F426A9"/>
    <w:rsid w:val="00F426CF"/>
    <w:rsid w:val="00F42757"/>
    <w:rsid w:val="00F42784"/>
    <w:rsid w:val="00F42821"/>
    <w:rsid w:val="00F42869"/>
    <w:rsid w:val="00F42994"/>
    <w:rsid w:val="00F429C0"/>
    <w:rsid w:val="00F42B09"/>
    <w:rsid w:val="00F42B8F"/>
    <w:rsid w:val="00F42C3B"/>
    <w:rsid w:val="00F42C5D"/>
    <w:rsid w:val="00F42E35"/>
    <w:rsid w:val="00F42ED0"/>
    <w:rsid w:val="00F42F5C"/>
    <w:rsid w:val="00F42F75"/>
    <w:rsid w:val="00F42F97"/>
    <w:rsid w:val="00F430AA"/>
    <w:rsid w:val="00F430B0"/>
    <w:rsid w:val="00F431FD"/>
    <w:rsid w:val="00F4322F"/>
    <w:rsid w:val="00F432A8"/>
    <w:rsid w:val="00F433B3"/>
    <w:rsid w:val="00F433CC"/>
    <w:rsid w:val="00F433EB"/>
    <w:rsid w:val="00F433ED"/>
    <w:rsid w:val="00F434C1"/>
    <w:rsid w:val="00F43545"/>
    <w:rsid w:val="00F43585"/>
    <w:rsid w:val="00F435FE"/>
    <w:rsid w:val="00F43602"/>
    <w:rsid w:val="00F4360C"/>
    <w:rsid w:val="00F43612"/>
    <w:rsid w:val="00F4376F"/>
    <w:rsid w:val="00F437FA"/>
    <w:rsid w:val="00F43A5D"/>
    <w:rsid w:val="00F43B61"/>
    <w:rsid w:val="00F43C0F"/>
    <w:rsid w:val="00F43E3A"/>
    <w:rsid w:val="00F43EDD"/>
    <w:rsid w:val="00F43EF0"/>
    <w:rsid w:val="00F43FD1"/>
    <w:rsid w:val="00F440EB"/>
    <w:rsid w:val="00F440FF"/>
    <w:rsid w:val="00F4411E"/>
    <w:rsid w:val="00F44127"/>
    <w:rsid w:val="00F4412F"/>
    <w:rsid w:val="00F441A5"/>
    <w:rsid w:val="00F4422B"/>
    <w:rsid w:val="00F44234"/>
    <w:rsid w:val="00F442EA"/>
    <w:rsid w:val="00F44362"/>
    <w:rsid w:val="00F443A7"/>
    <w:rsid w:val="00F4441E"/>
    <w:rsid w:val="00F44454"/>
    <w:rsid w:val="00F444BE"/>
    <w:rsid w:val="00F446BF"/>
    <w:rsid w:val="00F446D5"/>
    <w:rsid w:val="00F44807"/>
    <w:rsid w:val="00F448CA"/>
    <w:rsid w:val="00F44931"/>
    <w:rsid w:val="00F449C4"/>
    <w:rsid w:val="00F44A0A"/>
    <w:rsid w:val="00F44A0C"/>
    <w:rsid w:val="00F44AAF"/>
    <w:rsid w:val="00F44B0B"/>
    <w:rsid w:val="00F44C40"/>
    <w:rsid w:val="00F44E02"/>
    <w:rsid w:val="00F44E63"/>
    <w:rsid w:val="00F44EEB"/>
    <w:rsid w:val="00F45014"/>
    <w:rsid w:val="00F4507D"/>
    <w:rsid w:val="00F45182"/>
    <w:rsid w:val="00F451DA"/>
    <w:rsid w:val="00F452AD"/>
    <w:rsid w:val="00F452D5"/>
    <w:rsid w:val="00F452E4"/>
    <w:rsid w:val="00F453F2"/>
    <w:rsid w:val="00F45421"/>
    <w:rsid w:val="00F45454"/>
    <w:rsid w:val="00F45471"/>
    <w:rsid w:val="00F45627"/>
    <w:rsid w:val="00F45671"/>
    <w:rsid w:val="00F45787"/>
    <w:rsid w:val="00F4583D"/>
    <w:rsid w:val="00F459AC"/>
    <w:rsid w:val="00F459DE"/>
    <w:rsid w:val="00F45A6C"/>
    <w:rsid w:val="00F45ABC"/>
    <w:rsid w:val="00F45C16"/>
    <w:rsid w:val="00F45C4F"/>
    <w:rsid w:val="00F45CDB"/>
    <w:rsid w:val="00F45DFB"/>
    <w:rsid w:val="00F45F30"/>
    <w:rsid w:val="00F45F6E"/>
    <w:rsid w:val="00F45FF1"/>
    <w:rsid w:val="00F46038"/>
    <w:rsid w:val="00F46107"/>
    <w:rsid w:val="00F461CE"/>
    <w:rsid w:val="00F461F3"/>
    <w:rsid w:val="00F4630B"/>
    <w:rsid w:val="00F46564"/>
    <w:rsid w:val="00F46572"/>
    <w:rsid w:val="00F4659C"/>
    <w:rsid w:val="00F465CB"/>
    <w:rsid w:val="00F466F2"/>
    <w:rsid w:val="00F466F5"/>
    <w:rsid w:val="00F466FE"/>
    <w:rsid w:val="00F46730"/>
    <w:rsid w:val="00F46899"/>
    <w:rsid w:val="00F468CE"/>
    <w:rsid w:val="00F46983"/>
    <w:rsid w:val="00F469DA"/>
    <w:rsid w:val="00F46B41"/>
    <w:rsid w:val="00F46BDA"/>
    <w:rsid w:val="00F46BE6"/>
    <w:rsid w:val="00F46C73"/>
    <w:rsid w:val="00F46E1D"/>
    <w:rsid w:val="00F46F58"/>
    <w:rsid w:val="00F46FB8"/>
    <w:rsid w:val="00F4704E"/>
    <w:rsid w:val="00F47080"/>
    <w:rsid w:val="00F470C2"/>
    <w:rsid w:val="00F470FA"/>
    <w:rsid w:val="00F47137"/>
    <w:rsid w:val="00F47259"/>
    <w:rsid w:val="00F47397"/>
    <w:rsid w:val="00F4740A"/>
    <w:rsid w:val="00F474AE"/>
    <w:rsid w:val="00F474CC"/>
    <w:rsid w:val="00F475E1"/>
    <w:rsid w:val="00F47643"/>
    <w:rsid w:val="00F47723"/>
    <w:rsid w:val="00F47742"/>
    <w:rsid w:val="00F477B9"/>
    <w:rsid w:val="00F4785A"/>
    <w:rsid w:val="00F478C7"/>
    <w:rsid w:val="00F479E8"/>
    <w:rsid w:val="00F47A4C"/>
    <w:rsid w:val="00F47A78"/>
    <w:rsid w:val="00F47B79"/>
    <w:rsid w:val="00F47BFA"/>
    <w:rsid w:val="00F47C42"/>
    <w:rsid w:val="00F47C90"/>
    <w:rsid w:val="00F47CC8"/>
    <w:rsid w:val="00F47D91"/>
    <w:rsid w:val="00F47DF5"/>
    <w:rsid w:val="00F501B7"/>
    <w:rsid w:val="00F5020D"/>
    <w:rsid w:val="00F502C7"/>
    <w:rsid w:val="00F502DB"/>
    <w:rsid w:val="00F503C2"/>
    <w:rsid w:val="00F5040A"/>
    <w:rsid w:val="00F5056B"/>
    <w:rsid w:val="00F505CD"/>
    <w:rsid w:val="00F50661"/>
    <w:rsid w:val="00F50728"/>
    <w:rsid w:val="00F507D3"/>
    <w:rsid w:val="00F507D5"/>
    <w:rsid w:val="00F508BD"/>
    <w:rsid w:val="00F509AB"/>
    <w:rsid w:val="00F509B9"/>
    <w:rsid w:val="00F509FA"/>
    <w:rsid w:val="00F50A58"/>
    <w:rsid w:val="00F50A77"/>
    <w:rsid w:val="00F50C62"/>
    <w:rsid w:val="00F50CC7"/>
    <w:rsid w:val="00F50D0B"/>
    <w:rsid w:val="00F50DD8"/>
    <w:rsid w:val="00F50DF7"/>
    <w:rsid w:val="00F50EAB"/>
    <w:rsid w:val="00F50EAD"/>
    <w:rsid w:val="00F5108A"/>
    <w:rsid w:val="00F51194"/>
    <w:rsid w:val="00F511D6"/>
    <w:rsid w:val="00F511F3"/>
    <w:rsid w:val="00F512C9"/>
    <w:rsid w:val="00F5142F"/>
    <w:rsid w:val="00F51449"/>
    <w:rsid w:val="00F51524"/>
    <w:rsid w:val="00F51620"/>
    <w:rsid w:val="00F516B8"/>
    <w:rsid w:val="00F516F1"/>
    <w:rsid w:val="00F5171C"/>
    <w:rsid w:val="00F5174B"/>
    <w:rsid w:val="00F517A1"/>
    <w:rsid w:val="00F517B6"/>
    <w:rsid w:val="00F51800"/>
    <w:rsid w:val="00F5182C"/>
    <w:rsid w:val="00F51857"/>
    <w:rsid w:val="00F51894"/>
    <w:rsid w:val="00F5191A"/>
    <w:rsid w:val="00F519A5"/>
    <w:rsid w:val="00F51BC0"/>
    <w:rsid w:val="00F51C0D"/>
    <w:rsid w:val="00F51CCB"/>
    <w:rsid w:val="00F51D73"/>
    <w:rsid w:val="00F51DAB"/>
    <w:rsid w:val="00F51DF5"/>
    <w:rsid w:val="00F51E0E"/>
    <w:rsid w:val="00F51EB9"/>
    <w:rsid w:val="00F51F72"/>
    <w:rsid w:val="00F51F82"/>
    <w:rsid w:val="00F52094"/>
    <w:rsid w:val="00F520E7"/>
    <w:rsid w:val="00F52201"/>
    <w:rsid w:val="00F5222E"/>
    <w:rsid w:val="00F52331"/>
    <w:rsid w:val="00F5233C"/>
    <w:rsid w:val="00F5235C"/>
    <w:rsid w:val="00F52373"/>
    <w:rsid w:val="00F52378"/>
    <w:rsid w:val="00F52431"/>
    <w:rsid w:val="00F5254E"/>
    <w:rsid w:val="00F525FD"/>
    <w:rsid w:val="00F52733"/>
    <w:rsid w:val="00F5280B"/>
    <w:rsid w:val="00F52943"/>
    <w:rsid w:val="00F5295E"/>
    <w:rsid w:val="00F529D2"/>
    <w:rsid w:val="00F52A3F"/>
    <w:rsid w:val="00F52AF1"/>
    <w:rsid w:val="00F52B63"/>
    <w:rsid w:val="00F52B97"/>
    <w:rsid w:val="00F52BAB"/>
    <w:rsid w:val="00F52C1B"/>
    <w:rsid w:val="00F52C68"/>
    <w:rsid w:val="00F52D6B"/>
    <w:rsid w:val="00F52D92"/>
    <w:rsid w:val="00F52E41"/>
    <w:rsid w:val="00F52F48"/>
    <w:rsid w:val="00F52F55"/>
    <w:rsid w:val="00F52F6E"/>
    <w:rsid w:val="00F52F7B"/>
    <w:rsid w:val="00F53007"/>
    <w:rsid w:val="00F53025"/>
    <w:rsid w:val="00F5302C"/>
    <w:rsid w:val="00F5303D"/>
    <w:rsid w:val="00F531CB"/>
    <w:rsid w:val="00F5323D"/>
    <w:rsid w:val="00F532CA"/>
    <w:rsid w:val="00F532E9"/>
    <w:rsid w:val="00F533C1"/>
    <w:rsid w:val="00F5340F"/>
    <w:rsid w:val="00F5344E"/>
    <w:rsid w:val="00F53579"/>
    <w:rsid w:val="00F535CA"/>
    <w:rsid w:val="00F536AB"/>
    <w:rsid w:val="00F5379E"/>
    <w:rsid w:val="00F537A3"/>
    <w:rsid w:val="00F53849"/>
    <w:rsid w:val="00F5396E"/>
    <w:rsid w:val="00F539CE"/>
    <w:rsid w:val="00F539D9"/>
    <w:rsid w:val="00F53B47"/>
    <w:rsid w:val="00F53BAB"/>
    <w:rsid w:val="00F53BB3"/>
    <w:rsid w:val="00F53BE1"/>
    <w:rsid w:val="00F53CC2"/>
    <w:rsid w:val="00F53CC6"/>
    <w:rsid w:val="00F53D75"/>
    <w:rsid w:val="00F53D8E"/>
    <w:rsid w:val="00F53E32"/>
    <w:rsid w:val="00F53E43"/>
    <w:rsid w:val="00F53EF8"/>
    <w:rsid w:val="00F53F56"/>
    <w:rsid w:val="00F540B8"/>
    <w:rsid w:val="00F542BE"/>
    <w:rsid w:val="00F543B0"/>
    <w:rsid w:val="00F544A5"/>
    <w:rsid w:val="00F544D2"/>
    <w:rsid w:val="00F54560"/>
    <w:rsid w:val="00F546A7"/>
    <w:rsid w:val="00F546EB"/>
    <w:rsid w:val="00F547F0"/>
    <w:rsid w:val="00F549A9"/>
    <w:rsid w:val="00F54A08"/>
    <w:rsid w:val="00F54A1B"/>
    <w:rsid w:val="00F54AAE"/>
    <w:rsid w:val="00F54AD7"/>
    <w:rsid w:val="00F54B66"/>
    <w:rsid w:val="00F54BB1"/>
    <w:rsid w:val="00F54BDE"/>
    <w:rsid w:val="00F54BF9"/>
    <w:rsid w:val="00F54C3F"/>
    <w:rsid w:val="00F54D10"/>
    <w:rsid w:val="00F54D72"/>
    <w:rsid w:val="00F54EC9"/>
    <w:rsid w:val="00F54F0F"/>
    <w:rsid w:val="00F54F38"/>
    <w:rsid w:val="00F54F3B"/>
    <w:rsid w:val="00F54F4B"/>
    <w:rsid w:val="00F5506D"/>
    <w:rsid w:val="00F550AD"/>
    <w:rsid w:val="00F55104"/>
    <w:rsid w:val="00F551E5"/>
    <w:rsid w:val="00F553EB"/>
    <w:rsid w:val="00F55408"/>
    <w:rsid w:val="00F554BF"/>
    <w:rsid w:val="00F554DA"/>
    <w:rsid w:val="00F55552"/>
    <w:rsid w:val="00F555F6"/>
    <w:rsid w:val="00F5569C"/>
    <w:rsid w:val="00F556AD"/>
    <w:rsid w:val="00F5589F"/>
    <w:rsid w:val="00F558DD"/>
    <w:rsid w:val="00F559DB"/>
    <w:rsid w:val="00F559EB"/>
    <w:rsid w:val="00F55A0E"/>
    <w:rsid w:val="00F55AFE"/>
    <w:rsid w:val="00F55CAC"/>
    <w:rsid w:val="00F55CBC"/>
    <w:rsid w:val="00F55D20"/>
    <w:rsid w:val="00F55D22"/>
    <w:rsid w:val="00F55DD6"/>
    <w:rsid w:val="00F55DF2"/>
    <w:rsid w:val="00F55EB7"/>
    <w:rsid w:val="00F55F33"/>
    <w:rsid w:val="00F55FEA"/>
    <w:rsid w:val="00F5603F"/>
    <w:rsid w:val="00F561EA"/>
    <w:rsid w:val="00F562A9"/>
    <w:rsid w:val="00F562D3"/>
    <w:rsid w:val="00F56358"/>
    <w:rsid w:val="00F563EE"/>
    <w:rsid w:val="00F56461"/>
    <w:rsid w:val="00F564E2"/>
    <w:rsid w:val="00F5660D"/>
    <w:rsid w:val="00F56625"/>
    <w:rsid w:val="00F566BC"/>
    <w:rsid w:val="00F56770"/>
    <w:rsid w:val="00F56812"/>
    <w:rsid w:val="00F569F2"/>
    <w:rsid w:val="00F569F8"/>
    <w:rsid w:val="00F56A0A"/>
    <w:rsid w:val="00F56A0D"/>
    <w:rsid w:val="00F56A47"/>
    <w:rsid w:val="00F56A56"/>
    <w:rsid w:val="00F56AA7"/>
    <w:rsid w:val="00F56B0A"/>
    <w:rsid w:val="00F56B82"/>
    <w:rsid w:val="00F56C92"/>
    <w:rsid w:val="00F56CB4"/>
    <w:rsid w:val="00F56CD3"/>
    <w:rsid w:val="00F56E39"/>
    <w:rsid w:val="00F56E46"/>
    <w:rsid w:val="00F56E4E"/>
    <w:rsid w:val="00F57048"/>
    <w:rsid w:val="00F570BB"/>
    <w:rsid w:val="00F570BE"/>
    <w:rsid w:val="00F57123"/>
    <w:rsid w:val="00F57172"/>
    <w:rsid w:val="00F571FF"/>
    <w:rsid w:val="00F57242"/>
    <w:rsid w:val="00F572A7"/>
    <w:rsid w:val="00F572AD"/>
    <w:rsid w:val="00F57303"/>
    <w:rsid w:val="00F573AF"/>
    <w:rsid w:val="00F57406"/>
    <w:rsid w:val="00F57436"/>
    <w:rsid w:val="00F57518"/>
    <w:rsid w:val="00F57523"/>
    <w:rsid w:val="00F575DE"/>
    <w:rsid w:val="00F57605"/>
    <w:rsid w:val="00F57614"/>
    <w:rsid w:val="00F5767B"/>
    <w:rsid w:val="00F576AC"/>
    <w:rsid w:val="00F57739"/>
    <w:rsid w:val="00F5773F"/>
    <w:rsid w:val="00F578CD"/>
    <w:rsid w:val="00F57B14"/>
    <w:rsid w:val="00F57BB5"/>
    <w:rsid w:val="00F57BD1"/>
    <w:rsid w:val="00F57C25"/>
    <w:rsid w:val="00F57DDD"/>
    <w:rsid w:val="00F57DEC"/>
    <w:rsid w:val="00F57E40"/>
    <w:rsid w:val="00F57E57"/>
    <w:rsid w:val="00F57E59"/>
    <w:rsid w:val="00F57FE3"/>
    <w:rsid w:val="00F60066"/>
    <w:rsid w:val="00F60087"/>
    <w:rsid w:val="00F60193"/>
    <w:rsid w:val="00F601D0"/>
    <w:rsid w:val="00F60239"/>
    <w:rsid w:val="00F6031F"/>
    <w:rsid w:val="00F603D5"/>
    <w:rsid w:val="00F60461"/>
    <w:rsid w:val="00F604A3"/>
    <w:rsid w:val="00F60597"/>
    <w:rsid w:val="00F60718"/>
    <w:rsid w:val="00F6083E"/>
    <w:rsid w:val="00F60892"/>
    <w:rsid w:val="00F60943"/>
    <w:rsid w:val="00F609F7"/>
    <w:rsid w:val="00F60A9E"/>
    <w:rsid w:val="00F60AE5"/>
    <w:rsid w:val="00F60AEC"/>
    <w:rsid w:val="00F60B28"/>
    <w:rsid w:val="00F60B33"/>
    <w:rsid w:val="00F60BBD"/>
    <w:rsid w:val="00F60C1E"/>
    <w:rsid w:val="00F60C2A"/>
    <w:rsid w:val="00F60DF5"/>
    <w:rsid w:val="00F60E40"/>
    <w:rsid w:val="00F60E42"/>
    <w:rsid w:val="00F6100B"/>
    <w:rsid w:val="00F6103D"/>
    <w:rsid w:val="00F61071"/>
    <w:rsid w:val="00F610B8"/>
    <w:rsid w:val="00F610E3"/>
    <w:rsid w:val="00F611B9"/>
    <w:rsid w:val="00F61208"/>
    <w:rsid w:val="00F6126F"/>
    <w:rsid w:val="00F6145C"/>
    <w:rsid w:val="00F61482"/>
    <w:rsid w:val="00F61492"/>
    <w:rsid w:val="00F6149A"/>
    <w:rsid w:val="00F6155F"/>
    <w:rsid w:val="00F615FC"/>
    <w:rsid w:val="00F6164D"/>
    <w:rsid w:val="00F616A4"/>
    <w:rsid w:val="00F616E3"/>
    <w:rsid w:val="00F616E6"/>
    <w:rsid w:val="00F616F7"/>
    <w:rsid w:val="00F61726"/>
    <w:rsid w:val="00F618EC"/>
    <w:rsid w:val="00F6193D"/>
    <w:rsid w:val="00F619AA"/>
    <w:rsid w:val="00F61A6C"/>
    <w:rsid w:val="00F61A7F"/>
    <w:rsid w:val="00F61B11"/>
    <w:rsid w:val="00F61B46"/>
    <w:rsid w:val="00F61E9B"/>
    <w:rsid w:val="00F61F37"/>
    <w:rsid w:val="00F61F81"/>
    <w:rsid w:val="00F62078"/>
    <w:rsid w:val="00F620BF"/>
    <w:rsid w:val="00F621D6"/>
    <w:rsid w:val="00F62223"/>
    <w:rsid w:val="00F62273"/>
    <w:rsid w:val="00F62274"/>
    <w:rsid w:val="00F6229A"/>
    <w:rsid w:val="00F623CA"/>
    <w:rsid w:val="00F62419"/>
    <w:rsid w:val="00F62743"/>
    <w:rsid w:val="00F62775"/>
    <w:rsid w:val="00F627C2"/>
    <w:rsid w:val="00F627E1"/>
    <w:rsid w:val="00F62811"/>
    <w:rsid w:val="00F6286D"/>
    <w:rsid w:val="00F629CA"/>
    <w:rsid w:val="00F62A07"/>
    <w:rsid w:val="00F62A56"/>
    <w:rsid w:val="00F62A7E"/>
    <w:rsid w:val="00F62B87"/>
    <w:rsid w:val="00F62B99"/>
    <w:rsid w:val="00F62C3F"/>
    <w:rsid w:val="00F62C78"/>
    <w:rsid w:val="00F62CE3"/>
    <w:rsid w:val="00F62DE7"/>
    <w:rsid w:val="00F62EA9"/>
    <w:rsid w:val="00F63045"/>
    <w:rsid w:val="00F6311E"/>
    <w:rsid w:val="00F6355A"/>
    <w:rsid w:val="00F6363F"/>
    <w:rsid w:val="00F63667"/>
    <w:rsid w:val="00F63754"/>
    <w:rsid w:val="00F63793"/>
    <w:rsid w:val="00F637C8"/>
    <w:rsid w:val="00F637CC"/>
    <w:rsid w:val="00F638DD"/>
    <w:rsid w:val="00F63956"/>
    <w:rsid w:val="00F6396A"/>
    <w:rsid w:val="00F63990"/>
    <w:rsid w:val="00F63A35"/>
    <w:rsid w:val="00F63AB8"/>
    <w:rsid w:val="00F63AE4"/>
    <w:rsid w:val="00F63AF6"/>
    <w:rsid w:val="00F63B53"/>
    <w:rsid w:val="00F63B6E"/>
    <w:rsid w:val="00F63C72"/>
    <w:rsid w:val="00F63C95"/>
    <w:rsid w:val="00F63C96"/>
    <w:rsid w:val="00F63CA1"/>
    <w:rsid w:val="00F63D7D"/>
    <w:rsid w:val="00F63DE6"/>
    <w:rsid w:val="00F63DFC"/>
    <w:rsid w:val="00F63E19"/>
    <w:rsid w:val="00F63F87"/>
    <w:rsid w:val="00F63FD3"/>
    <w:rsid w:val="00F6405B"/>
    <w:rsid w:val="00F64063"/>
    <w:rsid w:val="00F640C3"/>
    <w:rsid w:val="00F640E2"/>
    <w:rsid w:val="00F6411C"/>
    <w:rsid w:val="00F641BD"/>
    <w:rsid w:val="00F641EC"/>
    <w:rsid w:val="00F64231"/>
    <w:rsid w:val="00F64271"/>
    <w:rsid w:val="00F642B7"/>
    <w:rsid w:val="00F6437E"/>
    <w:rsid w:val="00F64432"/>
    <w:rsid w:val="00F644C3"/>
    <w:rsid w:val="00F64522"/>
    <w:rsid w:val="00F6455F"/>
    <w:rsid w:val="00F645B1"/>
    <w:rsid w:val="00F6462D"/>
    <w:rsid w:val="00F64759"/>
    <w:rsid w:val="00F6483C"/>
    <w:rsid w:val="00F648BC"/>
    <w:rsid w:val="00F64A0B"/>
    <w:rsid w:val="00F64A58"/>
    <w:rsid w:val="00F64B45"/>
    <w:rsid w:val="00F64BAC"/>
    <w:rsid w:val="00F64C41"/>
    <w:rsid w:val="00F64C42"/>
    <w:rsid w:val="00F64E0F"/>
    <w:rsid w:val="00F64E3C"/>
    <w:rsid w:val="00F64E91"/>
    <w:rsid w:val="00F64E97"/>
    <w:rsid w:val="00F64F11"/>
    <w:rsid w:val="00F64F7E"/>
    <w:rsid w:val="00F64FD1"/>
    <w:rsid w:val="00F64FDF"/>
    <w:rsid w:val="00F65030"/>
    <w:rsid w:val="00F65087"/>
    <w:rsid w:val="00F650D3"/>
    <w:rsid w:val="00F65121"/>
    <w:rsid w:val="00F6513C"/>
    <w:rsid w:val="00F65236"/>
    <w:rsid w:val="00F652CB"/>
    <w:rsid w:val="00F652DC"/>
    <w:rsid w:val="00F654FE"/>
    <w:rsid w:val="00F65593"/>
    <w:rsid w:val="00F655B8"/>
    <w:rsid w:val="00F655E4"/>
    <w:rsid w:val="00F65686"/>
    <w:rsid w:val="00F656DB"/>
    <w:rsid w:val="00F6572F"/>
    <w:rsid w:val="00F65783"/>
    <w:rsid w:val="00F65819"/>
    <w:rsid w:val="00F65834"/>
    <w:rsid w:val="00F65978"/>
    <w:rsid w:val="00F659EA"/>
    <w:rsid w:val="00F65DF4"/>
    <w:rsid w:val="00F65DF6"/>
    <w:rsid w:val="00F65E41"/>
    <w:rsid w:val="00F65EC0"/>
    <w:rsid w:val="00F65F62"/>
    <w:rsid w:val="00F66013"/>
    <w:rsid w:val="00F66037"/>
    <w:rsid w:val="00F660DD"/>
    <w:rsid w:val="00F660E5"/>
    <w:rsid w:val="00F66103"/>
    <w:rsid w:val="00F6616A"/>
    <w:rsid w:val="00F661FE"/>
    <w:rsid w:val="00F661FF"/>
    <w:rsid w:val="00F66205"/>
    <w:rsid w:val="00F66207"/>
    <w:rsid w:val="00F66323"/>
    <w:rsid w:val="00F6634A"/>
    <w:rsid w:val="00F6636C"/>
    <w:rsid w:val="00F6653F"/>
    <w:rsid w:val="00F665AA"/>
    <w:rsid w:val="00F66677"/>
    <w:rsid w:val="00F6668E"/>
    <w:rsid w:val="00F66759"/>
    <w:rsid w:val="00F6677A"/>
    <w:rsid w:val="00F667A5"/>
    <w:rsid w:val="00F667B2"/>
    <w:rsid w:val="00F66994"/>
    <w:rsid w:val="00F66A35"/>
    <w:rsid w:val="00F66AAC"/>
    <w:rsid w:val="00F66ABA"/>
    <w:rsid w:val="00F66B01"/>
    <w:rsid w:val="00F66BD6"/>
    <w:rsid w:val="00F66BF1"/>
    <w:rsid w:val="00F66D12"/>
    <w:rsid w:val="00F66D83"/>
    <w:rsid w:val="00F66E05"/>
    <w:rsid w:val="00F66F3A"/>
    <w:rsid w:val="00F66F55"/>
    <w:rsid w:val="00F66FCD"/>
    <w:rsid w:val="00F67071"/>
    <w:rsid w:val="00F6709E"/>
    <w:rsid w:val="00F67229"/>
    <w:rsid w:val="00F67329"/>
    <w:rsid w:val="00F67338"/>
    <w:rsid w:val="00F673C9"/>
    <w:rsid w:val="00F673D0"/>
    <w:rsid w:val="00F67421"/>
    <w:rsid w:val="00F674CA"/>
    <w:rsid w:val="00F677E8"/>
    <w:rsid w:val="00F678AF"/>
    <w:rsid w:val="00F678DE"/>
    <w:rsid w:val="00F67904"/>
    <w:rsid w:val="00F67918"/>
    <w:rsid w:val="00F6796C"/>
    <w:rsid w:val="00F67A5E"/>
    <w:rsid w:val="00F67A89"/>
    <w:rsid w:val="00F67ADA"/>
    <w:rsid w:val="00F67B0C"/>
    <w:rsid w:val="00F67C20"/>
    <w:rsid w:val="00F67D0D"/>
    <w:rsid w:val="00F67DB0"/>
    <w:rsid w:val="00F67EAC"/>
    <w:rsid w:val="00F67ECE"/>
    <w:rsid w:val="00F67F63"/>
    <w:rsid w:val="00F70051"/>
    <w:rsid w:val="00F70065"/>
    <w:rsid w:val="00F70139"/>
    <w:rsid w:val="00F70188"/>
    <w:rsid w:val="00F7020E"/>
    <w:rsid w:val="00F70217"/>
    <w:rsid w:val="00F702C0"/>
    <w:rsid w:val="00F702F3"/>
    <w:rsid w:val="00F70322"/>
    <w:rsid w:val="00F703DD"/>
    <w:rsid w:val="00F703F1"/>
    <w:rsid w:val="00F7046E"/>
    <w:rsid w:val="00F704D9"/>
    <w:rsid w:val="00F704EA"/>
    <w:rsid w:val="00F70509"/>
    <w:rsid w:val="00F7052B"/>
    <w:rsid w:val="00F706C9"/>
    <w:rsid w:val="00F70748"/>
    <w:rsid w:val="00F70759"/>
    <w:rsid w:val="00F7078A"/>
    <w:rsid w:val="00F707AF"/>
    <w:rsid w:val="00F70838"/>
    <w:rsid w:val="00F70884"/>
    <w:rsid w:val="00F70885"/>
    <w:rsid w:val="00F70929"/>
    <w:rsid w:val="00F7094C"/>
    <w:rsid w:val="00F709AF"/>
    <w:rsid w:val="00F709D8"/>
    <w:rsid w:val="00F70A65"/>
    <w:rsid w:val="00F70AE4"/>
    <w:rsid w:val="00F70AED"/>
    <w:rsid w:val="00F70C8D"/>
    <w:rsid w:val="00F70D22"/>
    <w:rsid w:val="00F70D2C"/>
    <w:rsid w:val="00F70ED2"/>
    <w:rsid w:val="00F70F1B"/>
    <w:rsid w:val="00F70F79"/>
    <w:rsid w:val="00F70F92"/>
    <w:rsid w:val="00F70FD1"/>
    <w:rsid w:val="00F70FEA"/>
    <w:rsid w:val="00F70FF7"/>
    <w:rsid w:val="00F71041"/>
    <w:rsid w:val="00F71163"/>
    <w:rsid w:val="00F7122D"/>
    <w:rsid w:val="00F712CE"/>
    <w:rsid w:val="00F71374"/>
    <w:rsid w:val="00F713F9"/>
    <w:rsid w:val="00F7151D"/>
    <w:rsid w:val="00F71549"/>
    <w:rsid w:val="00F716B5"/>
    <w:rsid w:val="00F71736"/>
    <w:rsid w:val="00F7174D"/>
    <w:rsid w:val="00F7176C"/>
    <w:rsid w:val="00F71844"/>
    <w:rsid w:val="00F71885"/>
    <w:rsid w:val="00F7188B"/>
    <w:rsid w:val="00F71933"/>
    <w:rsid w:val="00F71974"/>
    <w:rsid w:val="00F719B8"/>
    <w:rsid w:val="00F71A08"/>
    <w:rsid w:val="00F71B75"/>
    <w:rsid w:val="00F71B92"/>
    <w:rsid w:val="00F71BAF"/>
    <w:rsid w:val="00F71BD2"/>
    <w:rsid w:val="00F71D3F"/>
    <w:rsid w:val="00F71DA9"/>
    <w:rsid w:val="00F71DB6"/>
    <w:rsid w:val="00F71DDE"/>
    <w:rsid w:val="00F71E5C"/>
    <w:rsid w:val="00F71EF7"/>
    <w:rsid w:val="00F71EFD"/>
    <w:rsid w:val="00F71F0C"/>
    <w:rsid w:val="00F71F49"/>
    <w:rsid w:val="00F72212"/>
    <w:rsid w:val="00F7224F"/>
    <w:rsid w:val="00F722E7"/>
    <w:rsid w:val="00F72354"/>
    <w:rsid w:val="00F7238B"/>
    <w:rsid w:val="00F723C0"/>
    <w:rsid w:val="00F723CA"/>
    <w:rsid w:val="00F723D3"/>
    <w:rsid w:val="00F7241B"/>
    <w:rsid w:val="00F72482"/>
    <w:rsid w:val="00F724BB"/>
    <w:rsid w:val="00F72608"/>
    <w:rsid w:val="00F7261A"/>
    <w:rsid w:val="00F726C6"/>
    <w:rsid w:val="00F72755"/>
    <w:rsid w:val="00F7278C"/>
    <w:rsid w:val="00F72880"/>
    <w:rsid w:val="00F728BF"/>
    <w:rsid w:val="00F728DC"/>
    <w:rsid w:val="00F72927"/>
    <w:rsid w:val="00F72981"/>
    <w:rsid w:val="00F729E2"/>
    <w:rsid w:val="00F72B57"/>
    <w:rsid w:val="00F72B69"/>
    <w:rsid w:val="00F72DA8"/>
    <w:rsid w:val="00F72E85"/>
    <w:rsid w:val="00F72F06"/>
    <w:rsid w:val="00F72F9A"/>
    <w:rsid w:val="00F72FD1"/>
    <w:rsid w:val="00F73292"/>
    <w:rsid w:val="00F732D8"/>
    <w:rsid w:val="00F7343F"/>
    <w:rsid w:val="00F734DD"/>
    <w:rsid w:val="00F735E9"/>
    <w:rsid w:val="00F73724"/>
    <w:rsid w:val="00F737A3"/>
    <w:rsid w:val="00F737D7"/>
    <w:rsid w:val="00F73A15"/>
    <w:rsid w:val="00F73A80"/>
    <w:rsid w:val="00F73AE6"/>
    <w:rsid w:val="00F73BAD"/>
    <w:rsid w:val="00F73C14"/>
    <w:rsid w:val="00F73C30"/>
    <w:rsid w:val="00F73CFA"/>
    <w:rsid w:val="00F73D52"/>
    <w:rsid w:val="00F73DF7"/>
    <w:rsid w:val="00F73E06"/>
    <w:rsid w:val="00F73EE9"/>
    <w:rsid w:val="00F73EEE"/>
    <w:rsid w:val="00F73F6D"/>
    <w:rsid w:val="00F73F7C"/>
    <w:rsid w:val="00F73FC0"/>
    <w:rsid w:val="00F74086"/>
    <w:rsid w:val="00F740D1"/>
    <w:rsid w:val="00F74352"/>
    <w:rsid w:val="00F7439D"/>
    <w:rsid w:val="00F743E6"/>
    <w:rsid w:val="00F74440"/>
    <w:rsid w:val="00F7446E"/>
    <w:rsid w:val="00F74516"/>
    <w:rsid w:val="00F746D6"/>
    <w:rsid w:val="00F7473E"/>
    <w:rsid w:val="00F7475B"/>
    <w:rsid w:val="00F74769"/>
    <w:rsid w:val="00F7484D"/>
    <w:rsid w:val="00F748AC"/>
    <w:rsid w:val="00F74A78"/>
    <w:rsid w:val="00F74B24"/>
    <w:rsid w:val="00F74BC3"/>
    <w:rsid w:val="00F74BC4"/>
    <w:rsid w:val="00F74BE9"/>
    <w:rsid w:val="00F74C06"/>
    <w:rsid w:val="00F74C3A"/>
    <w:rsid w:val="00F74C4C"/>
    <w:rsid w:val="00F74C6F"/>
    <w:rsid w:val="00F74D50"/>
    <w:rsid w:val="00F74D73"/>
    <w:rsid w:val="00F74E6D"/>
    <w:rsid w:val="00F74F8A"/>
    <w:rsid w:val="00F74FFC"/>
    <w:rsid w:val="00F75021"/>
    <w:rsid w:val="00F75155"/>
    <w:rsid w:val="00F75166"/>
    <w:rsid w:val="00F75220"/>
    <w:rsid w:val="00F75262"/>
    <w:rsid w:val="00F7540F"/>
    <w:rsid w:val="00F75447"/>
    <w:rsid w:val="00F75496"/>
    <w:rsid w:val="00F754B6"/>
    <w:rsid w:val="00F754D2"/>
    <w:rsid w:val="00F754F6"/>
    <w:rsid w:val="00F7552F"/>
    <w:rsid w:val="00F75585"/>
    <w:rsid w:val="00F75636"/>
    <w:rsid w:val="00F7577D"/>
    <w:rsid w:val="00F757C1"/>
    <w:rsid w:val="00F7588E"/>
    <w:rsid w:val="00F758A8"/>
    <w:rsid w:val="00F759BA"/>
    <w:rsid w:val="00F75A5C"/>
    <w:rsid w:val="00F75B39"/>
    <w:rsid w:val="00F75C60"/>
    <w:rsid w:val="00F75D39"/>
    <w:rsid w:val="00F75E0A"/>
    <w:rsid w:val="00F75E49"/>
    <w:rsid w:val="00F75FBD"/>
    <w:rsid w:val="00F76045"/>
    <w:rsid w:val="00F760AC"/>
    <w:rsid w:val="00F76104"/>
    <w:rsid w:val="00F76166"/>
    <w:rsid w:val="00F7630B"/>
    <w:rsid w:val="00F76347"/>
    <w:rsid w:val="00F7643F"/>
    <w:rsid w:val="00F7646B"/>
    <w:rsid w:val="00F76527"/>
    <w:rsid w:val="00F765FE"/>
    <w:rsid w:val="00F76610"/>
    <w:rsid w:val="00F766CB"/>
    <w:rsid w:val="00F76746"/>
    <w:rsid w:val="00F76778"/>
    <w:rsid w:val="00F76867"/>
    <w:rsid w:val="00F76902"/>
    <w:rsid w:val="00F769DE"/>
    <w:rsid w:val="00F76B46"/>
    <w:rsid w:val="00F76BA6"/>
    <w:rsid w:val="00F76BE6"/>
    <w:rsid w:val="00F76BFC"/>
    <w:rsid w:val="00F76CB6"/>
    <w:rsid w:val="00F76D8C"/>
    <w:rsid w:val="00F76DEE"/>
    <w:rsid w:val="00F76F02"/>
    <w:rsid w:val="00F76F18"/>
    <w:rsid w:val="00F76F99"/>
    <w:rsid w:val="00F76FDF"/>
    <w:rsid w:val="00F770E1"/>
    <w:rsid w:val="00F77139"/>
    <w:rsid w:val="00F77190"/>
    <w:rsid w:val="00F771D1"/>
    <w:rsid w:val="00F775D1"/>
    <w:rsid w:val="00F77603"/>
    <w:rsid w:val="00F77625"/>
    <w:rsid w:val="00F7763B"/>
    <w:rsid w:val="00F7767E"/>
    <w:rsid w:val="00F776B2"/>
    <w:rsid w:val="00F77730"/>
    <w:rsid w:val="00F777BB"/>
    <w:rsid w:val="00F777C4"/>
    <w:rsid w:val="00F7784E"/>
    <w:rsid w:val="00F77941"/>
    <w:rsid w:val="00F77950"/>
    <w:rsid w:val="00F77A79"/>
    <w:rsid w:val="00F77A9B"/>
    <w:rsid w:val="00F77B4F"/>
    <w:rsid w:val="00F77C81"/>
    <w:rsid w:val="00F77C94"/>
    <w:rsid w:val="00F77CD1"/>
    <w:rsid w:val="00F77D59"/>
    <w:rsid w:val="00F77DDA"/>
    <w:rsid w:val="00F77E83"/>
    <w:rsid w:val="00F77EC3"/>
    <w:rsid w:val="00F77EDB"/>
    <w:rsid w:val="00F77F0B"/>
    <w:rsid w:val="00F77F81"/>
    <w:rsid w:val="00F8016A"/>
    <w:rsid w:val="00F8017D"/>
    <w:rsid w:val="00F801C8"/>
    <w:rsid w:val="00F801CA"/>
    <w:rsid w:val="00F802D9"/>
    <w:rsid w:val="00F805A8"/>
    <w:rsid w:val="00F806BB"/>
    <w:rsid w:val="00F8070B"/>
    <w:rsid w:val="00F807ED"/>
    <w:rsid w:val="00F80834"/>
    <w:rsid w:val="00F808CD"/>
    <w:rsid w:val="00F808E6"/>
    <w:rsid w:val="00F80994"/>
    <w:rsid w:val="00F80AEC"/>
    <w:rsid w:val="00F80B7A"/>
    <w:rsid w:val="00F80C8A"/>
    <w:rsid w:val="00F80D8A"/>
    <w:rsid w:val="00F80D8F"/>
    <w:rsid w:val="00F80DE6"/>
    <w:rsid w:val="00F80E94"/>
    <w:rsid w:val="00F80F1C"/>
    <w:rsid w:val="00F80FAC"/>
    <w:rsid w:val="00F8131E"/>
    <w:rsid w:val="00F81337"/>
    <w:rsid w:val="00F813F2"/>
    <w:rsid w:val="00F81401"/>
    <w:rsid w:val="00F8142C"/>
    <w:rsid w:val="00F815B8"/>
    <w:rsid w:val="00F815E0"/>
    <w:rsid w:val="00F81744"/>
    <w:rsid w:val="00F81749"/>
    <w:rsid w:val="00F81782"/>
    <w:rsid w:val="00F8184A"/>
    <w:rsid w:val="00F81944"/>
    <w:rsid w:val="00F819B1"/>
    <w:rsid w:val="00F81B3C"/>
    <w:rsid w:val="00F81C02"/>
    <w:rsid w:val="00F81C43"/>
    <w:rsid w:val="00F81C6B"/>
    <w:rsid w:val="00F81C7A"/>
    <w:rsid w:val="00F81CE4"/>
    <w:rsid w:val="00F81D00"/>
    <w:rsid w:val="00F81F05"/>
    <w:rsid w:val="00F81F25"/>
    <w:rsid w:val="00F81FB8"/>
    <w:rsid w:val="00F82056"/>
    <w:rsid w:val="00F820A2"/>
    <w:rsid w:val="00F820F9"/>
    <w:rsid w:val="00F820FD"/>
    <w:rsid w:val="00F821CC"/>
    <w:rsid w:val="00F82240"/>
    <w:rsid w:val="00F822C0"/>
    <w:rsid w:val="00F82394"/>
    <w:rsid w:val="00F823F5"/>
    <w:rsid w:val="00F82401"/>
    <w:rsid w:val="00F82409"/>
    <w:rsid w:val="00F8246F"/>
    <w:rsid w:val="00F82508"/>
    <w:rsid w:val="00F8256C"/>
    <w:rsid w:val="00F82750"/>
    <w:rsid w:val="00F82813"/>
    <w:rsid w:val="00F8282C"/>
    <w:rsid w:val="00F82836"/>
    <w:rsid w:val="00F8287E"/>
    <w:rsid w:val="00F82880"/>
    <w:rsid w:val="00F82925"/>
    <w:rsid w:val="00F829C7"/>
    <w:rsid w:val="00F829DE"/>
    <w:rsid w:val="00F82A21"/>
    <w:rsid w:val="00F82A37"/>
    <w:rsid w:val="00F82A75"/>
    <w:rsid w:val="00F82B1A"/>
    <w:rsid w:val="00F82B26"/>
    <w:rsid w:val="00F82D5A"/>
    <w:rsid w:val="00F82DD8"/>
    <w:rsid w:val="00F82FC1"/>
    <w:rsid w:val="00F82FCF"/>
    <w:rsid w:val="00F8301E"/>
    <w:rsid w:val="00F83042"/>
    <w:rsid w:val="00F83111"/>
    <w:rsid w:val="00F83177"/>
    <w:rsid w:val="00F832AE"/>
    <w:rsid w:val="00F83426"/>
    <w:rsid w:val="00F834F5"/>
    <w:rsid w:val="00F8350D"/>
    <w:rsid w:val="00F83529"/>
    <w:rsid w:val="00F83590"/>
    <w:rsid w:val="00F835BE"/>
    <w:rsid w:val="00F835C1"/>
    <w:rsid w:val="00F835E3"/>
    <w:rsid w:val="00F8361E"/>
    <w:rsid w:val="00F83634"/>
    <w:rsid w:val="00F83667"/>
    <w:rsid w:val="00F83675"/>
    <w:rsid w:val="00F83689"/>
    <w:rsid w:val="00F836AE"/>
    <w:rsid w:val="00F836B6"/>
    <w:rsid w:val="00F836E7"/>
    <w:rsid w:val="00F837D1"/>
    <w:rsid w:val="00F837ED"/>
    <w:rsid w:val="00F8384D"/>
    <w:rsid w:val="00F8387E"/>
    <w:rsid w:val="00F838DA"/>
    <w:rsid w:val="00F839B2"/>
    <w:rsid w:val="00F839C9"/>
    <w:rsid w:val="00F839F6"/>
    <w:rsid w:val="00F83A45"/>
    <w:rsid w:val="00F83B6F"/>
    <w:rsid w:val="00F83BAA"/>
    <w:rsid w:val="00F83C42"/>
    <w:rsid w:val="00F83CBE"/>
    <w:rsid w:val="00F83CD0"/>
    <w:rsid w:val="00F83D81"/>
    <w:rsid w:val="00F83DBA"/>
    <w:rsid w:val="00F83DD6"/>
    <w:rsid w:val="00F83FE6"/>
    <w:rsid w:val="00F8408F"/>
    <w:rsid w:val="00F841A1"/>
    <w:rsid w:val="00F84209"/>
    <w:rsid w:val="00F84270"/>
    <w:rsid w:val="00F84352"/>
    <w:rsid w:val="00F84392"/>
    <w:rsid w:val="00F843B6"/>
    <w:rsid w:val="00F8442D"/>
    <w:rsid w:val="00F84512"/>
    <w:rsid w:val="00F8469C"/>
    <w:rsid w:val="00F846B5"/>
    <w:rsid w:val="00F84742"/>
    <w:rsid w:val="00F84818"/>
    <w:rsid w:val="00F848A7"/>
    <w:rsid w:val="00F848B0"/>
    <w:rsid w:val="00F84901"/>
    <w:rsid w:val="00F8490B"/>
    <w:rsid w:val="00F849FE"/>
    <w:rsid w:val="00F84A1E"/>
    <w:rsid w:val="00F84ACC"/>
    <w:rsid w:val="00F84BFB"/>
    <w:rsid w:val="00F84C57"/>
    <w:rsid w:val="00F84CE9"/>
    <w:rsid w:val="00F84D75"/>
    <w:rsid w:val="00F84E36"/>
    <w:rsid w:val="00F84F52"/>
    <w:rsid w:val="00F84F5E"/>
    <w:rsid w:val="00F84F8F"/>
    <w:rsid w:val="00F85015"/>
    <w:rsid w:val="00F85047"/>
    <w:rsid w:val="00F85073"/>
    <w:rsid w:val="00F85161"/>
    <w:rsid w:val="00F8521F"/>
    <w:rsid w:val="00F8527A"/>
    <w:rsid w:val="00F852E3"/>
    <w:rsid w:val="00F85316"/>
    <w:rsid w:val="00F85357"/>
    <w:rsid w:val="00F853D8"/>
    <w:rsid w:val="00F854C9"/>
    <w:rsid w:val="00F85541"/>
    <w:rsid w:val="00F855C8"/>
    <w:rsid w:val="00F85668"/>
    <w:rsid w:val="00F85677"/>
    <w:rsid w:val="00F857A9"/>
    <w:rsid w:val="00F857C8"/>
    <w:rsid w:val="00F857E5"/>
    <w:rsid w:val="00F85803"/>
    <w:rsid w:val="00F858B8"/>
    <w:rsid w:val="00F858F3"/>
    <w:rsid w:val="00F859C5"/>
    <w:rsid w:val="00F85B6E"/>
    <w:rsid w:val="00F85BB3"/>
    <w:rsid w:val="00F85C59"/>
    <w:rsid w:val="00F85D3E"/>
    <w:rsid w:val="00F85D52"/>
    <w:rsid w:val="00F85D6D"/>
    <w:rsid w:val="00F85DA2"/>
    <w:rsid w:val="00F85DB8"/>
    <w:rsid w:val="00F85DFE"/>
    <w:rsid w:val="00F85E2F"/>
    <w:rsid w:val="00F85EBD"/>
    <w:rsid w:val="00F85FD7"/>
    <w:rsid w:val="00F8603A"/>
    <w:rsid w:val="00F86086"/>
    <w:rsid w:val="00F86103"/>
    <w:rsid w:val="00F86228"/>
    <w:rsid w:val="00F86281"/>
    <w:rsid w:val="00F8634A"/>
    <w:rsid w:val="00F86356"/>
    <w:rsid w:val="00F86416"/>
    <w:rsid w:val="00F864FF"/>
    <w:rsid w:val="00F866E1"/>
    <w:rsid w:val="00F86747"/>
    <w:rsid w:val="00F86760"/>
    <w:rsid w:val="00F86820"/>
    <w:rsid w:val="00F868CE"/>
    <w:rsid w:val="00F86B60"/>
    <w:rsid w:val="00F86C90"/>
    <w:rsid w:val="00F86CE6"/>
    <w:rsid w:val="00F86D9A"/>
    <w:rsid w:val="00F86DBF"/>
    <w:rsid w:val="00F86E8D"/>
    <w:rsid w:val="00F86EF7"/>
    <w:rsid w:val="00F86F49"/>
    <w:rsid w:val="00F86F75"/>
    <w:rsid w:val="00F86F94"/>
    <w:rsid w:val="00F87097"/>
    <w:rsid w:val="00F870FA"/>
    <w:rsid w:val="00F8723F"/>
    <w:rsid w:val="00F87288"/>
    <w:rsid w:val="00F87329"/>
    <w:rsid w:val="00F873B5"/>
    <w:rsid w:val="00F873E6"/>
    <w:rsid w:val="00F87406"/>
    <w:rsid w:val="00F8741E"/>
    <w:rsid w:val="00F8749B"/>
    <w:rsid w:val="00F874AF"/>
    <w:rsid w:val="00F87510"/>
    <w:rsid w:val="00F87542"/>
    <w:rsid w:val="00F875F1"/>
    <w:rsid w:val="00F876FD"/>
    <w:rsid w:val="00F877D9"/>
    <w:rsid w:val="00F877F1"/>
    <w:rsid w:val="00F87902"/>
    <w:rsid w:val="00F879B0"/>
    <w:rsid w:val="00F87A84"/>
    <w:rsid w:val="00F87AAF"/>
    <w:rsid w:val="00F87B27"/>
    <w:rsid w:val="00F87CA8"/>
    <w:rsid w:val="00F87D8F"/>
    <w:rsid w:val="00F87E8A"/>
    <w:rsid w:val="00F87E9E"/>
    <w:rsid w:val="00F87EDD"/>
    <w:rsid w:val="00F87F40"/>
    <w:rsid w:val="00F87F83"/>
    <w:rsid w:val="00F87F9E"/>
    <w:rsid w:val="00F9001D"/>
    <w:rsid w:val="00F900BE"/>
    <w:rsid w:val="00F9010F"/>
    <w:rsid w:val="00F90160"/>
    <w:rsid w:val="00F901C2"/>
    <w:rsid w:val="00F9027C"/>
    <w:rsid w:val="00F90352"/>
    <w:rsid w:val="00F90455"/>
    <w:rsid w:val="00F904D6"/>
    <w:rsid w:val="00F905C4"/>
    <w:rsid w:val="00F90655"/>
    <w:rsid w:val="00F90657"/>
    <w:rsid w:val="00F90688"/>
    <w:rsid w:val="00F906B5"/>
    <w:rsid w:val="00F9079F"/>
    <w:rsid w:val="00F907AD"/>
    <w:rsid w:val="00F907E8"/>
    <w:rsid w:val="00F9084B"/>
    <w:rsid w:val="00F90971"/>
    <w:rsid w:val="00F909F6"/>
    <w:rsid w:val="00F90A0C"/>
    <w:rsid w:val="00F90B88"/>
    <w:rsid w:val="00F90BC3"/>
    <w:rsid w:val="00F90D04"/>
    <w:rsid w:val="00F90DAD"/>
    <w:rsid w:val="00F90F28"/>
    <w:rsid w:val="00F90F33"/>
    <w:rsid w:val="00F90F84"/>
    <w:rsid w:val="00F90FA0"/>
    <w:rsid w:val="00F90FA3"/>
    <w:rsid w:val="00F90FDC"/>
    <w:rsid w:val="00F9106D"/>
    <w:rsid w:val="00F910A9"/>
    <w:rsid w:val="00F910F0"/>
    <w:rsid w:val="00F91141"/>
    <w:rsid w:val="00F911AF"/>
    <w:rsid w:val="00F91258"/>
    <w:rsid w:val="00F91296"/>
    <w:rsid w:val="00F912CC"/>
    <w:rsid w:val="00F91352"/>
    <w:rsid w:val="00F91397"/>
    <w:rsid w:val="00F913CC"/>
    <w:rsid w:val="00F9146D"/>
    <w:rsid w:val="00F914BC"/>
    <w:rsid w:val="00F91507"/>
    <w:rsid w:val="00F91550"/>
    <w:rsid w:val="00F915D0"/>
    <w:rsid w:val="00F9168A"/>
    <w:rsid w:val="00F916B0"/>
    <w:rsid w:val="00F9170D"/>
    <w:rsid w:val="00F91766"/>
    <w:rsid w:val="00F917A8"/>
    <w:rsid w:val="00F917BD"/>
    <w:rsid w:val="00F91875"/>
    <w:rsid w:val="00F91A27"/>
    <w:rsid w:val="00F91A70"/>
    <w:rsid w:val="00F91B0D"/>
    <w:rsid w:val="00F91BC7"/>
    <w:rsid w:val="00F91BE1"/>
    <w:rsid w:val="00F91C3D"/>
    <w:rsid w:val="00F91D49"/>
    <w:rsid w:val="00F91E01"/>
    <w:rsid w:val="00F91E26"/>
    <w:rsid w:val="00F91EB3"/>
    <w:rsid w:val="00F91F3E"/>
    <w:rsid w:val="00F91F6D"/>
    <w:rsid w:val="00F91FAB"/>
    <w:rsid w:val="00F92199"/>
    <w:rsid w:val="00F921D2"/>
    <w:rsid w:val="00F921D6"/>
    <w:rsid w:val="00F92295"/>
    <w:rsid w:val="00F92360"/>
    <w:rsid w:val="00F924D8"/>
    <w:rsid w:val="00F924EF"/>
    <w:rsid w:val="00F92516"/>
    <w:rsid w:val="00F926F6"/>
    <w:rsid w:val="00F927BC"/>
    <w:rsid w:val="00F9283F"/>
    <w:rsid w:val="00F928E8"/>
    <w:rsid w:val="00F9293C"/>
    <w:rsid w:val="00F92A6B"/>
    <w:rsid w:val="00F92A95"/>
    <w:rsid w:val="00F92AF1"/>
    <w:rsid w:val="00F92B69"/>
    <w:rsid w:val="00F92C04"/>
    <w:rsid w:val="00F92C81"/>
    <w:rsid w:val="00F92D60"/>
    <w:rsid w:val="00F92D7F"/>
    <w:rsid w:val="00F92DB3"/>
    <w:rsid w:val="00F92F9D"/>
    <w:rsid w:val="00F93151"/>
    <w:rsid w:val="00F9333C"/>
    <w:rsid w:val="00F93363"/>
    <w:rsid w:val="00F933B0"/>
    <w:rsid w:val="00F933CA"/>
    <w:rsid w:val="00F933FD"/>
    <w:rsid w:val="00F93598"/>
    <w:rsid w:val="00F93686"/>
    <w:rsid w:val="00F936E8"/>
    <w:rsid w:val="00F9396B"/>
    <w:rsid w:val="00F939C1"/>
    <w:rsid w:val="00F939EA"/>
    <w:rsid w:val="00F93A32"/>
    <w:rsid w:val="00F93C5F"/>
    <w:rsid w:val="00F93E00"/>
    <w:rsid w:val="00F93E1F"/>
    <w:rsid w:val="00F93E4F"/>
    <w:rsid w:val="00F93EA2"/>
    <w:rsid w:val="00F93FF5"/>
    <w:rsid w:val="00F940AC"/>
    <w:rsid w:val="00F94184"/>
    <w:rsid w:val="00F9418B"/>
    <w:rsid w:val="00F941AA"/>
    <w:rsid w:val="00F94271"/>
    <w:rsid w:val="00F94292"/>
    <w:rsid w:val="00F9431B"/>
    <w:rsid w:val="00F94477"/>
    <w:rsid w:val="00F94487"/>
    <w:rsid w:val="00F9463D"/>
    <w:rsid w:val="00F9467A"/>
    <w:rsid w:val="00F94681"/>
    <w:rsid w:val="00F946F8"/>
    <w:rsid w:val="00F94803"/>
    <w:rsid w:val="00F9480A"/>
    <w:rsid w:val="00F94A7C"/>
    <w:rsid w:val="00F94AA4"/>
    <w:rsid w:val="00F94BB4"/>
    <w:rsid w:val="00F94C8E"/>
    <w:rsid w:val="00F94D80"/>
    <w:rsid w:val="00F94E15"/>
    <w:rsid w:val="00F94EB9"/>
    <w:rsid w:val="00F94F48"/>
    <w:rsid w:val="00F94FE3"/>
    <w:rsid w:val="00F9503F"/>
    <w:rsid w:val="00F95046"/>
    <w:rsid w:val="00F950A0"/>
    <w:rsid w:val="00F950CA"/>
    <w:rsid w:val="00F951A8"/>
    <w:rsid w:val="00F951F1"/>
    <w:rsid w:val="00F9521D"/>
    <w:rsid w:val="00F9531B"/>
    <w:rsid w:val="00F95499"/>
    <w:rsid w:val="00F95768"/>
    <w:rsid w:val="00F95781"/>
    <w:rsid w:val="00F95839"/>
    <w:rsid w:val="00F95862"/>
    <w:rsid w:val="00F95896"/>
    <w:rsid w:val="00F95913"/>
    <w:rsid w:val="00F95AB2"/>
    <w:rsid w:val="00F95AE0"/>
    <w:rsid w:val="00F95C2D"/>
    <w:rsid w:val="00F95C49"/>
    <w:rsid w:val="00F95C90"/>
    <w:rsid w:val="00F95C9E"/>
    <w:rsid w:val="00F95CE7"/>
    <w:rsid w:val="00F95D8B"/>
    <w:rsid w:val="00F95ED2"/>
    <w:rsid w:val="00F95F00"/>
    <w:rsid w:val="00F95F0A"/>
    <w:rsid w:val="00F95FB0"/>
    <w:rsid w:val="00F95FC5"/>
    <w:rsid w:val="00F96006"/>
    <w:rsid w:val="00F9604B"/>
    <w:rsid w:val="00F960CC"/>
    <w:rsid w:val="00F9615C"/>
    <w:rsid w:val="00F9615E"/>
    <w:rsid w:val="00F9638F"/>
    <w:rsid w:val="00F965DE"/>
    <w:rsid w:val="00F966A3"/>
    <w:rsid w:val="00F966FB"/>
    <w:rsid w:val="00F96858"/>
    <w:rsid w:val="00F96930"/>
    <w:rsid w:val="00F96989"/>
    <w:rsid w:val="00F96BBB"/>
    <w:rsid w:val="00F96BFD"/>
    <w:rsid w:val="00F96C29"/>
    <w:rsid w:val="00F96D29"/>
    <w:rsid w:val="00F96D99"/>
    <w:rsid w:val="00F96E2E"/>
    <w:rsid w:val="00F96E3C"/>
    <w:rsid w:val="00F96E57"/>
    <w:rsid w:val="00F96ED3"/>
    <w:rsid w:val="00F96F3E"/>
    <w:rsid w:val="00F97096"/>
    <w:rsid w:val="00F97227"/>
    <w:rsid w:val="00F97309"/>
    <w:rsid w:val="00F97378"/>
    <w:rsid w:val="00F973B6"/>
    <w:rsid w:val="00F97445"/>
    <w:rsid w:val="00F9758D"/>
    <w:rsid w:val="00F975C3"/>
    <w:rsid w:val="00F9760C"/>
    <w:rsid w:val="00F976ED"/>
    <w:rsid w:val="00F976FA"/>
    <w:rsid w:val="00F9779E"/>
    <w:rsid w:val="00F97837"/>
    <w:rsid w:val="00F9784A"/>
    <w:rsid w:val="00F978C4"/>
    <w:rsid w:val="00F97932"/>
    <w:rsid w:val="00F979C3"/>
    <w:rsid w:val="00F97A16"/>
    <w:rsid w:val="00F97AB5"/>
    <w:rsid w:val="00F97BAD"/>
    <w:rsid w:val="00F97D65"/>
    <w:rsid w:val="00F97E7C"/>
    <w:rsid w:val="00F97E88"/>
    <w:rsid w:val="00F97FB6"/>
    <w:rsid w:val="00F97FC1"/>
    <w:rsid w:val="00FA0003"/>
    <w:rsid w:val="00FA0008"/>
    <w:rsid w:val="00FA00C0"/>
    <w:rsid w:val="00FA01C7"/>
    <w:rsid w:val="00FA01D4"/>
    <w:rsid w:val="00FA01EE"/>
    <w:rsid w:val="00FA0267"/>
    <w:rsid w:val="00FA0389"/>
    <w:rsid w:val="00FA0396"/>
    <w:rsid w:val="00FA0445"/>
    <w:rsid w:val="00FA04BC"/>
    <w:rsid w:val="00FA04E8"/>
    <w:rsid w:val="00FA0558"/>
    <w:rsid w:val="00FA055F"/>
    <w:rsid w:val="00FA062B"/>
    <w:rsid w:val="00FA07CD"/>
    <w:rsid w:val="00FA0891"/>
    <w:rsid w:val="00FA0913"/>
    <w:rsid w:val="00FA0982"/>
    <w:rsid w:val="00FA09D6"/>
    <w:rsid w:val="00FA09E2"/>
    <w:rsid w:val="00FA0A23"/>
    <w:rsid w:val="00FA0AD5"/>
    <w:rsid w:val="00FA0B19"/>
    <w:rsid w:val="00FA0B76"/>
    <w:rsid w:val="00FA0C65"/>
    <w:rsid w:val="00FA0C9D"/>
    <w:rsid w:val="00FA0C9E"/>
    <w:rsid w:val="00FA0CAA"/>
    <w:rsid w:val="00FA0CB0"/>
    <w:rsid w:val="00FA0D3F"/>
    <w:rsid w:val="00FA0D8E"/>
    <w:rsid w:val="00FA0DC9"/>
    <w:rsid w:val="00FA0EA9"/>
    <w:rsid w:val="00FA0F28"/>
    <w:rsid w:val="00FA0FCF"/>
    <w:rsid w:val="00FA1025"/>
    <w:rsid w:val="00FA10A7"/>
    <w:rsid w:val="00FA1118"/>
    <w:rsid w:val="00FA113C"/>
    <w:rsid w:val="00FA1148"/>
    <w:rsid w:val="00FA1177"/>
    <w:rsid w:val="00FA119B"/>
    <w:rsid w:val="00FA1250"/>
    <w:rsid w:val="00FA12C1"/>
    <w:rsid w:val="00FA12CF"/>
    <w:rsid w:val="00FA12F0"/>
    <w:rsid w:val="00FA146C"/>
    <w:rsid w:val="00FA14C2"/>
    <w:rsid w:val="00FA1548"/>
    <w:rsid w:val="00FA1581"/>
    <w:rsid w:val="00FA1768"/>
    <w:rsid w:val="00FA18B3"/>
    <w:rsid w:val="00FA1A33"/>
    <w:rsid w:val="00FA1B64"/>
    <w:rsid w:val="00FA1B71"/>
    <w:rsid w:val="00FA1C15"/>
    <w:rsid w:val="00FA1C88"/>
    <w:rsid w:val="00FA1D29"/>
    <w:rsid w:val="00FA1DAA"/>
    <w:rsid w:val="00FA1DC1"/>
    <w:rsid w:val="00FA1F3F"/>
    <w:rsid w:val="00FA1FA3"/>
    <w:rsid w:val="00FA2024"/>
    <w:rsid w:val="00FA20B5"/>
    <w:rsid w:val="00FA2154"/>
    <w:rsid w:val="00FA2171"/>
    <w:rsid w:val="00FA2196"/>
    <w:rsid w:val="00FA2199"/>
    <w:rsid w:val="00FA21AB"/>
    <w:rsid w:val="00FA21C5"/>
    <w:rsid w:val="00FA22E2"/>
    <w:rsid w:val="00FA22F6"/>
    <w:rsid w:val="00FA248F"/>
    <w:rsid w:val="00FA24BB"/>
    <w:rsid w:val="00FA256B"/>
    <w:rsid w:val="00FA2573"/>
    <w:rsid w:val="00FA2600"/>
    <w:rsid w:val="00FA2645"/>
    <w:rsid w:val="00FA2683"/>
    <w:rsid w:val="00FA26A0"/>
    <w:rsid w:val="00FA26F6"/>
    <w:rsid w:val="00FA2709"/>
    <w:rsid w:val="00FA2795"/>
    <w:rsid w:val="00FA2857"/>
    <w:rsid w:val="00FA2996"/>
    <w:rsid w:val="00FA2999"/>
    <w:rsid w:val="00FA29D5"/>
    <w:rsid w:val="00FA2A8E"/>
    <w:rsid w:val="00FA2C76"/>
    <w:rsid w:val="00FA2ED0"/>
    <w:rsid w:val="00FA304E"/>
    <w:rsid w:val="00FA3078"/>
    <w:rsid w:val="00FA314B"/>
    <w:rsid w:val="00FA321C"/>
    <w:rsid w:val="00FA32D4"/>
    <w:rsid w:val="00FA339E"/>
    <w:rsid w:val="00FA3428"/>
    <w:rsid w:val="00FA34CF"/>
    <w:rsid w:val="00FA366E"/>
    <w:rsid w:val="00FA3694"/>
    <w:rsid w:val="00FA370F"/>
    <w:rsid w:val="00FA3808"/>
    <w:rsid w:val="00FA3828"/>
    <w:rsid w:val="00FA3839"/>
    <w:rsid w:val="00FA384F"/>
    <w:rsid w:val="00FA3852"/>
    <w:rsid w:val="00FA38D1"/>
    <w:rsid w:val="00FA394A"/>
    <w:rsid w:val="00FA3ACB"/>
    <w:rsid w:val="00FA3B32"/>
    <w:rsid w:val="00FA3B4E"/>
    <w:rsid w:val="00FA3E5C"/>
    <w:rsid w:val="00FA3F46"/>
    <w:rsid w:val="00FA3F56"/>
    <w:rsid w:val="00FA3FA9"/>
    <w:rsid w:val="00FA407B"/>
    <w:rsid w:val="00FA422B"/>
    <w:rsid w:val="00FA42AF"/>
    <w:rsid w:val="00FA42FC"/>
    <w:rsid w:val="00FA4435"/>
    <w:rsid w:val="00FA4488"/>
    <w:rsid w:val="00FA4535"/>
    <w:rsid w:val="00FA454C"/>
    <w:rsid w:val="00FA45FF"/>
    <w:rsid w:val="00FA461F"/>
    <w:rsid w:val="00FA46DF"/>
    <w:rsid w:val="00FA47F3"/>
    <w:rsid w:val="00FA4A1C"/>
    <w:rsid w:val="00FA4B6A"/>
    <w:rsid w:val="00FA4B8F"/>
    <w:rsid w:val="00FA4C0F"/>
    <w:rsid w:val="00FA4C48"/>
    <w:rsid w:val="00FA4DDD"/>
    <w:rsid w:val="00FA4EEA"/>
    <w:rsid w:val="00FA4F5F"/>
    <w:rsid w:val="00FA4F81"/>
    <w:rsid w:val="00FA4FB9"/>
    <w:rsid w:val="00FA5005"/>
    <w:rsid w:val="00FA5040"/>
    <w:rsid w:val="00FA50D6"/>
    <w:rsid w:val="00FA51E5"/>
    <w:rsid w:val="00FA5237"/>
    <w:rsid w:val="00FA528A"/>
    <w:rsid w:val="00FA52DE"/>
    <w:rsid w:val="00FA542F"/>
    <w:rsid w:val="00FA54E2"/>
    <w:rsid w:val="00FA577A"/>
    <w:rsid w:val="00FA588A"/>
    <w:rsid w:val="00FA590C"/>
    <w:rsid w:val="00FA59A4"/>
    <w:rsid w:val="00FA5B6D"/>
    <w:rsid w:val="00FA5B70"/>
    <w:rsid w:val="00FA5B84"/>
    <w:rsid w:val="00FA5BA6"/>
    <w:rsid w:val="00FA5BAF"/>
    <w:rsid w:val="00FA5CA9"/>
    <w:rsid w:val="00FA5D49"/>
    <w:rsid w:val="00FA5F48"/>
    <w:rsid w:val="00FA6056"/>
    <w:rsid w:val="00FA623D"/>
    <w:rsid w:val="00FA631B"/>
    <w:rsid w:val="00FA6360"/>
    <w:rsid w:val="00FA6474"/>
    <w:rsid w:val="00FA654B"/>
    <w:rsid w:val="00FA6593"/>
    <w:rsid w:val="00FA666C"/>
    <w:rsid w:val="00FA66B3"/>
    <w:rsid w:val="00FA6786"/>
    <w:rsid w:val="00FA67BB"/>
    <w:rsid w:val="00FA67DF"/>
    <w:rsid w:val="00FA682C"/>
    <w:rsid w:val="00FA6855"/>
    <w:rsid w:val="00FA6884"/>
    <w:rsid w:val="00FA6906"/>
    <w:rsid w:val="00FA6A03"/>
    <w:rsid w:val="00FA6BD2"/>
    <w:rsid w:val="00FA6DD7"/>
    <w:rsid w:val="00FA6EE5"/>
    <w:rsid w:val="00FA6F70"/>
    <w:rsid w:val="00FA722E"/>
    <w:rsid w:val="00FA7257"/>
    <w:rsid w:val="00FA725E"/>
    <w:rsid w:val="00FA727D"/>
    <w:rsid w:val="00FA7317"/>
    <w:rsid w:val="00FA73C0"/>
    <w:rsid w:val="00FA73D1"/>
    <w:rsid w:val="00FA7549"/>
    <w:rsid w:val="00FA7555"/>
    <w:rsid w:val="00FA75AB"/>
    <w:rsid w:val="00FA75C4"/>
    <w:rsid w:val="00FA7733"/>
    <w:rsid w:val="00FA7739"/>
    <w:rsid w:val="00FA7767"/>
    <w:rsid w:val="00FA7816"/>
    <w:rsid w:val="00FA785D"/>
    <w:rsid w:val="00FA78AE"/>
    <w:rsid w:val="00FA78B8"/>
    <w:rsid w:val="00FA7916"/>
    <w:rsid w:val="00FA792F"/>
    <w:rsid w:val="00FA7968"/>
    <w:rsid w:val="00FA79BD"/>
    <w:rsid w:val="00FA7A02"/>
    <w:rsid w:val="00FA7A16"/>
    <w:rsid w:val="00FA7BB7"/>
    <w:rsid w:val="00FA7BEA"/>
    <w:rsid w:val="00FA7CE5"/>
    <w:rsid w:val="00FA7D29"/>
    <w:rsid w:val="00FA7D7B"/>
    <w:rsid w:val="00FA7D7E"/>
    <w:rsid w:val="00FA7DD2"/>
    <w:rsid w:val="00FA7E9E"/>
    <w:rsid w:val="00FA7F29"/>
    <w:rsid w:val="00FB00F3"/>
    <w:rsid w:val="00FB0115"/>
    <w:rsid w:val="00FB0138"/>
    <w:rsid w:val="00FB015F"/>
    <w:rsid w:val="00FB0197"/>
    <w:rsid w:val="00FB01DE"/>
    <w:rsid w:val="00FB01EF"/>
    <w:rsid w:val="00FB0246"/>
    <w:rsid w:val="00FB0283"/>
    <w:rsid w:val="00FB02F0"/>
    <w:rsid w:val="00FB02F4"/>
    <w:rsid w:val="00FB02FA"/>
    <w:rsid w:val="00FB0356"/>
    <w:rsid w:val="00FB036C"/>
    <w:rsid w:val="00FB0374"/>
    <w:rsid w:val="00FB03C1"/>
    <w:rsid w:val="00FB0572"/>
    <w:rsid w:val="00FB0623"/>
    <w:rsid w:val="00FB062E"/>
    <w:rsid w:val="00FB08AA"/>
    <w:rsid w:val="00FB090F"/>
    <w:rsid w:val="00FB09F8"/>
    <w:rsid w:val="00FB0BCB"/>
    <w:rsid w:val="00FB0C02"/>
    <w:rsid w:val="00FB0C96"/>
    <w:rsid w:val="00FB0CA1"/>
    <w:rsid w:val="00FB0CBB"/>
    <w:rsid w:val="00FB0CC8"/>
    <w:rsid w:val="00FB0D17"/>
    <w:rsid w:val="00FB0D1D"/>
    <w:rsid w:val="00FB0D26"/>
    <w:rsid w:val="00FB0DB0"/>
    <w:rsid w:val="00FB0DFD"/>
    <w:rsid w:val="00FB0EAE"/>
    <w:rsid w:val="00FB0F7A"/>
    <w:rsid w:val="00FB0FB0"/>
    <w:rsid w:val="00FB0FCD"/>
    <w:rsid w:val="00FB1000"/>
    <w:rsid w:val="00FB110B"/>
    <w:rsid w:val="00FB123E"/>
    <w:rsid w:val="00FB1272"/>
    <w:rsid w:val="00FB12A5"/>
    <w:rsid w:val="00FB12A8"/>
    <w:rsid w:val="00FB1314"/>
    <w:rsid w:val="00FB1336"/>
    <w:rsid w:val="00FB13B2"/>
    <w:rsid w:val="00FB13CA"/>
    <w:rsid w:val="00FB140A"/>
    <w:rsid w:val="00FB14E6"/>
    <w:rsid w:val="00FB1556"/>
    <w:rsid w:val="00FB1584"/>
    <w:rsid w:val="00FB16B4"/>
    <w:rsid w:val="00FB16F8"/>
    <w:rsid w:val="00FB1709"/>
    <w:rsid w:val="00FB176A"/>
    <w:rsid w:val="00FB1824"/>
    <w:rsid w:val="00FB18BF"/>
    <w:rsid w:val="00FB193D"/>
    <w:rsid w:val="00FB1A9E"/>
    <w:rsid w:val="00FB1ACB"/>
    <w:rsid w:val="00FB1B38"/>
    <w:rsid w:val="00FB1B3F"/>
    <w:rsid w:val="00FB1B41"/>
    <w:rsid w:val="00FB1B7F"/>
    <w:rsid w:val="00FB1BCE"/>
    <w:rsid w:val="00FB1CC5"/>
    <w:rsid w:val="00FB1D28"/>
    <w:rsid w:val="00FB1D92"/>
    <w:rsid w:val="00FB1DF3"/>
    <w:rsid w:val="00FB1EC3"/>
    <w:rsid w:val="00FB1EFA"/>
    <w:rsid w:val="00FB1F6D"/>
    <w:rsid w:val="00FB208B"/>
    <w:rsid w:val="00FB220B"/>
    <w:rsid w:val="00FB241E"/>
    <w:rsid w:val="00FB250F"/>
    <w:rsid w:val="00FB2541"/>
    <w:rsid w:val="00FB25A5"/>
    <w:rsid w:val="00FB25D3"/>
    <w:rsid w:val="00FB25F5"/>
    <w:rsid w:val="00FB268C"/>
    <w:rsid w:val="00FB269C"/>
    <w:rsid w:val="00FB269D"/>
    <w:rsid w:val="00FB26F7"/>
    <w:rsid w:val="00FB2825"/>
    <w:rsid w:val="00FB2826"/>
    <w:rsid w:val="00FB289E"/>
    <w:rsid w:val="00FB2926"/>
    <w:rsid w:val="00FB2998"/>
    <w:rsid w:val="00FB2999"/>
    <w:rsid w:val="00FB2A0C"/>
    <w:rsid w:val="00FB2AE2"/>
    <w:rsid w:val="00FB2B4A"/>
    <w:rsid w:val="00FB2B8F"/>
    <w:rsid w:val="00FB2BE6"/>
    <w:rsid w:val="00FB2E61"/>
    <w:rsid w:val="00FB2EB3"/>
    <w:rsid w:val="00FB2F49"/>
    <w:rsid w:val="00FB303C"/>
    <w:rsid w:val="00FB3078"/>
    <w:rsid w:val="00FB30A4"/>
    <w:rsid w:val="00FB3157"/>
    <w:rsid w:val="00FB3165"/>
    <w:rsid w:val="00FB31E2"/>
    <w:rsid w:val="00FB31FB"/>
    <w:rsid w:val="00FB3228"/>
    <w:rsid w:val="00FB3259"/>
    <w:rsid w:val="00FB3343"/>
    <w:rsid w:val="00FB3375"/>
    <w:rsid w:val="00FB33AD"/>
    <w:rsid w:val="00FB33C3"/>
    <w:rsid w:val="00FB33C6"/>
    <w:rsid w:val="00FB3611"/>
    <w:rsid w:val="00FB37C0"/>
    <w:rsid w:val="00FB37D6"/>
    <w:rsid w:val="00FB37E8"/>
    <w:rsid w:val="00FB386D"/>
    <w:rsid w:val="00FB39E2"/>
    <w:rsid w:val="00FB3A33"/>
    <w:rsid w:val="00FB3B1A"/>
    <w:rsid w:val="00FB3C12"/>
    <w:rsid w:val="00FB3C2A"/>
    <w:rsid w:val="00FB3C82"/>
    <w:rsid w:val="00FB3D76"/>
    <w:rsid w:val="00FB3E06"/>
    <w:rsid w:val="00FB3FD2"/>
    <w:rsid w:val="00FB3FFE"/>
    <w:rsid w:val="00FB405F"/>
    <w:rsid w:val="00FB4065"/>
    <w:rsid w:val="00FB4121"/>
    <w:rsid w:val="00FB41E9"/>
    <w:rsid w:val="00FB4234"/>
    <w:rsid w:val="00FB42F6"/>
    <w:rsid w:val="00FB4318"/>
    <w:rsid w:val="00FB4389"/>
    <w:rsid w:val="00FB4428"/>
    <w:rsid w:val="00FB44C5"/>
    <w:rsid w:val="00FB4579"/>
    <w:rsid w:val="00FB4610"/>
    <w:rsid w:val="00FB461A"/>
    <w:rsid w:val="00FB4684"/>
    <w:rsid w:val="00FB46A7"/>
    <w:rsid w:val="00FB46CE"/>
    <w:rsid w:val="00FB47A2"/>
    <w:rsid w:val="00FB48CC"/>
    <w:rsid w:val="00FB4B1F"/>
    <w:rsid w:val="00FB4B2C"/>
    <w:rsid w:val="00FB4B72"/>
    <w:rsid w:val="00FB4C4C"/>
    <w:rsid w:val="00FB4C6A"/>
    <w:rsid w:val="00FB4C84"/>
    <w:rsid w:val="00FB4CC4"/>
    <w:rsid w:val="00FB4D28"/>
    <w:rsid w:val="00FB4EE7"/>
    <w:rsid w:val="00FB4F00"/>
    <w:rsid w:val="00FB4F06"/>
    <w:rsid w:val="00FB4FC4"/>
    <w:rsid w:val="00FB506C"/>
    <w:rsid w:val="00FB5098"/>
    <w:rsid w:val="00FB5158"/>
    <w:rsid w:val="00FB517D"/>
    <w:rsid w:val="00FB527F"/>
    <w:rsid w:val="00FB5290"/>
    <w:rsid w:val="00FB52FF"/>
    <w:rsid w:val="00FB540D"/>
    <w:rsid w:val="00FB551E"/>
    <w:rsid w:val="00FB557E"/>
    <w:rsid w:val="00FB56D1"/>
    <w:rsid w:val="00FB5761"/>
    <w:rsid w:val="00FB58D7"/>
    <w:rsid w:val="00FB58FB"/>
    <w:rsid w:val="00FB5903"/>
    <w:rsid w:val="00FB59D5"/>
    <w:rsid w:val="00FB5A14"/>
    <w:rsid w:val="00FB5A23"/>
    <w:rsid w:val="00FB5C69"/>
    <w:rsid w:val="00FB5CFE"/>
    <w:rsid w:val="00FB5D30"/>
    <w:rsid w:val="00FB5ED4"/>
    <w:rsid w:val="00FB5FE3"/>
    <w:rsid w:val="00FB60AD"/>
    <w:rsid w:val="00FB60DF"/>
    <w:rsid w:val="00FB6198"/>
    <w:rsid w:val="00FB6258"/>
    <w:rsid w:val="00FB6382"/>
    <w:rsid w:val="00FB63C6"/>
    <w:rsid w:val="00FB63F0"/>
    <w:rsid w:val="00FB656D"/>
    <w:rsid w:val="00FB65D7"/>
    <w:rsid w:val="00FB666F"/>
    <w:rsid w:val="00FB6696"/>
    <w:rsid w:val="00FB66E1"/>
    <w:rsid w:val="00FB66ED"/>
    <w:rsid w:val="00FB66FF"/>
    <w:rsid w:val="00FB6753"/>
    <w:rsid w:val="00FB67C2"/>
    <w:rsid w:val="00FB682A"/>
    <w:rsid w:val="00FB6927"/>
    <w:rsid w:val="00FB6964"/>
    <w:rsid w:val="00FB6974"/>
    <w:rsid w:val="00FB6A9C"/>
    <w:rsid w:val="00FB6BE2"/>
    <w:rsid w:val="00FB6C0D"/>
    <w:rsid w:val="00FB6D2D"/>
    <w:rsid w:val="00FB6DDD"/>
    <w:rsid w:val="00FB6DF0"/>
    <w:rsid w:val="00FB6E3E"/>
    <w:rsid w:val="00FB6EB3"/>
    <w:rsid w:val="00FB6F5B"/>
    <w:rsid w:val="00FB6FD6"/>
    <w:rsid w:val="00FB7063"/>
    <w:rsid w:val="00FB7088"/>
    <w:rsid w:val="00FB70AB"/>
    <w:rsid w:val="00FB7122"/>
    <w:rsid w:val="00FB7199"/>
    <w:rsid w:val="00FB7200"/>
    <w:rsid w:val="00FB72A9"/>
    <w:rsid w:val="00FB7394"/>
    <w:rsid w:val="00FB7405"/>
    <w:rsid w:val="00FB7449"/>
    <w:rsid w:val="00FB76DC"/>
    <w:rsid w:val="00FB7712"/>
    <w:rsid w:val="00FB780D"/>
    <w:rsid w:val="00FB78DB"/>
    <w:rsid w:val="00FB7998"/>
    <w:rsid w:val="00FB79C7"/>
    <w:rsid w:val="00FB79DC"/>
    <w:rsid w:val="00FB7A87"/>
    <w:rsid w:val="00FB7C57"/>
    <w:rsid w:val="00FB7C58"/>
    <w:rsid w:val="00FB7D05"/>
    <w:rsid w:val="00FB7D62"/>
    <w:rsid w:val="00FB7D88"/>
    <w:rsid w:val="00FB7D9F"/>
    <w:rsid w:val="00FB7E75"/>
    <w:rsid w:val="00FB7F14"/>
    <w:rsid w:val="00FB7F3A"/>
    <w:rsid w:val="00FB7F66"/>
    <w:rsid w:val="00FC0006"/>
    <w:rsid w:val="00FC008B"/>
    <w:rsid w:val="00FC00A8"/>
    <w:rsid w:val="00FC0119"/>
    <w:rsid w:val="00FC018C"/>
    <w:rsid w:val="00FC01FD"/>
    <w:rsid w:val="00FC02DC"/>
    <w:rsid w:val="00FC0320"/>
    <w:rsid w:val="00FC03AD"/>
    <w:rsid w:val="00FC0504"/>
    <w:rsid w:val="00FC062B"/>
    <w:rsid w:val="00FC063E"/>
    <w:rsid w:val="00FC0721"/>
    <w:rsid w:val="00FC08A2"/>
    <w:rsid w:val="00FC08EE"/>
    <w:rsid w:val="00FC097A"/>
    <w:rsid w:val="00FC0985"/>
    <w:rsid w:val="00FC0B94"/>
    <w:rsid w:val="00FC0C08"/>
    <w:rsid w:val="00FC0C18"/>
    <w:rsid w:val="00FC0CB5"/>
    <w:rsid w:val="00FC0D0D"/>
    <w:rsid w:val="00FC0D18"/>
    <w:rsid w:val="00FC0D68"/>
    <w:rsid w:val="00FC0DE8"/>
    <w:rsid w:val="00FC0E56"/>
    <w:rsid w:val="00FC10DD"/>
    <w:rsid w:val="00FC1178"/>
    <w:rsid w:val="00FC117E"/>
    <w:rsid w:val="00FC11B6"/>
    <w:rsid w:val="00FC12AC"/>
    <w:rsid w:val="00FC12DF"/>
    <w:rsid w:val="00FC1395"/>
    <w:rsid w:val="00FC1425"/>
    <w:rsid w:val="00FC142D"/>
    <w:rsid w:val="00FC1452"/>
    <w:rsid w:val="00FC1507"/>
    <w:rsid w:val="00FC16A9"/>
    <w:rsid w:val="00FC1766"/>
    <w:rsid w:val="00FC17F0"/>
    <w:rsid w:val="00FC17FF"/>
    <w:rsid w:val="00FC1864"/>
    <w:rsid w:val="00FC18E3"/>
    <w:rsid w:val="00FC1932"/>
    <w:rsid w:val="00FC1975"/>
    <w:rsid w:val="00FC1A97"/>
    <w:rsid w:val="00FC1B2F"/>
    <w:rsid w:val="00FC1BDE"/>
    <w:rsid w:val="00FC1C01"/>
    <w:rsid w:val="00FC1C75"/>
    <w:rsid w:val="00FC1D01"/>
    <w:rsid w:val="00FC1D15"/>
    <w:rsid w:val="00FC1DF9"/>
    <w:rsid w:val="00FC1E1C"/>
    <w:rsid w:val="00FC1E83"/>
    <w:rsid w:val="00FC210E"/>
    <w:rsid w:val="00FC213F"/>
    <w:rsid w:val="00FC22E9"/>
    <w:rsid w:val="00FC236C"/>
    <w:rsid w:val="00FC238B"/>
    <w:rsid w:val="00FC2449"/>
    <w:rsid w:val="00FC2717"/>
    <w:rsid w:val="00FC2734"/>
    <w:rsid w:val="00FC2735"/>
    <w:rsid w:val="00FC2759"/>
    <w:rsid w:val="00FC27D5"/>
    <w:rsid w:val="00FC287E"/>
    <w:rsid w:val="00FC2880"/>
    <w:rsid w:val="00FC28CA"/>
    <w:rsid w:val="00FC28FC"/>
    <w:rsid w:val="00FC2A05"/>
    <w:rsid w:val="00FC2A82"/>
    <w:rsid w:val="00FC2AF6"/>
    <w:rsid w:val="00FC2C29"/>
    <w:rsid w:val="00FC2C84"/>
    <w:rsid w:val="00FC2D02"/>
    <w:rsid w:val="00FC2D17"/>
    <w:rsid w:val="00FC2D3C"/>
    <w:rsid w:val="00FC2DBA"/>
    <w:rsid w:val="00FC2ED8"/>
    <w:rsid w:val="00FC2F0F"/>
    <w:rsid w:val="00FC2F94"/>
    <w:rsid w:val="00FC2FD5"/>
    <w:rsid w:val="00FC2FFF"/>
    <w:rsid w:val="00FC3138"/>
    <w:rsid w:val="00FC31FF"/>
    <w:rsid w:val="00FC321B"/>
    <w:rsid w:val="00FC327D"/>
    <w:rsid w:val="00FC32A3"/>
    <w:rsid w:val="00FC3345"/>
    <w:rsid w:val="00FC3357"/>
    <w:rsid w:val="00FC357C"/>
    <w:rsid w:val="00FC35A9"/>
    <w:rsid w:val="00FC36C1"/>
    <w:rsid w:val="00FC3773"/>
    <w:rsid w:val="00FC378D"/>
    <w:rsid w:val="00FC37EA"/>
    <w:rsid w:val="00FC3988"/>
    <w:rsid w:val="00FC39FD"/>
    <w:rsid w:val="00FC3A7D"/>
    <w:rsid w:val="00FC3AF9"/>
    <w:rsid w:val="00FC3B26"/>
    <w:rsid w:val="00FC3C8E"/>
    <w:rsid w:val="00FC3CF5"/>
    <w:rsid w:val="00FC3D85"/>
    <w:rsid w:val="00FC3E61"/>
    <w:rsid w:val="00FC3EE0"/>
    <w:rsid w:val="00FC3F44"/>
    <w:rsid w:val="00FC404C"/>
    <w:rsid w:val="00FC4140"/>
    <w:rsid w:val="00FC4169"/>
    <w:rsid w:val="00FC4299"/>
    <w:rsid w:val="00FC4352"/>
    <w:rsid w:val="00FC438E"/>
    <w:rsid w:val="00FC442C"/>
    <w:rsid w:val="00FC4565"/>
    <w:rsid w:val="00FC45DA"/>
    <w:rsid w:val="00FC460C"/>
    <w:rsid w:val="00FC46F1"/>
    <w:rsid w:val="00FC4711"/>
    <w:rsid w:val="00FC4715"/>
    <w:rsid w:val="00FC4831"/>
    <w:rsid w:val="00FC488F"/>
    <w:rsid w:val="00FC4A4B"/>
    <w:rsid w:val="00FC4A96"/>
    <w:rsid w:val="00FC4AA7"/>
    <w:rsid w:val="00FC4B2A"/>
    <w:rsid w:val="00FC4BA1"/>
    <w:rsid w:val="00FC4E4C"/>
    <w:rsid w:val="00FC4EA4"/>
    <w:rsid w:val="00FC4FBD"/>
    <w:rsid w:val="00FC4FD5"/>
    <w:rsid w:val="00FC50D4"/>
    <w:rsid w:val="00FC50FB"/>
    <w:rsid w:val="00FC5119"/>
    <w:rsid w:val="00FC5178"/>
    <w:rsid w:val="00FC5181"/>
    <w:rsid w:val="00FC5194"/>
    <w:rsid w:val="00FC52FF"/>
    <w:rsid w:val="00FC53B6"/>
    <w:rsid w:val="00FC5546"/>
    <w:rsid w:val="00FC5552"/>
    <w:rsid w:val="00FC5556"/>
    <w:rsid w:val="00FC55C4"/>
    <w:rsid w:val="00FC5634"/>
    <w:rsid w:val="00FC566E"/>
    <w:rsid w:val="00FC5735"/>
    <w:rsid w:val="00FC57CE"/>
    <w:rsid w:val="00FC59E6"/>
    <w:rsid w:val="00FC5A8E"/>
    <w:rsid w:val="00FC5A9A"/>
    <w:rsid w:val="00FC5AAC"/>
    <w:rsid w:val="00FC5BB5"/>
    <w:rsid w:val="00FC5BB6"/>
    <w:rsid w:val="00FC5C08"/>
    <w:rsid w:val="00FC5C0B"/>
    <w:rsid w:val="00FC5D36"/>
    <w:rsid w:val="00FC5D56"/>
    <w:rsid w:val="00FC5D57"/>
    <w:rsid w:val="00FC5DC9"/>
    <w:rsid w:val="00FC5E47"/>
    <w:rsid w:val="00FC5EC4"/>
    <w:rsid w:val="00FC5F72"/>
    <w:rsid w:val="00FC5FC0"/>
    <w:rsid w:val="00FC613B"/>
    <w:rsid w:val="00FC614B"/>
    <w:rsid w:val="00FC616F"/>
    <w:rsid w:val="00FC6172"/>
    <w:rsid w:val="00FC619E"/>
    <w:rsid w:val="00FC619F"/>
    <w:rsid w:val="00FC61AC"/>
    <w:rsid w:val="00FC620C"/>
    <w:rsid w:val="00FC6251"/>
    <w:rsid w:val="00FC62C8"/>
    <w:rsid w:val="00FC634D"/>
    <w:rsid w:val="00FC6382"/>
    <w:rsid w:val="00FC6387"/>
    <w:rsid w:val="00FC64FD"/>
    <w:rsid w:val="00FC6504"/>
    <w:rsid w:val="00FC65CB"/>
    <w:rsid w:val="00FC6661"/>
    <w:rsid w:val="00FC6688"/>
    <w:rsid w:val="00FC6795"/>
    <w:rsid w:val="00FC68B7"/>
    <w:rsid w:val="00FC6906"/>
    <w:rsid w:val="00FC6910"/>
    <w:rsid w:val="00FC6B0C"/>
    <w:rsid w:val="00FC6BCA"/>
    <w:rsid w:val="00FC6D2D"/>
    <w:rsid w:val="00FC6DB6"/>
    <w:rsid w:val="00FC6E8D"/>
    <w:rsid w:val="00FC6EB6"/>
    <w:rsid w:val="00FC6EEC"/>
    <w:rsid w:val="00FC6F3D"/>
    <w:rsid w:val="00FC6F84"/>
    <w:rsid w:val="00FC6FB1"/>
    <w:rsid w:val="00FC6FFA"/>
    <w:rsid w:val="00FC7073"/>
    <w:rsid w:val="00FC70EE"/>
    <w:rsid w:val="00FC71D5"/>
    <w:rsid w:val="00FC7225"/>
    <w:rsid w:val="00FC73F4"/>
    <w:rsid w:val="00FC741D"/>
    <w:rsid w:val="00FC7499"/>
    <w:rsid w:val="00FC7515"/>
    <w:rsid w:val="00FC75B6"/>
    <w:rsid w:val="00FC75D8"/>
    <w:rsid w:val="00FC7665"/>
    <w:rsid w:val="00FC77EB"/>
    <w:rsid w:val="00FC78D1"/>
    <w:rsid w:val="00FC78DD"/>
    <w:rsid w:val="00FC78F9"/>
    <w:rsid w:val="00FC7942"/>
    <w:rsid w:val="00FC7980"/>
    <w:rsid w:val="00FC798B"/>
    <w:rsid w:val="00FC7A43"/>
    <w:rsid w:val="00FC7A8B"/>
    <w:rsid w:val="00FC7B5B"/>
    <w:rsid w:val="00FC7D35"/>
    <w:rsid w:val="00FC7D3D"/>
    <w:rsid w:val="00FC7D57"/>
    <w:rsid w:val="00FC7D91"/>
    <w:rsid w:val="00FC7F1B"/>
    <w:rsid w:val="00FC7F6C"/>
    <w:rsid w:val="00FC7F7A"/>
    <w:rsid w:val="00FC7F8A"/>
    <w:rsid w:val="00FD014D"/>
    <w:rsid w:val="00FD0264"/>
    <w:rsid w:val="00FD031A"/>
    <w:rsid w:val="00FD031C"/>
    <w:rsid w:val="00FD0389"/>
    <w:rsid w:val="00FD04F7"/>
    <w:rsid w:val="00FD05A2"/>
    <w:rsid w:val="00FD05EB"/>
    <w:rsid w:val="00FD0681"/>
    <w:rsid w:val="00FD06EB"/>
    <w:rsid w:val="00FD0781"/>
    <w:rsid w:val="00FD07AF"/>
    <w:rsid w:val="00FD07F4"/>
    <w:rsid w:val="00FD0869"/>
    <w:rsid w:val="00FD0962"/>
    <w:rsid w:val="00FD0A47"/>
    <w:rsid w:val="00FD0A65"/>
    <w:rsid w:val="00FD0B1B"/>
    <w:rsid w:val="00FD0BCD"/>
    <w:rsid w:val="00FD0D63"/>
    <w:rsid w:val="00FD0D7B"/>
    <w:rsid w:val="00FD0D92"/>
    <w:rsid w:val="00FD0D97"/>
    <w:rsid w:val="00FD0F75"/>
    <w:rsid w:val="00FD0F79"/>
    <w:rsid w:val="00FD100B"/>
    <w:rsid w:val="00FD1090"/>
    <w:rsid w:val="00FD1149"/>
    <w:rsid w:val="00FD123F"/>
    <w:rsid w:val="00FD1244"/>
    <w:rsid w:val="00FD124A"/>
    <w:rsid w:val="00FD1398"/>
    <w:rsid w:val="00FD1592"/>
    <w:rsid w:val="00FD15EA"/>
    <w:rsid w:val="00FD160F"/>
    <w:rsid w:val="00FD16E7"/>
    <w:rsid w:val="00FD17BB"/>
    <w:rsid w:val="00FD184F"/>
    <w:rsid w:val="00FD1910"/>
    <w:rsid w:val="00FD19E1"/>
    <w:rsid w:val="00FD1A1A"/>
    <w:rsid w:val="00FD1AFD"/>
    <w:rsid w:val="00FD1B25"/>
    <w:rsid w:val="00FD1B8B"/>
    <w:rsid w:val="00FD1BB7"/>
    <w:rsid w:val="00FD1C18"/>
    <w:rsid w:val="00FD1C2D"/>
    <w:rsid w:val="00FD1DDA"/>
    <w:rsid w:val="00FD1E7D"/>
    <w:rsid w:val="00FD20A2"/>
    <w:rsid w:val="00FD21CC"/>
    <w:rsid w:val="00FD2403"/>
    <w:rsid w:val="00FD24E7"/>
    <w:rsid w:val="00FD24F3"/>
    <w:rsid w:val="00FD2676"/>
    <w:rsid w:val="00FD2695"/>
    <w:rsid w:val="00FD27D6"/>
    <w:rsid w:val="00FD29EE"/>
    <w:rsid w:val="00FD2A3F"/>
    <w:rsid w:val="00FD2A59"/>
    <w:rsid w:val="00FD2A69"/>
    <w:rsid w:val="00FD2ABC"/>
    <w:rsid w:val="00FD2ABE"/>
    <w:rsid w:val="00FD2B12"/>
    <w:rsid w:val="00FD2B1C"/>
    <w:rsid w:val="00FD2B76"/>
    <w:rsid w:val="00FD2D66"/>
    <w:rsid w:val="00FD2E27"/>
    <w:rsid w:val="00FD2EF5"/>
    <w:rsid w:val="00FD2FCD"/>
    <w:rsid w:val="00FD2FF4"/>
    <w:rsid w:val="00FD304E"/>
    <w:rsid w:val="00FD3078"/>
    <w:rsid w:val="00FD30B0"/>
    <w:rsid w:val="00FD30DE"/>
    <w:rsid w:val="00FD3211"/>
    <w:rsid w:val="00FD325A"/>
    <w:rsid w:val="00FD32CF"/>
    <w:rsid w:val="00FD32D5"/>
    <w:rsid w:val="00FD32D8"/>
    <w:rsid w:val="00FD32FB"/>
    <w:rsid w:val="00FD3343"/>
    <w:rsid w:val="00FD33CF"/>
    <w:rsid w:val="00FD33FF"/>
    <w:rsid w:val="00FD343C"/>
    <w:rsid w:val="00FD3446"/>
    <w:rsid w:val="00FD348E"/>
    <w:rsid w:val="00FD34BF"/>
    <w:rsid w:val="00FD35E9"/>
    <w:rsid w:val="00FD35F8"/>
    <w:rsid w:val="00FD364A"/>
    <w:rsid w:val="00FD3651"/>
    <w:rsid w:val="00FD3672"/>
    <w:rsid w:val="00FD3717"/>
    <w:rsid w:val="00FD3785"/>
    <w:rsid w:val="00FD3987"/>
    <w:rsid w:val="00FD3A59"/>
    <w:rsid w:val="00FD3ADD"/>
    <w:rsid w:val="00FD3B2B"/>
    <w:rsid w:val="00FD3CA1"/>
    <w:rsid w:val="00FD3D78"/>
    <w:rsid w:val="00FD3D8C"/>
    <w:rsid w:val="00FD3DE3"/>
    <w:rsid w:val="00FD3E7E"/>
    <w:rsid w:val="00FD3FD2"/>
    <w:rsid w:val="00FD410E"/>
    <w:rsid w:val="00FD41E9"/>
    <w:rsid w:val="00FD41FC"/>
    <w:rsid w:val="00FD42E2"/>
    <w:rsid w:val="00FD446E"/>
    <w:rsid w:val="00FD44AB"/>
    <w:rsid w:val="00FD4585"/>
    <w:rsid w:val="00FD459E"/>
    <w:rsid w:val="00FD46BC"/>
    <w:rsid w:val="00FD46D3"/>
    <w:rsid w:val="00FD4716"/>
    <w:rsid w:val="00FD4782"/>
    <w:rsid w:val="00FD4883"/>
    <w:rsid w:val="00FD4886"/>
    <w:rsid w:val="00FD4980"/>
    <w:rsid w:val="00FD499F"/>
    <w:rsid w:val="00FD4B89"/>
    <w:rsid w:val="00FD4BD2"/>
    <w:rsid w:val="00FD4D3E"/>
    <w:rsid w:val="00FD4F96"/>
    <w:rsid w:val="00FD4FB8"/>
    <w:rsid w:val="00FD512D"/>
    <w:rsid w:val="00FD5199"/>
    <w:rsid w:val="00FD53A6"/>
    <w:rsid w:val="00FD53BF"/>
    <w:rsid w:val="00FD54B9"/>
    <w:rsid w:val="00FD55D1"/>
    <w:rsid w:val="00FD5605"/>
    <w:rsid w:val="00FD568A"/>
    <w:rsid w:val="00FD56E3"/>
    <w:rsid w:val="00FD5810"/>
    <w:rsid w:val="00FD5836"/>
    <w:rsid w:val="00FD58C0"/>
    <w:rsid w:val="00FD5902"/>
    <w:rsid w:val="00FD5928"/>
    <w:rsid w:val="00FD5981"/>
    <w:rsid w:val="00FD5985"/>
    <w:rsid w:val="00FD59EC"/>
    <w:rsid w:val="00FD5A4F"/>
    <w:rsid w:val="00FD5A8B"/>
    <w:rsid w:val="00FD5B91"/>
    <w:rsid w:val="00FD5BF7"/>
    <w:rsid w:val="00FD5C63"/>
    <w:rsid w:val="00FD5D5C"/>
    <w:rsid w:val="00FD5D6F"/>
    <w:rsid w:val="00FD5DF6"/>
    <w:rsid w:val="00FD5E58"/>
    <w:rsid w:val="00FD5E76"/>
    <w:rsid w:val="00FD5F3F"/>
    <w:rsid w:val="00FD6033"/>
    <w:rsid w:val="00FD6091"/>
    <w:rsid w:val="00FD60F5"/>
    <w:rsid w:val="00FD618D"/>
    <w:rsid w:val="00FD61BE"/>
    <w:rsid w:val="00FD61D3"/>
    <w:rsid w:val="00FD61D4"/>
    <w:rsid w:val="00FD620A"/>
    <w:rsid w:val="00FD6236"/>
    <w:rsid w:val="00FD6295"/>
    <w:rsid w:val="00FD62A6"/>
    <w:rsid w:val="00FD6338"/>
    <w:rsid w:val="00FD6497"/>
    <w:rsid w:val="00FD64B8"/>
    <w:rsid w:val="00FD655F"/>
    <w:rsid w:val="00FD65A9"/>
    <w:rsid w:val="00FD65E5"/>
    <w:rsid w:val="00FD6622"/>
    <w:rsid w:val="00FD6670"/>
    <w:rsid w:val="00FD66CD"/>
    <w:rsid w:val="00FD6767"/>
    <w:rsid w:val="00FD67AE"/>
    <w:rsid w:val="00FD67BC"/>
    <w:rsid w:val="00FD682D"/>
    <w:rsid w:val="00FD6882"/>
    <w:rsid w:val="00FD688B"/>
    <w:rsid w:val="00FD6928"/>
    <w:rsid w:val="00FD6A02"/>
    <w:rsid w:val="00FD6A3E"/>
    <w:rsid w:val="00FD6B90"/>
    <w:rsid w:val="00FD6DBB"/>
    <w:rsid w:val="00FD6E3B"/>
    <w:rsid w:val="00FD6E3C"/>
    <w:rsid w:val="00FD6E4F"/>
    <w:rsid w:val="00FD6E60"/>
    <w:rsid w:val="00FD6E6A"/>
    <w:rsid w:val="00FD6E82"/>
    <w:rsid w:val="00FD6EFE"/>
    <w:rsid w:val="00FD6FAE"/>
    <w:rsid w:val="00FD7006"/>
    <w:rsid w:val="00FD714A"/>
    <w:rsid w:val="00FD71F6"/>
    <w:rsid w:val="00FD723F"/>
    <w:rsid w:val="00FD72D3"/>
    <w:rsid w:val="00FD7356"/>
    <w:rsid w:val="00FD7370"/>
    <w:rsid w:val="00FD73A2"/>
    <w:rsid w:val="00FD74C5"/>
    <w:rsid w:val="00FD74C6"/>
    <w:rsid w:val="00FD74DC"/>
    <w:rsid w:val="00FD7531"/>
    <w:rsid w:val="00FD7751"/>
    <w:rsid w:val="00FD7780"/>
    <w:rsid w:val="00FD77D4"/>
    <w:rsid w:val="00FD77F4"/>
    <w:rsid w:val="00FD7836"/>
    <w:rsid w:val="00FD7860"/>
    <w:rsid w:val="00FD78BA"/>
    <w:rsid w:val="00FD7963"/>
    <w:rsid w:val="00FD79C7"/>
    <w:rsid w:val="00FD7BE8"/>
    <w:rsid w:val="00FD7C18"/>
    <w:rsid w:val="00FD7C4F"/>
    <w:rsid w:val="00FD7E30"/>
    <w:rsid w:val="00FD7F88"/>
    <w:rsid w:val="00FD7FC4"/>
    <w:rsid w:val="00FE00CB"/>
    <w:rsid w:val="00FE00DB"/>
    <w:rsid w:val="00FE0112"/>
    <w:rsid w:val="00FE01AA"/>
    <w:rsid w:val="00FE0279"/>
    <w:rsid w:val="00FE02F6"/>
    <w:rsid w:val="00FE0312"/>
    <w:rsid w:val="00FE03DC"/>
    <w:rsid w:val="00FE056C"/>
    <w:rsid w:val="00FE0795"/>
    <w:rsid w:val="00FE08F6"/>
    <w:rsid w:val="00FE09E8"/>
    <w:rsid w:val="00FE0A01"/>
    <w:rsid w:val="00FE0A2B"/>
    <w:rsid w:val="00FE0AFE"/>
    <w:rsid w:val="00FE0C56"/>
    <w:rsid w:val="00FE0C87"/>
    <w:rsid w:val="00FE0C95"/>
    <w:rsid w:val="00FE0D1D"/>
    <w:rsid w:val="00FE0D2B"/>
    <w:rsid w:val="00FE0D7D"/>
    <w:rsid w:val="00FE0E18"/>
    <w:rsid w:val="00FE0E33"/>
    <w:rsid w:val="00FE0E77"/>
    <w:rsid w:val="00FE0E87"/>
    <w:rsid w:val="00FE0F00"/>
    <w:rsid w:val="00FE0FDC"/>
    <w:rsid w:val="00FE10EB"/>
    <w:rsid w:val="00FE136A"/>
    <w:rsid w:val="00FE13A7"/>
    <w:rsid w:val="00FE13D5"/>
    <w:rsid w:val="00FE158D"/>
    <w:rsid w:val="00FE175C"/>
    <w:rsid w:val="00FE179B"/>
    <w:rsid w:val="00FE17C0"/>
    <w:rsid w:val="00FE19AB"/>
    <w:rsid w:val="00FE1A0F"/>
    <w:rsid w:val="00FE1A2D"/>
    <w:rsid w:val="00FE1C31"/>
    <w:rsid w:val="00FE2021"/>
    <w:rsid w:val="00FE202C"/>
    <w:rsid w:val="00FE205F"/>
    <w:rsid w:val="00FE218E"/>
    <w:rsid w:val="00FE21CA"/>
    <w:rsid w:val="00FE2200"/>
    <w:rsid w:val="00FE2211"/>
    <w:rsid w:val="00FE2326"/>
    <w:rsid w:val="00FE2354"/>
    <w:rsid w:val="00FE242C"/>
    <w:rsid w:val="00FE2432"/>
    <w:rsid w:val="00FE24F2"/>
    <w:rsid w:val="00FE2557"/>
    <w:rsid w:val="00FE25D4"/>
    <w:rsid w:val="00FE25F1"/>
    <w:rsid w:val="00FE2656"/>
    <w:rsid w:val="00FE26AA"/>
    <w:rsid w:val="00FE26D2"/>
    <w:rsid w:val="00FE26E9"/>
    <w:rsid w:val="00FE26EA"/>
    <w:rsid w:val="00FE272D"/>
    <w:rsid w:val="00FE2783"/>
    <w:rsid w:val="00FE28C6"/>
    <w:rsid w:val="00FE295D"/>
    <w:rsid w:val="00FE2971"/>
    <w:rsid w:val="00FE2973"/>
    <w:rsid w:val="00FE2A58"/>
    <w:rsid w:val="00FE2A86"/>
    <w:rsid w:val="00FE2A8B"/>
    <w:rsid w:val="00FE2B14"/>
    <w:rsid w:val="00FE2B1F"/>
    <w:rsid w:val="00FE2BB4"/>
    <w:rsid w:val="00FE2C24"/>
    <w:rsid w:val="00FE2C4C"/>
    <w:rsid w:val="00FE2C5F"/>
    <w:rsid w:val="00FE2CFE"/>
    <w:rsid w:val="00FE2E18"/>
    <w:rsid w:val="00FE2F6D"/>
    <w:rsid w:val="00FE3001"/>
    <w:rsid w:val="00FE307A"/>
    <w:rsid w:val="00FE32D4"/>
    <w:rsid w:val="00FE3332"/>
    <w:rsid w:val="00FE3385"/>
    <w:rsid w:val="00FE33AD"/>
    <w:rsid w:val="00FE3466"/>
    <w:rsid w:val="00FE347C"/>
    <w:rsid w:val="00FE34B2"/>
    <w:rsid w:val="00FE34D1"/>
    <w:rsid w:val="00FE34F8"/>
    <w:rsid w:val="00FE352D"/>
    <w:rsid w:val="00FE356A"/>
    <w:rsid w:val="00FE35DE"/>
    <w:rsid w:val="00FE360D"/>
    <w:rsid w:val="00FE3771"/>
    <w:rsid w:val="00FE37E1"/>
    <w:rsid w:val="00FE3956"/>
    <w:rsid w:val="00FE39E8"/>
    <w:rsid w:val="00FE3B8E"/>
    <w:rsid w:val="00FE3BAA"/>
    <w:rsid w:val="00FE3BCB"/>
    <w:rsid w:val="00FE3BDE"/>
    <w:rsid w:val="00FE3BE0"/>
    <w:rsid w:val="00FE3BFF"/>
    <w:rsid w:val="00FE3C1A"/>
    <w:rsid w:val="00FE3D6C"/>
    <w:rsid w:val="00FE3E52"/>
    <w:rsid w:val="00FE3EE9"/>
    <w:rsid w:val="00FE4091"/>
    <w:rsid w:val="00FE40AE"/>
    <w:rsid w:val="00FE4153"/>
    <w:rsid w:val="00FE4373"/>
    <w:rsid w:val="00FE4476"/>
    <w:rsid w:val="00FE4487"/>
    <w:rsid w:val="00FE458D"/>
    <w:rsid w:val="00FE459D"/>
    <w:rsid w:val="00FE4605"/>
    <w:rsid w:val="00FE4738"/>
    <w:rsid w:val="00FE47A2"/>
    <w:rsid w:val="00FE47A3"/>
    <w:rsid w:val="00FE488B"/>
    <w:rsid w:val="00FE4986"/>
    <w:rsid w:val="00FE49A2"/>
    <w:rsid w:val="00FE4A43"/>
    <w:rsid w:val="00FE4A6F"/>
    <w:rsid w:val="00FE4AB4"/>
    <w:rsid w:val="00FE4B42"/>
    <w:rsid w:val="00FE4C04"/>
    <w:rsid w:val="00FE4C22"/>
    <w:rsid w:val="00FE4C59"/>
    <w:rsid w:val="00FE4EAE"/>
    <w:rsid w:val="00FE4EEE"/>
    <w:rsid w:val="00FE4F49"/>
    <w:rsid w:val="00FE4F8A"/>
    <w:rsid w:val="00FE4FCE"/>
    <w:rsid w:val="00FE5014"/>
    <w:rsid w:val="00FE50A5"/>
    <w:rsid w:val="00FE50A8"/>
    <w:rsid w:val="00FE50D7"/>
    <w:rsid w:val="00FE536F"/>
    <w:rsid w:val="00FE53C4"/>
    <w:rsid w:val="00FE546E"/>
    <w:rsid w:val="00FE54DF"/>
    <w:rsid w:val="00FE5509"/>
    <w:rsid w:val="00FE553C"/>
    <w:rsid w:val="00FE55C9"/>
    <w:rsid w:val="00FE5746"/>
    <w:rsid w:val="00FE57E1"/>
    <w:rsid w:val="00FE57F4"/>
    <w:rsid w:val="00FE582D"/>
    <w:rsid w:val="00FE5848"/>
    <w:rsid w:val="00FE5997"/>
    <w:rsid w:val="00FE5A72"/>
    <w:rsid w:val="00FE5B7D"/>
    <w:rsid w:val="00FE5C3A"/>
    <w:rsid w:val="00FE5C4B"/>
    <w:rsid w:val="00FE5C53"/>
    <w:rsid w:val="00FE5CB7"/>
    <w:rsid w:val="00FE5D68"/>
    <w:rsid w:val="00FE5D9D"/>
    <w:rsid w:val="00FE5DD5"/>
    <w:rsid w:val="00FE5F71"/>
    <w:rsid w:val="00FE5FFF"/>
    <w:rsid w:val="00FE6085"/>
    <w:rsid w:val="00FE6127"/>
    <w:rsid w:val="00FE61D9"/>
    <w:rsid w:val="00FE6213"/>
    <w:rsid w:val="00FE6216"/>
    <w:rsid w:val="00FE6255"/>
    <w:rsid w:val="00FE62E2"/>
    <w:rsid w:val="00FE63CD"/>
    <w:rsid w:val="00FE6415"/>
    <w:rsid w:val="00FE6425"/>
    <w:rsid w:val="00FE64AF"/>
    <w:rsid w:val="00FE64DB"/>
    <w:rsid w:val="00FE6535"/>
    <w:rsid w:val="00FE6548"/>
    <w:rsid w:val="00FE6549"/>
    <w:rsid w:val="00FE6567"/>
    <w:rsid w:val="00FE65B7"/>
    <w:rsid w:val="00FE65C5"/>
    <w:rsid w:val="00FE65E5"/>
    <w:rsid w:val="00FE6633"/>
    <w:rsid w:val="00FE6650"/>
    <w:rsid w:val="00FE6703"/>
    <w:rsid w:val="00FE6810"/>
    <w:rsid w:val="00FE6AC7"/>
    <w:rsid w:val="00FE6B5D"/>
    <w:rsid w:val="00FE6B9B"/>
    <w:rsid w:val="00FE6C25"/>
    <w:rsid w:val="00FE6D3D"/>
    <w:rsid w:val="00FE6DA7"/>
    <w:rsid w:val="00FE6DF7"/>
    <w:rsid w:val="00FE6EE2"/>
    <w:rsid w:val="00FE6FDB"/>
    <w:rsid w:val="00FE7092"/>
    <w:rsid w:val="00FE715A"/>
    <w:rsid w:val="00FE71D9"/>
    <w:rsid w:val="00FE7290"/>
    <w:rsid w:val="00FE7350"/>
    <w:rsid w:val="00FE7353"/>
    <w:rsid w:val="00FE7408"/>
    <w:rsid w:val="00FE7420"/>
    <w:rsid w:val="00FE7446"/>
    <w:rsid w:val="00FE7452"/>
    <w:rsid w:val="00FE745A"/>
    <w:rsid w:val="00FE74A4"/>
    <w:rsid w:val="00FE75A1"/>
    <w:rsid w:val="00FE75D4"/>
    <w:rsid w:val="00FE75EB"/>
    <w:rsid w:val="00FE76A8"/>
    <w:rsid w:val="00FE76B6"/>
    <w:rsid w:val="00FE7726"/>
    <w:rsid w:val="00FE7729"/>
    <w:rsid w:val="00FE77EF"/>
    <w:rsid w:val="00FE77FE"/>
    <w:rsid w:val="00FE7878"/>
    <w:rsid w:val="00FE78ED"/>
    <w:rsid w:val="00FE790F"/>
    <w:rsid w:val="00FE797E"/>
    <w:rsid w:val="00FE79A5"/>
    <w:rsid w:val="00FE7ABE"/>
    <w:rsid w:val="00FE7BC8"/>
    <w:rsid w:val="00FE7CFF"/>
    <w:rsid w:val="00FE7DE7"/>
    <w:rsid w:val="00FE7E3D"/>
    <w:rsid w:val="00FE7EEF"/>
    <w:rsid w:val="00FE7EF7"/>
    <w:rsid w:val="00FE7F40"/>
    <w:rsid w:val="00FE7F83"/>
    <w:rsid w:val="00FE7FC2"/>
    <w:rsid w:val="00FF0004"/>
    <w:rsid w:val="00FF003B"/>
    <w:rsid w:val="00FF0196"/>
    <w:rsid w:val="00FF02C9"/>
    <w:rsid w:val="00FF02CF"/>
    <w:rsid w:val="00FF0349"/>
    <w:rsid w:val="00FF037F"/>
    <w:rsid w:val="00FF0475"/>
    <w:rsid w:val="00FF0532"/>
    <w:rsid w:val="00FF05ED"/>
    <w:rsid w:val="00FF05F0"/>
    <w:rsid w:val="00FF06FF"/>
    <w:rsid w:val="00FF07BE"/>
    <w:rsid w:val="00FF07EA"/>
    <w:rsid w:val="00FF08B9"/>
    <w:rsid w:val="00FF0959"/>
    <w:rsid w:val="00FF095F"/>
    <w:rsid w:val="00FF0A60"/>
    <w:rsid w:val="00FF0B59"/>
    <w:rsid w:val="00FF0BAB"/>
    <w:rsid w:val="00FF0BEE"/>
    <w:rsid w:val="00FF0C78"/>
    <w:rsid w:val="00FF0C84"/>
    <w:rsid w:val="00FF0DB2"/>
    <w:rsid w:val="00FF0EC0"/>
    <w:rsid w:val="00FF0ECC"/>
    <w:rsid w:val="00FF0F20"/>
    <w:rsid w:val="00FF112B"/>
    <w:rsid w:val="00FF11EB"/>
    <w:rsid w:val="00FF12F0"/>
    <w:rsid w:val="00FF1349"/>
    <w:rsid w:val="00FF1466"/>
    <w:rsid w:val="00FF151E"/>
    <w:rsid w:val="00FF18CD"/>
    <w:rsid w:val="00FF18EA"/>
    <w:rsid w:val="00FF1969"/>
    <w:rsid w:val="00FF198D"/>
    <w:rsid w:val="00FF1990"/>
    <w:rsid w:val="00FF1A81"/>
    <w:rsid w:val="00FF1AD2"/>
    <w:rsid w:val="00FF1B56"/>
    <w:rsid w:val="00FF1BA0"/>
    <w:rsid w:val="00FF1BA1"/>
    <w:rsid w:val="00FF1BC2"/>
    <w:rsid w:val="00FF1BC8"/>
    <w:rsid w:val="00FF1D72"/>
    <w:rsid w:val="00FF1DA9"/>
    <w:rsid w:val="00FF1E75"/>
    <w:rsid w:val="00FF1EED"/>
    <w:rsid w:val="00FF1F99"/>
    <w:rsid w:val="00FF203C"/>
    <w:rsid w:val="00FF20F3"/>
    <w:rsid w:val="00FF2107"/>
    <w:rsid w:val="00FF216C"/>
    <w:rsid w:val="00FF2320"/>
    <w:rsid w:val="00FF2451"/>
    <w:rsid w:val="00FF24A3"/>
    <w:rsid w:val="00FF24A9"/>
    <w:rsid w:val="00FF2515"/>
    <w:rsid w:val="00FF25F6"/>
    <w:rsid w:val="00FF266A"/>
    <w:rsid w:val="00FF270C"/>
    <w:rsid w:val="00FF2720"/>
    <w:rsid w:val="00FF27A1"/>
    <w:rsid w:val="00FF281A"/>
    <w:rsid w:val="00FF2829"/>
    <w:rsid w:val="00FF28DB"/>
    <w:rsid w:val="00FF2905"/>
    <w:rsid w:val="00FF2B01"/>
    <w:rsid w:val="00FF2B5F"/>
    <w:rsid w:val="00FF2B63"/>
    <w:rsid w:val="00FF2C41"/>
    <w:rsid w:val="00FF2C8F"/>
    <w:rsid w:val="00FF2E48"/>
    <w:rsid w:val="00FF2F38"/>
    <w:rsid w:val="00FF2F73"/>
    <w:rsid w:val="00FF2FAA"/>
    <w:rsid w:val="00FF3090"/>
    <w:rsid w:val="00FF312F"/>
    <w:rsid w:val="00FF3146"/>
    <w:rsid w:val="00FF31EC"/>
    <w:rsid w:val="00FF32A4"/>
    <w:rsid w:val="00FF33A7"/>
    <w:rsid w:val="00FF3402"/>
    <w:rsid w:val="00FF344A"/>
    <w:rsid w:val="00FF345F"/>
    <w:rsid w:val="00FF34FD"/>
    <w:rsid w:val="00FF3504"/>
    <w:rsid w:val="00FF3619"/>
    <w:rsid w:val="00FF36AE"/>
    <w:rsid w:val="00FF3720"/>
    <w:rsid w:val="00FF3858"/>
    <w:rsid w:val="00FF3880"/>
    <w:rsid w:val="00FF3891"/>
    <w:rsid w:val="00FF38A4"/>
    <w:rsid w:val="00FF396A"/>
    <w:rsid w:val="00FF39FC"/>
    <w:rsid w:val="00FF3A25"/>
    <w:rsid w:val="00FF3A5D"/>
    <w:rsid w:val="00FF3BE3"/>
    <w:rsid w:val="00FF3C72"/>
    <w:rsid w:val="00FF3CA4"/>
    <w:rsid w:val="00FF3D09"/>
    <w:rsid w:val="00FF3DEF"/>
    <w:rsid w:val="00FF3E08"/>
    <w:rsid w:val="00FF3ECC"/>
    <w:rsid w:val="00FF3F1A"/>
    <w:rsid w:val="00FF3F36"/>
    <w:rsid w:val="00FF3F9E"/>
    <w:rsid w:val="00FF3FE9"/>
    <w:rsid w:val="00FF4005"/>
    <w:rsid w:val="00FF4046"/>
    <w:rsid w:val="00FF4136"/>
    <w:rsid w:val="00FF4173"/>
    <w:rsid w:val="00FF41F5"/>
    <w:rsid w:val="00FF41FF"/>
    <w:rsid w:val="00FF4233"/>
    <w:rsid w:val="00FF4234"/>
    <w:rsid w:val="00FF4267"/>
    <w:rsid w:val="00FF42FC"/>
    <w:rsid w:val="00FF438A"/>
    <w:rsid w:val="00FF43BD"/>
    <w:rsid w:val="00FF43EF"/>
    <w:rsid w:val="00FF44D0"/>
    <w:rsid w:val="00FF44E4"/>
    <w:rsid w:val="00FF44F7"/>
    <w:rsid w:val="00FF4531"/>
    <w:rsid w:val="00FF4535"/>
    <w:rsid w:val="00FF45BA"/>
    <w:rsid w:val="00FF45C6"/>
    <w:rsid w:val="00FF45F8"/>
    <w:rsid w:val="00FF4683"/>
    <w:rsid w:val="00FF4698"/>
    <w:rsid w:val="00FF46FC"/>
    <w:rsid w:val="00FF487D"/>
    <w:rsid w:val="00FF48FB"/>
    <w:rsid w:val="00FF4907"/>
    <w:rsid w:val="00FF4957"/>
    <w:rsid w:val="00FF4A1F"/>
    <w:rsid w:val="00FF4AD5"/>
    <w:rsid w:val="00FF4B01"/>
    <w:rsid w:val="00FF4C40"/>
    <w:rsid w:val="00FF4C7E"/>
    <w:rsid w:val="00FF4D4F"/>
    <w:rsid w:val="00FF4DB1"/>
    <w:rsid w:val="00FF4DEB"/>
    <w:rsid w:val="00FF4E76"/>
    <w:rsid w:val="00FF4E9A"/>
    <w:rsid w:val="00FF4F53"/>
    <w:rsid w:val="00FF503C"/>
    <w:rsid w:val="00FF5144"/>
    <w:rsid w:val="00FF5175"/>
    <w:rsid w:val="00FF519C"/>
    <w:rsid w:val="00FF5278"/>
    <w:rsid w:val="00FF52E4"/>
    <w:rsid w:val="00FF5320"/>
    <w:rsid w:val="00FF5362"/>
    <w:rsid w:val="00FF5370"/>
    <w:rsid w:val="00FF540E"/>
    <w:rsid w:val="00FF5415"/>
    <w:rsid w:val="00FF5447"/>
    <w:rsid w:val="00FF54FC"/>
    <w:rsid w:val="00FF556E"/>
    <w:rsid w:val="00FF55BD"/>
    <w:rsid w:val="00FF55ED"/>
    <w:rsid w:val="00FF5707"/>
    <w:rsid w:val="00FF574D"/>
    <w:rsid w:val="00FF57F4"/>
    <w:rsid w:val="00FF5804"/>
    <w:rsid w:val="00FF5867"/>
    <w:rsid w:val="00FF586D"/>
    <w:rsid w:val="00FF58BF"/>
    <w:rsid w:val="00FF592D"/>
    <w:rsid w:val="00FF593A"/>
    <w:rsid w:val="00FF594D"/>
    <w:rsid w:val="00FF59E5"/>
    <w:rsid w:val="00FF5BCC"/>
    <w:rsid w:val="00FF5C18"/>
    <w:rsid w:val="00FF5CA8"/>
    <w:rsid w:val="00FF5E4E"/>
    <w:rsid w:val="00FF5EB9"/>
    <w:rsid w:val="00FF5F27"/>
    <w:rsid w:val="00FF5FB2"/>
    <w:rsid w:val="00FF5FB3"/>
    <w:rsid w:val="00FF5FCF"/>
    <w:rsid w:val="00FF5FD2"/>
    <w:rsid w:val="00FF6020"/>
    <w:rsid w:val="00FF6030"/>
    <w:rsid w:val="00FF6046"/>
    <w:rsid w:val="00FF60DF"/>
    <w:rsid w:val="00FF61D6"/>
    <w:rsid w:val="00FF6202"/>
    <w:rsid w:val="00FF6258"/>
    <w:rsid w:val="00FF62D3"/>
    <w:rsid w:val="00FF64B2"/>
    <w:rsid w:val="00FF6531"/>
    <w:rsid w:val="00FF6557"/>
    <w:rsid w:val="00FF6659"/>
    <w:rsid w:val="00FF67F0"/>
    <w:rsid w:val="00FF6805"/>
    <w:rsid w:val="00FF6862"/>
    <w:rsid w:val="00FF68A5"/>
    <w:rsid w:val="00FF68E9"/>
    <w:rsid w:val="00FF6912"/>
    <w:rsid w:val="00FF6927"/>
    <w:rsid w:val="00FF692D"/>
    <w:rsid w:val="00FF6949"/>
    <w:rsid w:val="00FF69CC"/>
    <w:rsid w:val="00FF6A09"/>
    <w:rsid w:val="00FF6A23"/>
    <w:rsid w:val="00FF6A51"/>
    <w:rsid w:val="00FF6A79"/>
    <w:rsid w:val="00FF6AF6"/>
    <w:rsid w:val="00FF6B23"/>
    <w:rsid w:val="00FF6BCB"/>
    <w:rsid w:val="00FF6CE4"/>
    <w:rsid w:val="00FF6CFF"/>
    <w:rsid w:val="00FF6D27"/>
    <w:rsid w:val="00FF6DE6"/>
    <w:rsid w:val="00FF6EAE"/>
    <w:rsid w:val="00FF6F75"/>
    <w:rsid w:val="00FF6FAD"/>
    <w:rsid w:val="00FF70CB"/>
    <w:rsid w:val="00FF7128"/>
    <w:rsid w:val="00FF7134"/>
    <w:rsid w:val="00FF722D"/>
    <w:rsid w:val="00FF737E"/>
    <w:rsid w:val="00FF7419"/>
    <w:rsid w:val="00FF74A6"/>
    <w:rsid w:val="00FF74C4"/>
    <w:rsid w:val="00FF74E6"/>
    <w:rsid w:val="00FF754E"/>
    <w:rsid w:val="00FF7592"/>
    <w:rsid w:val="00FF75A5"/>
    <w:rsid w:val="00FF7608"/>
    <w:rsid w:val="00FF7618"/>
    <w:rsid w:val="00FF766B"/>
    <w:rsid w:val="00FF7796"/>
    <w:rsid w:val="00FF77F9"/>
    <w:rsid w:val="00FF783A"/>
    <w:rsid w:val="00FF7883"/>
    <w:rsid w:val="00FF7886"/>
    <w:rsid w:val="00FF78BA"/>
    <w:rsid w:val="00FF78FB"/>
    <w:rsid w:val="00FF79AF"/>
    <w:rsid w:val="00FF7B42"/>
    <w:rsid w:val="00FF7B69"/>
    <w:rsid w:val="00FF7B9F"/>
    <w:rsid w:val="00FF7CCA"/>
    <w:rsid w:val="00FF7D35"/>
    <w:rsid w:val="00FF7D6F"/>
    <w:rsid w:val="00FF7D70"/>
    <w:rsid w:val="00FF7D7E"/>
    <w:rsid w:val="00FF7E32"/>
    <w:rsid w:val="00FF7EA0"/>
    <w:rsid w:val="00FF7EE4"/>
    <w:rsid w:val="00FF7EED"/>
    <w:rsid w:val="00FF7EF2"/>
    <w:rsid w:val="00FF7F5B"/>
    <w:rsid w:val="00FF7FE5"/>
    <w:rsid w:val="022CC2DE"/>
    <w:rsid w:val="0527955B"/>
    <w:rsid w:val="05B4360A"/>
    <w:rsid w:val="066A877F"/>
    <w:rsid w:val="068BE82A"/>
    <w:rsid w:val="08594005"/>
    <w:rsid w:val="0B0DB6CD"/>
    <w:rsid w:val="0B7381FD"/>
    <w:rsid w:val="0E0FE8B2"/>
    <w:rsid w:val="1008A89F"/>
    <w:rsid w:val="1008E05D"/>
    <w:rsid w:val="10FC0BD5"/>
    <w:rsid w:val="11C7E222"/>
    <w:rsid w:val="11E449FE"/>
    <w:rsid w:val="12FC1142"/>
    <w:rsid w:val="1A641D16"/>
    <w:rsid w:val="1B7015F2"/>
    <w:rsid w:val="1B76963C"/>
    <w:rsid w:val="1BD9B30D"/>
    <w:rsid w:val="1D0D353C"/>
    <w:rsid w:val="1E60904F"/>
    <w:rsid w:val="1F3B96DF"/>
    <w:rsid w:val="1F49F147"/>
    <w:rsid w:val="1FD8B92C"/>
    <w:rsid w:val="214A10C6"/>
    <w:rsid w:val="2498ACC9"/>
    <w:rsid w:val="25567B5C"/>
    <w:rsid w:val="2694C95B"/>
    <w:rsid w:val="2B578F17"/>
    <w:rsid w:val="2BFECA29"/>
    <w:rsid w:val="2C22B65F"/>
    <w:rsid w:val="2D112858"/>
    <w:rsid w:val="33C2743E"/>
    <w:rsid w:val="34BE0CBA"/>
    <w:rsid w:val="39E89665"/>
    <w:rsid w:val="3BCB50FA"/>
    <w:rsid w:val="3C34B472"/>
    <w:rsid w:val="3E811042"/>
    <w:rsid w:val="3F17F653"/>
    <w:rsid w:val="4293C5CD"/>
    <w:rsid w:val="42B09369"/>
    <w:rsid w:val="42D31B0C"/>
    <w:rsid w:val="45C5092E"/>
    <w:rsid w:val="45DB265D"/>
    <w:rsid w:val="46E14FFB"/>
    <w:rsid w:val="4B564AE3"/>
    <w:rsid w:val="4B5A19FD"/>
    <w:rsid w:val="4E3B6A5A"/>
    <w:rsid w:val="4F7C524B"/>
    <w:rsid w:val="5099741A"/>
    <w:rsid w:val="511F775C"/>
    <w:rsid w:val="51F3F45D"/>
    <w:rsid w:val="5224C8AC"/>
    <w:rsid w:val="52C0BA69"/>
    <w:rsid w:val="56707FF0"/>
    <w:rsid w:val="56FA064A"/>
    <w:rsid w:val="57E2BD21"/>
    <w:rsid w:val="584D014F"/>
    <w:rsid w:val="5A09C041"/>
    <w:rsid w:val="5A88F1AE"/>
    <w:rsid w:val="5C01D8AD"/>
    <w:rsid w:val="5E6E1EE9"/>
    <w:rsid w:val="5E8047D0"/>
    <w:rsid w:val="5F40EECC"/>
    <w:rsid w:val="5F6E9E3A"/>
    <w:rsid w:val="62912D41"/>
    <w:rsid w:val="633B5B0D"/>
    <w:rsid w:val="65BBD2BE"/>
    <w:rsid w:val="66056B82"/>
    <w:rsid w:val="672148EB"/>
    <w:rsid w:val="67F78852"/>
    <w:rsid w:val="68699E24"/>
    <w:rsid w:val="6BE7030F"/>
    <w:rsid w:val="6CBC57D9"/>
    <w:rsid w:val="6E11EB52"/>
    <w:rsid w:val="6F3061E7"/>
    <w:rsid w:val="70FC0C38"/>
    <w:rsid w:val="718F9801"/>
    <w:rsid w:val="71CF6A72"/>
    <w:rsid w:val="72E1B8AF"/>
    <w:rsid w:val="73D8A59F"/>
    <w:rsid w:val="73F9CFA9"/>
    <w:rsid w:val="75A3BB80"/>
    <w:rsid w:val="77411593"/>
    <w:rsid w:val="78051421"/>
    <w:rsid w:val="78B35E30"/>
    <w:rsid w:val="7A6630ED"/>
    <w:rsid w:val="7BD65075"/>
    <w:rsid w:val="7CDDCB4D"/>
    <w:rsid w:val="7D3511F9"/>
    <w:rsid w:val="7E9220FD"/>
    <w:rsid w:val="7EB03692"/>
    <w:rsid w:val="7EC5883A"/>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C33E5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4"/>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4"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6BCC"/>
    <w:pPr>
      <w:spacing w:after="0" w:line="240" w:lineRule="auto"/>
    </w:pPr>
    <w:rPr>
      <w:rFonts w:asciiTheme="minorHAnsi" w:hAnsiTheme="minorHAnsi"/>
      <w:sz w:val="22"/>
    </w:rPr>
  </w:style>
  <w:style w:type="paragraph" w:styleId="Heading1">
    <w:name w:val="heading 1"/>
    <w:basedOn w:val="Heading2"/>
    <w:next w:val="Para"/>
    <w:link w:val="Heading1Char"/>
    <w:uiPriority w:val="9"/>
    <w:qFormat/>
    <w:rsid w:val="004C3033"/>
    <w:pPr>
      <w:numPr>
        <w:ilvl w:val="0"/>
      </w:numPr>
      <w:spacing w:before="0"/>
      <w:outlineLvl w:val="0"/>
    </w:pPr>
    <w:rPr>
      <w:rFonts w:asciiTheme="majorHAnsi" w:hAnsiTheme="majorHAnsi"/>
      <w:sz w:val="40"/>
      <w:szCs w:val="48"/>
    </w:rPr>
  </w:style>
  <w:style w:type="paragraph" w:styleId="Heading2">
    <w:name w:val="heading 2"/>
    <w:basedOn w:val="Normal"/>
    <w:next w:val="Para"/>
    <w:link w:val="Heading2Char"/>
    <w:uiPriority w:val="9"/>
    <w:unhideWhenUsed/>
    <w:qFormat/>
    <w:rsid w:val="004F2931"/>
    <w:pPr>
      <w:keepNext/>
      <w:keepLines/>
      <w:numPr>
        <w:ilvl w:val="1"/>
        <w:numId w:val="9"/>
      </w:numPr>
      <w:tabs>
        <w:tab w:val="left" w:pos="567"/>
      </w:tabs>
      <w:spacing w:before="480"/>
      <w:outlineLvl w:val="1"/>
    </w:pPr>
    <w:rPr>
      <w:rFonts w:eastAsiaTheme="majorEastAsia" w:cstheme="majorBidi"/>
      <w:b/>
      <w:bCs/>
      <w:color w:val="005A9F" w:themeColor="text2"/>
      <w:sz w:val="32"/>
      <w:szCs w:val="28"/>
    </w:rPr>
  </w:style>
  <w:style w:type="paragraph" w:styleId="Heading3">
    <w:name w:val="heading 3"/>
    <w:basedOn w:val="Heading2"/>
    <w:next w:val="Para"/>
    <w:link w:val="Heading3Char"/>
    <w:uiPriority w:val="9"/>
    <w:unhideWhenUsed/>
    <w:qFormat/>
    <w:rsid w:val="0017176D"/>
    <w:pPr>
      <w:numPr>
        <w:ilvl w:val="2"/>
      </w:numPr>
      <w:tabs>
        <w:tab w:val="left" w:pos="851"/>
      </w:tabs>
      <w:outlineLvl w:val="2"/>
    </w:pPr>
    <w:rPr>
      <w:rFonts w:asciiTheme="majorHAnsi" w:hAnsiTheme="majorHAnsi"/>
      <w:bCs w:val="0"/>
      <w:color w:val="auto"/>
      <w:sz w:val="28"/>
      <w:szCs w:val="22"/>
    </w:rPr>
  </w:style>
  <w:style w:type="paragraph" w:styleId="Heading4">
    <w:name w:val="heading 4"/>
    <w:basedOn w:val="Heading3"/>
    <w:next w:val="Para"/>
    <w:link w:val="Heading4Char"/>
    <w:uiPriority w:val="9"/>
    <w:unhideWhenUsed/>
    <w:qFormat/>
    <w:rsid w:val="009E5D84"/>
    <w:pPr>
      <w:numPr>
        <w:ilvl w:val="3"/>
        <w:numId w:val="14"/>
      </w:numPr>
      <w:spacing w:before="360"/>
      <w:outlineLvl w:val="3"/>
    </w:pPr>
    <w:rPr>
      <w:bCs/>
      <w:iCs/>
      <w:color w:val="005A9F" w:themeColor="text2"/>
      <w:sz w:val="24"/>
    </w:rPr>
  </w:style>
  <w:style w:type="paragraph" w:styleId="Heading5">
    <w:name w:val="heading 5"/>
    <w:basedOn w:val="Normal"/>
    <w:next w:val="Para"/>
    <w:link w:val="Heading5Char"/>
    <w:uiPriority w:val="9"/>
    <w:unhideWhenUsed/>
    <w:qFormat/>
    <w:rsid w:val="003A3F56"/>
    <w:pPr>
      <w:keepNext/>
      <w:keepLines/>
      <w:numPr>
        <w:ilvl w:val="4"/>
        <w:numId w:val="15"/>
      </w:numPr>
      <w:spacing w:before="240" w:after="120"/>
      <w:outlineLvl w:val="4"/>
    </w:pPr>
    <w:rPr>
      <w:rFonts w:asciiTheme="majorHAnsi" w:eastAsiaTheme="majorEastAsia" w:hAnsiTheme="majorHAnsi" w:cstheme="majorBidi"/>
      <w:b/>
      <w:szCs w:val="22"/>
    </w:rPr>
  </w:style>
  <w:style w:type="paragraph" w:styleId="Heading6">
    <w:name w:val="heading 6"/>
    <w:basedOn w:val="Normal"/>
    <w:next w:val="Normal"/>
    <w:link w:val="Heading6Char"/>
    <w:uiPriority w:val="9"/>
    <w:unhideWhenUsed/>
    <w:qFormat/>
    <w:rsid w:val="004C215E"/>
    <w:pPr>
      <w:keepNext/>
      <w:keepLines/>
      <w:numPr>
        <w:ilvl w:val="5"/>
        <w:numId w:val="15"/>
      </w:numPr>
      <w:spacing w:before="200"/>
      <w:outlineLvl w:val="5"/>
    </w:pPr>
    <w:rPr>
      <w:rFonts w:asciiTheme="majorHAnsi" w:eastAsiaTheme="majorEastAsia" w:hAnsiTheme="majorHAnsi" w:cstheme="majorBidi"/>
      <w:i/>
      <w:iCs/>
      <w:color w:val="0C3A68" w:themeColor="accent1" w:themeShade="7F"/>
    </w:rPr>
  </w:style>
  <w:style w:type="paragraph" w:styleId="Heading7">
    <w:name w:val="heading 7"/>
    <w:basedOn w:val="Normal"/>
    <w:next w:val="Normal"/>
    <w:link w:val="Heading7Char"/>
    <w:uiPriority w:val="9"/>
    <w:unhideWhenUsed/>
    <w:qFormat/>
    <w:rsid w:val="004C215E"/>
    <w:pPr>
      <w:keepNext/>
      <w:keepLines/>
      <w:numPr>
        <w:ilvl w:val="6"/>
        <w:numId w:val="15"/>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4C215E"/>
    <w:pPr>
      <w:keepNext/>
      <w:keepLines/>
      <w:numPr>
        <w:ilvl w:val="7"/>
        <w:numId w:val="15"/>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4C215E"/>
    <w:pPr>
      <w:keepNext/>
      <w:keepLines/>
      <w:numPr>
        <w:ilvl w:val="8"/>
        <w:numId w:val="15"/>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23631"/>
    <w:rPr>
      <w:rFonts w:asciiTheme="majorHAnsi" w:eastAsiaTheme="majorEastAsia" w:hAnsiTheme="majorHAnsi" w:cstheme="majorBidi"/>
      <w:b/>
      <w:bCs/>
      <w:color w:val="005A9F" w:themeColor="text2"/>
      <w:sz w:val="40"/>
      <w:szCs w:val="48"/>
    </w:rPr>
  </w:style>
  <w:style w:type="character" w:customStyle="1" w:styleId="Heading2Char">
    <w:name w:val="Heading 2 Char"/>
    <w:basedOn w:val="DefaultParagraphFont"/>
    <w:link w:val="Heading2"/>
    <w:uiPriority w:val="9"/>
    <w:rsid w:val="004F2931"/>
    <w:rPr>
      <w:rFonts w:asciiTheme="minorHAnsi" w:eastAsiaTheme="majorEastAsia" w:hAnsiTheme="minorHAnsi" w:cstheme="majorBidi"/>
      <w:b/>
      <w:bCs/>
      <w:color w:val="005A9F" w:themeColor="text2"/>
      <w:sz w:val="32"/>
      <w:szCs w:val="28"/>
    </w:rPr>
  </w:style>
  <w:style w:type="character" w:customStyle="1" w:styleId="Heading3Char">
    <w:name w:val="Heading 3 Char"/>
    <w:basedOn w:val="DefaultParagraphFont"/>
    <w:link w:val="Heading3"/>
    <w:uiPriority w:val="9"/>
    <w:rsid w:val="0066395F"/>
    <w:rPr>
      <w:rFonts w:asciiTheme="majorHAnsi" w:eastAsiaTheme="majorEastAsia" w:hAnsiTheme="majorHAnsi" w:cstheme="majorBidi"/>
      <w:b/>
      <w:sz w:val="28"/>
      <w:szCs w:val="22"/>
    </w:rPr>
  </w:style>
  <w:style w:type="paragraph" w:customStyle="1" w:styleId="Heading01">
    <w:name w:val="Heading 01"/>
    <w:basedOn w:val="Normal"/>
    <w:next w:val="Para"/>
    <w:uiPriority w:val="10"/>
    <w:qFormat/>
    <w:rsid w:val="003A5A31"/>
    <w:pPr>
      <w:keepNext/>
      <w:keepLines/>
      <w:spacing w:after="240"/>
      <w:outlineLvl w:val="0"/>
    </w:pPr>
    <w:rPr>
      <w:rFonts w:asciiTheme="majorHAnsi" w:hAnsiTheme="majorHAnsi"/>
      <w:b/>
      <w:color w:val="005A9F" w:themeColor="text2"/>
      <w:sz w:val="40"/>
    </w:rPr>
  </w:style>
  <w:style w:type="paragraph" w:styleId="NormalWeb">
    <w:name w:val="Normal (Web)"/>
    <w:basedOn w:val="Normal"/>
    <w:link w:val="NormalWebChar"/>
    <w:uiPriority w:val="99"/>
    <w:unhideWhenUsed/>
    <w:rsid w:val="00EC1701"/>
    <w:pPr>
      <w:spacing w:before="100" w:beforeAutospacing="1" w:after="100" w:afterAutospacing="1"/>
    </w:pPr>
    <w:rPr>
      <w:rFonts w:eastAsia="Times New Roman" w:cs="Times New Roman"/>
    </w:rPr>
  </w:style>
  <w:style w:type="paragraph" w:customStyle="1" w:styleId="Boxed">
    <w:name w:val="Boxed"/>
    <w:basedOn w:val="BodyText"/>
    <w:qFormat/>
    <w:rsid w:val="00E50509"/>
    <w:pPr>
      <w:keepLines/>
      <w:pBdr>
        <w:top w:val="single" w:sz="8" w:space="4" w:color="7F7F7F" w:themeColor="text1" w:themeTint="80"/>
        <w:left w:val="single" w:sz="8" w:space="4" w:color="7F7F7F" w:themeColor="text1" w:themeTint="80"/>
        <w:bottom w:val="single" w:sz="8" w:space="4" w:color="7F7F7F" w:themeColor="text1" w:themeTint="80"/>
        <w:right w:val="single" w:sz="8" w:space="4" w:color="7F7F7F" w:themeColor="text1" w:themeTint="80"/>
      </w:pBdr>
      <w:shd w:val="clear" w:color="auto" w:fill="F2F2F2" w:themeFill="background1" w:themeFillShade="F2"/>
      <w:spacing w:after="240" w:line="288" w:lineRule="auto"/>
    </w:pPr>
    <w:rPr>
      <w:color w:val="004377" w:themeColor="text2" w:themeShade="BF"/>
    </w:rPr>
  </w:style>
  <w:style w:type="paragraph" w:styleId="Title">
    <w:name w:val="Title"/>
    <w:basedOn w:val="Normal"/>
    <w:next w:val="Normal"/>
    <w:link w:val="TitleChar"/>
    <w:uiPriority w:val="10"/>
    <w:qFormat/>
    <w:rsid w:val="00341D01"/>
    <w:pPr>
      <w:spacing w:before="1800" w:after="240"/>
      <w:jc w:val="center"/>
      <w:outlineLvl w:val="0"/>
    </w:pPr>
    <w:rPr>
      <w:b/>
      <w:sz w:val="40"/>
      <w:szCs w:val="40"/>
    </w:rPr>
  </w:style>
  <w:style w:type="character" w:customStyle="1" w:styleId="normalchar">
    <w:name w:val="normal_char"/>
    <w:rsid w:val="008567AC"/>
    <w:rPr>
      <w:color w:val="auto"/>
    </w:rPr>
  </w:style>
  <w:style w:type="character" w:styleId="Hyperlink">
    <w:name w:val="Hyperlink"/>
    <w:basedOn w:val="DefaultParagraphFont"/>
    <w:uiPriority w:val="99"/>
    <w:rsid w:val="00876B6E"/>
    <w:rPr>
      <w:color w:val="0000FF" w:themeColor="hyperlink"/>
      <w:u w:val="single"/>
    </w:rPr>
  </w:style>
  <w:style w:type="character" w:styleId="CommentReference">
    <w:name w:val="annotation reference"/>
    <w:basedOn w:val="DefaultParagraphFont"/>
    <w:uiPriority w:val="99"/>
    <w:unhideWhenUsed/>
    <w:rsid w:val="00FF593A"/>
    <w:rPr>
      <w:sz w:val="16"/>
      <w:szCs w:val="16"/>
    </w:rPr>
  </w:style>
  <w:style w:type="paragraph" w:styleId="CommentText">
    <w:name w:val="annotation text"/>
    <w:basedOn w:val="Normal"/>
    <w:link w:val="CommentTextChar"/>
    <w:uiPriority w:val="99"/>
    <w:unhideWhenUsed/>
    <w:rsid w:val="00FF593A"/>
    <w:rPr>
      <w:sz w:val="20"/>
      <w:szCs w:val="20"/>
    </w:rPr>
  </w:style>
  <w:style w:type="character" w:customStyle="1" w:styleId="CommentTextChar">
    <w:name w:val="Comment Text Char"/>
    <w:basedOn w:val="DefaultParagraphFont"/>
    <w:link w:val="CommentText"/>
    <w:uiPriority w:val="99"/>
    <w:rsid w:val="00FF593A"/>
    <w:rPr>
      <w:rFonts w:asciiTheme="minorHAnsi" w:hAnsiTheme="minorHAnsi"/>
      <w:sz w:val="20"/>
      <w:szCs w:val="20"/>
    </w:rPr>
  </w:style>
  <w:style w:type="paragraph" w:styleId="CommentSubject">
    <w:name w:val="annotation subject"/>
    <w:basedOn w:val="CommentText"/>
    <w:next w:val="CommentText"/>
    <w:link w:val="CommentSubjectChar"/>
    <w:uiPriority w:val="99"/>
    <w:semiHidden/>
    <w:unhideWhenUsed/>
    <w:rsid w:val="00FF593A"/>
    <w:rPr>
      <w:b/>
      <w:bCs/>
    </w:rPr>
  </w:style>
  <w:style w:type="character" w:customStyle="1" w:styleId="CommentSubjectChar">
    <w:name w:val="Comment Subject Char"/>
    <w:basedOn w:val="CommentTextChar"/>
    <w:link w:val="CommentSubject"/>
    <w:uiPriority w:val="99"/>
    <w:semiHidden/>
    <w:rsid w:val="00FF593A"/>
    <w:rPr>
      <w:rFonts w:asciiTheme="minorHAnsi" w:hAnsiTheme="minorHAnsi"/>
      <w:b/>
      <w:bCs/>
      <w:sz w:val="20"/>
      <w:szCs w:val="20"/>
    </w:rPr>
  </w:style>
  <w:style w:type="paragraph" w:styleId="BodyTextIndent3">
    <w:name w:val="Body Text Indent 3"/>
    <w:basedOn w:val="Normal"/>
    <w:link w:val="BodyTextIndent3Char"/>
    <w:rsid w:val="00981C16"/>
    <w:pPr>
      <w:spacing w:after="120"/>
      <w:ind w:left="283"/>
    </w:pPr>
    <w:rPr>
      <w:rFonts w:eastAsia="Times New Roman" w:cs="Times New Roman"/>
      <w:sz w:val="16"/>
      <w:szCs w:val="16"/>
    </w:rPr>
  </w:style>
  <w:style w:type="character" w:customStyle="1" w:styleId="BodyTextIndent3Char">
    <w:name w:val="Body Text Indent 3 Char"/>
    <w:basedOn w:val="DefaultParagraphFont"/>
    <w:link w:val="BodyTextIndent3"/>
    <w:rsid w:val="00981C16"/>
    <w:rPr>
      <w:rFonts w:asciiTheme="minorHAnsi" w:eastAsia="Times New Roman" w:hAnsiTheme="minorHAnsi" w:cs="Times New Roman"/>
      <w:sz w:val="16"/>
      <w:szCs w:val="16"/>
    </w:rPr>
  </w:style>
  <w:style w:type="character" w:customStyle="1" w:styleId="Heading4Char">
    <w:name w:val="Heading 4 Char"/>
    <w:basedOn w:val="DefaultParagraphFont"/>
    <w:link w:val="Heading4"/>
    <w:uiPriority w:val="9"/>
    <w:rsid w:val="009E5D84"/>
    <w:rPr>
      <w:rFonts w:asciiTheme="majorHAnsi" w:eastAsiaTheme="majorEastAsia" w:hAnsiTheme="majorHAnsi" w:cstheme="majorBidi"/>
      <w:b/>
      <w:bCs/>
      <w:iCs/>
      <w:color w:val="005A9F" w:themeColor="text2"/>
      <w:szCs w:val="22"/>
    </w:rPr>
  </w:style>
  <w:style w:type="character" w:customStyle="1" w:styleId="Heading5Char">
    <w:name w:val="Heading 5 Char"/>
    <w:basedOn w:val="DefaultParagraphFont"/>
    <w:link w:val="Heading5"/>
    <w:uiPriority w:val="9"/>
    <w:rsid w:val="003A3F56"/>
    <w:rPr>
      <w:rFonts w:asciiTheme="majorHAnsi" w:eastAsiaTheme="majorEastAsia" w:hAnsiTheme="majorHAnsi" w:cstheme="majorBidi"/>
      <w:b/>
      <w:sz w:val="22"/>
      <w:szCs w:val="22"/>
    </w:rPr>
  </w:style>
  <w:style w:type="character" w:customStyle="1" w:styleId="Heading6Char">
    <w:name w:val="Heading 6 Char"/>
    <w:basedOn w:val="DefaultParagraphFont"/>
    <w:link w:val="Heading6"/>
    <w:uiPriority w:val="9"/>
    <w:rsid w:val="004C215E"/>
    <w:rPr>
      <w:rFonts w:asciiTheme="majorHAnsi" w:eastAsiaTheme="majorEastAsia" w:hAnsiTheme="majorHAnsi" w:cstheme="majorBidi"/>
      <w:i/>
      <w:iCs/>
      <w:color w:val="0C3A68" w:themeColor="accent1" w:themeShade="7F"/>
      <w:sz w:val="22"/>
    </w:rPr>
  </w:style>
  <w:style w:type="character" w:customStyle="1" w:styleId="Heading7Char">
    <w:name w:val="Heading 7 Char"/>
    <w:basedOn w:val="DefaultParagraphFont"/>
    <w:link w:val="Heading7"/>
    <w:uiPriority w:val="9"/>
    <w:rsid w:val="004C215E"/>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rsid w:val="004C215E"/>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4C215E"/>
    <w:rPr>
      <w:rFonts w:asciiTheme="majorHAnsi" w:eastAsiaTheme="majorEastAsia" w:hAnsiTheme="majorHAnsi" w:cstheme="majorBidi"/>
      <w:i/>
      <w:iCs/>
      <w:color w:val="404040" w:themeColor="text1" w:themeTint="BF"/>
      <w:sz w:val="20"/>
      <w:szCs w:val="20"/>
    </w:rPr>
  </w:style>
  <w:style w:type="paragraph" w:styleId="Header">
    <w:name w:val="header"/>
    <w:basedOn w:val="Normal"/>
    <w:link w:val="HeaderChar"/>
    <w:uiPriority w:val="99"/>
    <w:unhideWhenUsed/>
    <w:rsid w:val="00C04706"/>
    <w:pPr>
      <w:tabs>
        <w:tab w:val="center" w:pos="4513"/>
        <w:tab w:val="right" w:pos="9026"/>
      </w:tabs>
    </w:pPr>
    <w:rPr>
      <w:color w:val="404040" w:themeColor="text1" w:themeTint="BF"/>
      <w:sz w:val="18"/>
    </w:rPr>
  </w:style>
  <w:style w:type="character" w:customStyle="1" w:styleId="HeaderChar">
    <w:name w:val="Header Char"/>
    <w:basedOn w:val="DefaultParagraphFont"/>
    <w:link w:val="Header"/>
    <w:uiPriority w:val="99"/>
    <w:rsid w:val="00C04706"/>
    <w:rPr>
      <w:rFonts w:asciiTheme="minorHAnsi" w:hAnsiTheme="minorHAnsi"/>
      <w:color w:val="404040" w:themeColor="text1" w:themeTint="BF"/>
      <w:sz w:val="18"/>
    </w:rPr>
  </w:style>
  <w:style w:type="paragraph" w:styleId="Footer">
    <w:name w:val="footer"/>
    <w:basedOn w:val="Normal"/>
    <w:link w:val="FooterChar"/>
    <w:uiPriority w:val="99"/>
    <w:unhideWhenUsed/>
    <w:rsid w:val="0059479C"/>
    <w:pPr>
      <w:tabs>
        <w:tab w:val="center" w:pos="4513"/>
        <w:tab w:val="right" w:pos="9026"/>
      </w:tabs>
      <w:jc w:val="right"/>
    </w:pPr>
    <w:rPr>
      <w:color w:val="404040" w:themeColor="text1" w:themeTint="BF"/>
      <w:sz w:val="18"/>
    </w:rPr>
  </w:style>
  <w:style w:type="character" w:customStyle="1" w:styleId="FooterChar">
    <w:name w:val="Footer Char"/>
    <w:basedOn w:val="DefaultParagraphFont"/>
    <w:link w:val="Footer"/>
    <w:uiPriority w:val="99"/>
    <w:rsid w:val="0059479C"/>
    <w:rPr>
      <w:rFonts w:asciiTheme="minorHAnsi" w:hAnsiTheme="minorHAnsi"/>
      <w:color w:val="404040" w:themeColor="text1" w:themeTint="BF"/>
      <w:sz w:val="18"/>
    </w:rPr>
  </w:style>
  <w:style w:type="paragraph" w:styleId="TOCHeading">
    <w:name w:val="TOC Heading"/>
    <w:basedOn w:val="Normal"/>
    <w:next w:val="Normal"/>
    <w:uiPriority w:val="39"/>
    <w:unhideWhenUsed/>
    <w:qFormat/>
    <w:rsid w:val="006B588A"/>
    <w:pPr>
      <w:keepNext/>
      <w:keepLines/>
      <w:spacing w:after="240"/>
      <w:outlineLvl w:val="1"/>
    </w:pPr>
    <w:rPr>
      <w:b/>
      <w:color w:val="005A9F" w:themeColor="text2"/>
      <w:sz w:val="40"/>
      <w:szCs w:val="40"/>
    </w:rPr>
  </w:style>
  <w:style w:type="paragraph" w:styleId="TOC1">
    <w:name w:val="toc 1"/>
    <w:basedOn w:val="Normal"/>
    <w:next w:val="Normal"/>
    <w:autoRedefine/>
    <w:uiPriority w:val="39"/>
    <w:unhideWhenUsed/>
    <w:rsid w:val="00361AB6"/>
    <w:pPr>
      <w:keepNext/>
      <w:keepLines/>
      <w:tabs>
        <w:tab w:val="right" w:leader="dot" w:pos="9332"/>
      </w:tabs>
      <w:spacing w:before="120"/>
    </w:pPr>
    <w:rPr>
      <w:b/>
      <w:noProof/>
      <w:sz w:val="20"/>
      <w:szCs w:val="22"/>
    </w:rPr>
  </w:style>
  <w:style w:type="paragraph" w:styleId="TOC2">
    <w:name w:val="toc 2"/>
    <w:basedOn w:val="Normal"/>
    <w:next w:val="Normal"/>
    <w:autoRedefine/>
    <w:uiPriority w:val="39"/>
    <w:unhideWhenUsed/>
    <w:rsid w:val="006D478C"/>
    <w:pPr>
      <w:tabs>
        <w:tab w:val="left" w:pos="709"/>
        <w:tab w:val="right" w:leader="dot" w:pos="9332"/>
      </w:tabs>
      <w:spacing w:after="100"/>
      <w:ind w:left="709" w:hanging="469"/>
    </w:pPr>
    <w:rPr>
      <w:noProof/>
      <w:sz w:val="20"/>
      <w:szCs w:val="22"/>
    </w:rPr>
  </w:style>
  <w:style w:type="paragraph" w:styleId="TOC3">
    <w:name w:val="toc 3"/>
    <w:basedOn w:val="Normal"/>
    <w:next w:val="Normal"/>
    <w:autoRedefine/>
    <w:uiPriority w:val="39"/>
    <w:unhideWhenUsed/>
    <w:rsid w:val="00286835"/>
    <w:pPr>
      <w:tabs>
        <w:tab w:val="left" w:pos="1320"/>
        <w:tab w:val="right" w:leader="dot" w:pos="9332"/>
      </w:tabs>
      <w:spacing w:before="120" w:after="100"/>
    </w:pPr>
    <w:rPr>
      <w:b/>
      <w:bCs/>
      <w:noProof/>
      <w:sz w:val="20"/>
      <w:szCs w:val="22"/>
    </w:rPr>
  </w:style>
  <w:style w:type="paragraph" w:styleId="NoSpacing">
    <w:name w:val="No Spacing"/>
    <w:uiPriority w:val="1"/>
    <w:rsid w:val="004C215E"/>
    <w:pPr>
      <w:spacing w:after="0" w:line="240" w:lineRule="auto"/>
    </w:pPr>
  </w:style>
  <w:style w:type="character" w:customStyle="1" w:styleId="TitleChar">
    <w:name w:val="Title Char"/>
    <w:basedOn w:val="DefaultParagraphFont"/>
    <w:link w:val="Title"/>
    <w:uiPriority w:val="10"/>
    <w:rsid w:val="00612413"/>
    <w:rPr>
      <w:rFonts w:asciiTheme="minorHAnsi" w:hAnsiTheme="minorHAnsi"/>
      <w:b/>
      <w:sz w:val="40"/>
      <w:szCs w:val="40"/>
    </w:rPr>
  </w:style>
  <w:style w:type="character" w:styleId="FollowedHyperlink">
    <w:name w:val="FollowedHyperlink"/>
    <w:uiPriority w:val="99"/>
    <w:semiHidden/>
    <w:unhideWhenUsed/>
    <w:rsid w:val="00082A22"/>
    <w:rPr>
      <w:color w:val="800080"/>
      <w:u w:val="single"/>
    </w:rPr>
  </w:style>
  <w:style w:type="character" w:styleId="HTMLCite">
    <w:name w:val="HTML Cite"/>
    <w:uiPriority w:val="99"/>
    <w:semiHidden/>
    <w:unhideWhenUsed/>
    <w:rsid w:val="00082A22"/>
    <w:rPr>
      <w:b w:val="0"/>
      <w:bCs w:val="0"/>
      <w:i w:val="0"/>
      <w:iCs w:val="0"/>
      <w:vanish w:val="0"/>
      <w:webHidden w:val="0"/>
      <w:specVanish w:val="0"/>
    </w:rPr>
  </w:style>
  <w:style w:type="paragraph" w:styleId="Subtitle">
    <w:name w:val="Subtitle"/>
    <w:basedOn w:val="Normal"/>
    <w:next w:val="Normal"/>
    <w:link w:val="SubtitleChar"/>
    <w:uiPriority w:val="11"/>
    <w:qFormat/>
    <w:rsid w:val="004B11AD"/>
    <w:pPr>
      <w:spacing w:before="240"/>
      <w:jc w:val="center"/>
    </w:pPr>
    <w:rPr>
      <w:b/>
      <w:color w:val="005A9F" w:themeColor="text2"/>
      <w:sz w:val="32"/>
      <w:szCs w:val="32"/>
    </w:rPr>
  </w:style>
  <w:style w:type="character" w:customStyle="1" w:styleId="SubtitleChar">
    <w:name w:val="Subtitle Char"/>
    <w:basedOn w:val="DefaultParagraphFont"/>
    <w:link w:val="Subtitle"/>
    <w:uiPriority w:val="11"/>
    <w:rsid w:val="004B11AD"/>
    <w:rPr>
      <w:rFonts w:asciiTheme="minorHAnsi" w:hAnsiTheme="minorHAnsi"/>
      <w:b/>
      <w:color w:val="005A9F" w:themeColor="text2"/>
      <w:sz w:val="32"/>
      <w:szCs w:val="32"/>
    </w:rPr>
  </w:style>
  <w:style w:type="paragraph" w:styleId="Date">
    <w:name w:val="Date"/>
    <w:basedOn w:val="Normal"/>
    <w:next w:val="Normal"/>
    <w:link w:val="DateChar"/>
    <w:uiPriority w:val="99"/>
    <w:unhideWhenUsed/>
    <w:rsid w:val="0043244F"/>
    <w:pPr>
      <w:spacing w:before="240" w:after="960"/>
      <w:jc w:val="center"/>
    </w:pPr>
    <w:rPr>
      <w:b/>
      <w:color w:val="005A9F" w:themeColor="text2"/>
      <w:sz w:val="28"/>
      <w:szCs w:val="28"/>
    </w:rPr>
  </w:style>
  <w:style w:type="character" w:customStyle="1" w:styleId="pubyear">
    <w:name w:val="pubyear"/>
    <w:basedOn w:val="DefaultParagraphFont"/>
    <w:rsid w:val="00082A22"/>
  </w:style>
  <w:style w:type="character" w:customStyle="1" w:styleId="DateChar">
    <w:name w:val="Date Char"/>
    <w:basedOn w:val="DefaultParagraphFont"/>
    <w:link w:val="Date"/>
    <w:uiPriority w:val="99"/>
    <w:rsid w:val="0043244F"/>
    <w:rPr>
      <w:rFonts w:asciiTheme="minorHAnsi" w:hAnsiTheme="minorHAnsi"/>
      <w:b/>
      <w:color w:val="005A9F" w:themeColor="text2"/>
      <w:sz w:val="28"/>
      <w:szCs w:val="28"/>
    </w:rPr>
  </w:style>
  <w:style w:type="paragraph" w:customStyle="1" w:styleId="Heading02">
    <w:name w:val="Heading 02"/>
    <w:basedOn w:val="Heading01"/>
    <w:qFormat/>
    <w:rsid w:val="001D0BEA"/>
    <w:pPr>
      <w:spacing w:before="360" w:line="288" w:lineRule="auto"/>
      <w:outlineLvl w:val="1"/>
    </w:pPr>
    <w:rPr>
      <w:sz w:val="32"/>
      <w:szCs w:val="20"/>
    </w:rPr>
  </w:style>
  <w:style w:type="character" w:styleId="Strong">
    <w:name w:val="Strong"/>
    <w:uiPriority w:val="22"/>
    <w:qFormat/>
    <w:rsid w:val="004C215E"/>
    <w:rPr>
      <w:b/>
      <w:bCs/>
    </w:rPr>
  </w:style>
  <w:style w:type="paragraph" w:styleId="ListBullet">
    <w:name w:val="List Bullet"/>
    <w:basedOn w:val="Normal"/>
    <w:uiPriority w:val="99"/>
    <w:unhideWhenUsed/>
    <w:rsid w:val="008366C8"/>
    <w:pPr>
      <w:numPr>
        <w:numId w:val="8"/>
      </w:numPr>
      <w:spacing w:before="120" w:after="120" w:line="288" w:lineRule="auto"/>
    </w:pPr>
  </w:style>
  <w:style w:type="paragraph" w:styleId="Bibliography">
    <w:name w:val="Bibliography"/>
    <w:basedOn w:val="Normal"/>
    <w:next w:val="Normal"/>
    <w:uiPriority w:val="37"/>
    <w:unhideWhenUsed/>
    <w:rsid w:val="00D33E32"/>
    <w:pPr>
      <w:keepLines/>
      <w:spacing w:before="120" w:after="120"/>
      <w:ind w:left="284" w:hanging="284"/>
    </w:pPr>
  </w:style>
  <w:style w:type="paragraph" w:customStyle="1" w:styleId="Heading03">
    <w:name w:val="Heading 03"/>
    <w:basedOn w:val="Heading02"/>
    <w:next w:val="Para"/>
    <w:qFormat/>
    <w:rsid w:val="00D11A38"/>
    <w:pPr>
      <w:spacing w:before="240" w:after="0" w:line="240" w:lineRule="auto"/>
      <w:outlineLvl w:val="2"/>
    </w:pPr>
    <w:rPr>
      <w:color w:val="auto"/>
      <w:sz w:val="28"/>
    </w:rPr>
  </w:style>
  <w:style w:type="paragraph" w:customStyle="1" w:styleId="para10">
    <w:name w:val="para10"/>
    <w:basedOn w:val="Normal"/>
    <w:rsid w:val="00082A22"/>
    <w:pPr>
      <w:spacing w:after="240" w:line="360" w:lineRule="atLeast"/>
    </w:pPr>
    <w:rPr>
      <w:rFonts w:eastAsia="Times New Roman" w:cs="Times New Roman"/>
      <w:sz w:val="29"/>
      <w:szCs w:val="29"/>
    </w:rPr>
  </w:style>
  <w:style w:type="table" w:styleId="TableGrid">
    <w:name w:val="Table Grid"/>
    <w:basedOn w:val="TableNormal"/>
    <w:uiPriority w:val="59"/>
    <w:rsid w:val="00082A22"/>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b2">
    <w:name w:val="Heading b2"/>
    <w:basedOn w:val="Heading02"/>
    <w:next w:val="Para"/>
    <w:qFormat/>
    <w:rsid w:val="009C65EC"/>
    <w:pPr>
      <w:numPr>
        <w:ilvl w:val="1"/>
        <w:numId w:val="10"/>
      </w:numPr>
      <w:tabs>
        <w:tab w:val="left" w:pos="567"/>
      </w:tabs>
    </w:pPr>
  </w:style>
  <w:style w:type="paragraph" w:customStyle="1" w:styleId="Headingb3">
    <w:name w:val="Heading b3"/>
    <w:basedOn w:val="Heading03"/>
    <w:qFormat/>
    <w:rsid w:val="00DD459B"/>
    <w:pPr>
      <w:numPr>
        <w:ilvl w:val="2"/>
        <w:numId w:val="10"/>
      </w:numPr>
    </w:pPr>
  </w:style>
  <w:style w:type="paragraph" w:customStyle="1" w:styleId="Headingb4">
    <w:name w:val="Heading b4"/>
    <w:basedOn w:val="Headingb3"/>
    <w:next w:val="Para"/>
    <w:qFormat/>
    <w:rsid w:val="006278AD"/>
    <w:pPr>
      <w:numPr>
        <w:ilvl w:val="3"/>
      </w:numPr>
      <w:tabs>
        <w:tab w:val="left" w:pos="851"/>
      </w:tabs>
      <w:outlineLvl w:val="3"/>
    </w:pPr>
    <w:rPr>
      <w:sz w:val="24"/>
      <w:szCs w:val="18"/>
    </w:rPr>
  </w:style>
  <w:style w:type="character" w:customStyle="1" w:styleId="NormalWebChar">
    <w:name w:val="Normal (Web) Char"/>
    <w:link w:val="NormalWeb"/>
    <w:uiPriority w:val="99"/>
    <w:rsid w:val="00082A22"/>
    <w:rPr>
      <w:rFonts w:asciiTheme="minorHAnsi" w:eastAsia="Times New Roman" w:hAnsiTheme="minorHAnsi" w:cs="Times New Roman"/>
      <w:sz w:val="22"/>
    </w:rPr>
  </w:style>
  <w:style w:type="character" w:customStyle="1" w:styleId="tablenotes-note">
    <w:name w:val="tablenotes-note"/>
    <w:basedOn w:val="DefaultParagraphFont"/>
    <w:rsid w:val="00082A22"/>
  </w:style>
  <w:style w:type="character" w:customStyle="1" w:styleId="section-title3">
    <w:name w:val="section-title3"/>
    <w:rsid w:val="00082A22"/>
    <w:rPr>
      <w:vanish w:val="0"/>
      <w:webHidden w:val="0"/>
      <w:specVanish w:val="0"/>
    </w:rPr>
  </w:style>
  <w:style w:type="paragraph" w:customStyle="1" w:styleId="Default">
    <w:name w:val="Default"/>
    <w:rsid w:val="00082A22"/>
    <w:pPr>
      <w:widowControl w:val="0"/>
      <w:autoSpaceDE w:val="0"/>
      <w:autoSpaceDN w:val="0"/>
      <w:adjustRightInd w:val="0"/>
      <w:spacing w:after="0" w:line="240" w:lineRule="auto"/>
    </w:pPr>
    <w:rPr>
      <w:rFonts w:ascii="Arial" w:eastAsia="Times New Roman" w:hAnsi="Arial" w:cs="Arial"/>
      <w:color w:val="000000"/>
    </w:rPr>
  </w:style>
  <w:style w:type="paragraph" w:styleId="TOC4">
    <w:name w:val="toc 4"/>
    <w:basedOn w:val="Normal"/>
    <w:next w:val="Normal"/>
    <w:autoRedefine/>
    <w:uiPriority w:val="39"/>
    <w:unhideWhenUsed/>
    <w:rsid w:val="00046F72"/>
    <w:pPr>
      <w:tabs>
        <w:tab w:val="left" w:pos="709"/>
        <w:tab w:val="right" w:leader="dot" w:pos="9322"/>
      </w:tabs>
      <w:spacing w:after="100"/>
      <w:ind w:left="709" w:hanging="425"/>
    </w:pPr>
    <w:rPr>
      <w:rFonts w:eastAsia="Times New Roman" w:cstheme="minorHAnsi"/>
      <w:noProof/>
      <w:sz w:val="20"/>
      <w:szCs w:val="22"/>
    </w:rPr>
  </w:style>
  <w:style w:type="paragraph" w:styleId="Revision">
    <w:name w:val="Revision"/>
    <w:hidden/>
    <w:uiPriority w:val="99"/>
    <w:semiHidden/>
    <w:rsid w:val="00082A22"/>
    <w:pPr>
      <w:spacing w:after="0" w:line="240" w:lineRule="auto"/>
    </w:pPr>
    <w:rPr>
      <w:rFonts w:ascii="Calibri" w:eastAsia="Times New Roman" w:hAnsi="Calibri" w:cs="Times New Roman"/>
      <w:sz w:val="22"/>
    </w:rPr>
  </w:style>
  <w:style w:type="paragraph" w:styleId="FootnoteText">
    <w:name w:val="footnote text"/>
    <w:basedOn w:val="Normal"/>
    <w:link w:val="FootnoteTextChar"/>
    <w:uiPriority w:val="99"/>
    <w:unhideWhenUsed/>
    <w:qFormat/>
    <w:rsid w:val="00513115"/>
    <w:pPr>
      <w:spacing w:before="60"/>
    </w:pPr>
    <w:rPr>
      <w:rFonts w:eastAsia="Times New Roman" w:cs="Times New Roman"/>
      <w:sz w:val="18"/>
      <w:szCs w:val="20"/>
    </w:rPr>
  </w:style>
  <w:style w:type="character" w:customStyle="1" w:styleId="FootnoteTextChar">
    <w:name w:val="Footnote Text Char"/>
    <w:basedOn w:val="DefaultParagraphFont"/>
    <w:link w:val="FootnoteText"/>
    <w:uiPriority w:val="99"/>
    <w:rsid w:val="00351986"/>
    <w:rPr>
      <w:rFonts w:asciiTheme="minorHAnsi" w:eastAsia="Times New Roman" w:hAnsiTheme="minorHAnsi" w:cs="Times New Roman"/>
      <w:sz w:val="18"/>
      <w:szCs w:val="20"/>
    </w:rPr>
  </w:style>
  <w:style w:type="character" w:styleId="FootnoteReference">
    <w:name w:val="footnote reference"/>
    <w:uiPriority w:val="99"/>
    <w:unhideWhenUsed/>
    <w:rsid w:val="00082A22"/>
    <w:rPr>
      <w:vertAlign w:val="superscript"/>
    </w:rPr>
  </w:style>
  <w:style w:type="table" w:customStyle="1" w:styleId="TableGrid1">
    <w:name w:val="Table Grid1"/>
    <w:basedOn w:val="TableNormal"/>
    <w:next w:val="TableGrid"/>
    <w:uiPriority w:val="59"/>
    <w:rsid w:val="00082A22"/>
    <w:pPr>
      <w:spacing w:after="0" w:line="240" w:lineRule="auto"/>
    </w:pPr>
    <w:rPr>
      <w:rFonts w:ascii="Calibri" w:eastAsia="Times New Roman" w:hAnsi="Calibri" w:cs="Times New Roman"/>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Quote">
    <w:name w:val="Quote"/>
    <w:basedOn w:val="Normal"/>
    <w:next w:val="Normal"/>
    <w:link w:val="QuoteChar"/>
    <w:uiPriority w:val="29"/>
    <w:qFormat/>
    <w:rsid w:val="00101F11"/>
    <w:pPr>
      <w:spacing w:before="120" w:after="240" w:line="264" w:lineRule="auto"/>
      <w:ind w:left="567" w:right="567"/>
    </w:pPr>
    <w:rPr>
      <w:rFonts w:eastAsia="Times New Roman" w:cs="Times New Roman"/>
      <w:iCs/>
    </w:rPr>
  </w:style>
  <w:style w:type="character" w:customStyle="1" w:styleId="QuoteChar">
    <w:name w:val="Quote Char"/>
    <w:basedOn w:val="DefaultParagraphFont"/>
    <w:link w:val="Quote"/>
    <w:uiPriority w:val="29"/>
    <w:rsid w:val="004C215E"/>
    <w:rPr>
      <w:rFonts w:asciiTheme="minorHAnsi" w:eastAsia="Times New Roman" w:hAnsiTheme="minorHAnsi" w:cs="Times New Roman"/>
      <w:iCs/>
      <w:sz w:val="22"/>
    </w:rPr>
  </w:style>
  <w:style w:type="paragraph" w:styleId="EndnoteText">
    <w:name w:val="endnote text"/>
    <w:basedOn w:val="Normal"/>
    <w:link w:val="EndnoteTextChar"/>
    <w:uiPriority w:val="99"/>
    <w:unhideWhenUsed/>
    <w:rsid w:val="00082A22"/>
    <w:rPr>
      <w:rFonts w:ascii="Calibri" w:eastAsia="Times New Roman" w:hAnsi="Calibri" w:cs="Times New Roman"/>
      <w:sz w:val="20"/>
      <w:szCs w:val="20"/>
    </w:rPr>
  </w:style>
  <w:style w:type="character" w:customStyle="1" w:styleId="EndnoteTextChar">
    <w:name w:val="Endnote Text Char"/>
    <w:basedOn w:val="DefaultParagraphFont"/>
    <w:link w:val="EndnoteText"/>
    <w:uiPriority w:val="99"/>
    <w:rsid w:val="00082A22"/>
    <w:rPr>
      <w:rFonts w:ascii="Calibri" w:eastAsia="Times New Roman" w:hAnsi="Calibri" w:cs="Times New Roman"/>
      <w:sz w:val="20"/>
      <w:szCs w:val="20"/>
    </w:rPr>
  </w:style>
  <w:style w:type="character" w:styleId="EndnoteReference">
    <w:name w:val="endnote reference"/>
    <w:uiPriority w:val="99"/>
    <w:unhideWhenUsed/>
    <w:rsid w:val="00082A22"/>
    <w:rPr>
      <w:vertAlign w:val="superscript"/>
    </w:rPr>
  </w:style>
  <w:style w:type="paragraph" w:styleId="Caption">
    <w:name w:val="caption"/>
    <w:aliases w:val="c,Caption Char Char Char Char Char Char Char,Caption Char Char Char Char Char Char Char Char,Caption Char Char Char Char Char Char,Text Caption"/>
    <w:basedOn w:val="Normal"/>
    <w:next w:val="Para"/>
    <w:link w:val="CaptionChar"/>
    <w:uiPriority w:val="35"/>
    <w:unhideWhenUsed/>
    <w:qFormat/>
    <w:rsid w:val="00D96EB1"/>
    <w:pPr>
      <w:keepNext/>
      <w:tabs>
        <w:tab w:val="left" w:pos="851"/>
        <w:tab w:val="left" w:pos="993"/>
        <w:tab w:val="left" w:pos="1134"/>
      </w:tabs>
      <w:spacing w:before="240" w:after="60"/>
      <w:contextualSpacing/>
      <w:outlineLvl w:val="8"/>
    </w:pPr>
    <w:rPr>
      <w:rFonts w:ascii="Segoe UI Semilight" w:eastAsia="Times New Roman" w:hAnsi="Segoe UI Semilight" w:cs="Times New Roman"/>
      <w:bCs/>
      <w:sz w:val="20"/>
      <w:szCs w:val="18"/>
    </w:rPr>
  </w:style>
  <w:style w:type="paragraph" w:customStyle="1" w:styleId="ListBullet1">
    <w:name w:val="List Bullet1"/>
    <w:basedOn w:val="Normal"/>
    <w:uiPriority w:val="5"/>
    <w:rsid w:val="004C215E"/>
    <w:pPr>
      <w:numPr>
        <w:numId w:val="3"/>
      </w:numPr>
      <w:shd w:val="clear" w:color="auto" w:fill="FFFFFF" w:themeFill="background1"/>
      <w:spacing w:before="120" w:after="120" w:line="260" w:lineRule="exact"/>
      <w:contextualSpacing/>
    </w:pPr>
    <w:rPr>
      <w:rFonts w:ascii="Arial" w:eastAsia="Times New Roman" w:hAnsi="Arial" w:cs="Arial"/>
      <w:sz w:val="20"/>
      <w:szCs w:val="20"/>
    </w:rPr>
  </w:style>
  <w:style w:type="character" w:customStyle="1" w:styleId="Bold">
    <w:name w:val="Bold"/>
    <w:aliases w:val="b"/>
    <w:uiPriority w:val="99"/>
    <w:qFormat/>
    <w:rsid w:val="004C215E"/>
    <w:rPr>
      <w:b/>
      <w:lang w:val="en-AU" w:eastAsia="en-US"/>
    </w:rPr>
  </w:style>
  <w:style w:type="character" w:customStyle="1" w:styleId="Italic">
    <w:name w:val="Italic"/>
    <w:uiPriority w:val="3"/>
    <w:rsid w:val="0009621D"/>
    <w:rPr>
      <w:i/>
      <w:lang w:val="en-AU" w:eastAsia="en-US"/>
    </w:rPr>
  </w:style>
  <w:style w:type="character" w:customStyle="1" w:styleId="HighlightOrange">
    <w:name w:val="Highlight Orange"/>
    <w:basedOn w:val="DefaultParagraphFont"/>
    <w:uiPriority w:val="75"/>
    <w:qFormat/>
    <w:rsid w:val="004C215E"/>
    <w:rPr>
      <w:color w:val="F47B28"/>
    </w:rPr>
  </w:style>
  <w:style w:type="table" w:customStyle="1" w:styleId="Boxorange">
    <w:name w:val="Box orange"/>
    <w:basedOn w:val="TableNormal"/>
    <w:uiPriority w:val="99"/>
    <w:qFormat/>
    <w:rsid w:val="0009621D"/>
    <w:pPr>
      <w:spacing w:after="0" w:line="240" w:lineRule="auto"/>
    </w:pPr>
    <w:rPr>
      <w:rFonts w:eastAsia="Times New Roman" w:cs="Times New Roman"/>
      <w:sz w:val="20"/>
      <w:szCs w:val="20"/>
    </w:rPr>
    <w:tblPr>
      <w:tblInd w:w="113" w:type="dxa"/>
      <w:tblBorders>
        <w:top w:val="single" w:sz="18" w:space="0" w:color="F47B28"/>
        <w:left w:val="single" w:sz="18" w:space="0" w:color="F47B28"/>
        <w:bottom w:val="single" w:sz="18" w:space="0" w:color="F47B28"/>
        <w:right w:val="single" w:sz="18" w:space="0" w:color="F47B28"/>
      </w:tblBorders>
    </w:tblPr>
    <w:trPr>
      <w:cantSplit/>
    </w:trPr>
  </w:style>
  <w:style w:type="character" w:customStyle="1" w:styleId="Highlighter">
    <w:name w:val="Highlighter"/>
    <w:basedOn w:val="DefaultParagraphFont"/>
    <w:uiPriority w:val="21"/>
    <w:rsid w:val="00CA142D"/>
    <w:rPr>
      <w:bdr w:val="none" w:sz="0" w:space="0" w:color="auto"/>
      <w:shd w:val="clear" w:color="auto" w:fill="FFFF00"/>
    </w:rPr>
  </w:style>
  <w:style w:type="character" w:styleId="IntenseReference">
    <w:name w:val="Intense Reference"/>
    <w:basedOn w:val="DefaultParagraphFont"/>
    <w:uiPriority w:val="32"/>
    <w:qFormat/>
    <w:rsid w:val="004C215E"/>
    <w:rPr>
      <w:b/>
      <w:bCs/>
      <w:i/>
      <w:smallCaps/>
      <w:color w:val="00C4D5" w:themeColor="accent2"/>
      <w:spacing w:val="5"/>
      <w:u w:val="none"/>
    </w:rPr>
  </w:style>
  <w:style w:type="paragraph" w:styleId="TOC5">
    <w:name w:val="toc 5"/>
    <w:basedOn w:val="Normal"/>
    <w:next w:val="Normal"/>
    <w:autoRedefine/>
    <w:uiPriority w:val="39"/>
    <w:unhideWhenUsed/>
    <w:rsid w:val="00D35EC1"/>
    <w:pPr>
      <w:spacing w:after="100"/>
      <w:ind w:left="880"/>
    </w:pPr>
    <w:rPr>
      <w:rFonts w:eastAsiaTheme="minorEastAsia"/>
    </w:rPr>
  </w:style>
  <w:style w:type="paragraph" w:styleId="TOC6">
    <w:name w:val="toc 6"/>
    <w:basedOn w:val="Normal"/>
    <w:next w:val="Normal"/>
    <w:autoRedefine/>
    <w:uiPriority w:val="39"/>
    <w:unhideWhenUsed/>
    <w:rsid w:val="00D35EC1"/>
    <w:pPr>
      <w:spacing w:after="100"/>
      <w:ind w:left="1100"/>
    </w:pPr>
    <w:rPr>
      <w:rFonts w:eastAsiaTheme="minorEastAsia"/>
    </w:rPr>
  </w:style>
  <w:style w:type="paragraph" w:styleId="TOC7">
    <w:name w:val="toc 7"/>
    <w:basedOn w:val="Normal"/>
    <w:next w:val="Normal"/>
    <w:autoRedefine/>
    <w:uiPriority w:val="39"/>
    <w:unhideWhenUsed/>
    <w:rsid w:val="00D35EC1"/>
    <w:pPr>
      <w:spacing w:after="100"/>
      <w:ind w:left="1320"/>
    </w:pPr>
    <w:rPr>
      <w:rFonts w:eastAsiaTheme="minorEastAsia"/>
    </w:rPr>
  </w:style>
  <w:style w:type="paragraph" w:styleId="TOC8">
    <w:name w:val="toc 8"/>
    <w:basedOn w:val="Normal"/>
    <w:next w:val="Normal"/>
    <w:autoRedefine/>
    <w:uiPriority w:val="39"/>
    <w:unhideWhenUsed/>
    <w:rsid w:val="00D35EC1"/>
    <w:pPr>
      <w:spacing w:after="100"/>
      <w:ind w:left="1540"/>
    </w:pPr>
    <w:rPr>
      <w:rFonts w:eastAsiaTheme="minorEastAsia"/>
    </w:rPr>
  </w:style>
  <w:style w:type="paragraph" w:styleId="TOC9">
    <w:name w:val="toc 9"/>
    <w:basedOn w:val="Normal"/>
    <w:next w:val="Normal"/>
    <w:autoRedefine/>
    <w:uiPriority w:val="39"/>
    <w:unhideWhenUsed/>
    <w:rsid w:val="00D35EC1"/>
    <w:pPr>
      <w:spacing w:after="100"/>
      <w:ind w:left="1760"/>
    </w:pPr>
    <w:rPr>
      <w:rFonts w:eastAsiaTheme="minorEastAsia"/>
    </w:rPr>
  </w:style>
  <w:style w:type="table" w:styleId="LightGrid-Accent4">
    <w:name w:val="Light Grid Accent 4"/>
    <w:basedOn w:val="TableNormal"/>
    <w:uiPriority w:val="62"/>
    <w:rsid w:val="005B1FB7"/>
    <w:pPr>
      <w:spacing w:after="0" w:line="240" w:lineRule="auto"/>
    </w:pPr>
    <w:tblPr>
      <w:tblStyleRowBandSize w:val="1"/>
      <w:tblStyleColBandSize w:val="1"/>
      <w:tblBorders>
        <w:top w:val="single" w:sz="8" w:space="0" w:color="C1C2C3" w:themeColor="accent4"/>
        <w:left w:val="single" w:sz="8" w:space="0" w:color="C1C2C3" w:themeColor="accent4"/>
        <w:bottom w:val="single" w:sz="8" w:space="0" w:color="C1C2C3" w:themeColor="accent4"/>
        <w:right w:val="single" w:sz="8" w:space="0" w:color="C1C2C3" w:themeColor="accent4"/>
        <w:insideH w:val="single" w:sz="8" w:space="0" w:color="C1C2C3" w:themeColor="accent4"/>
        <w:insideV w:val="single" w:sz="8" w:space="0" w:color="C1C2C3"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C2C3" w:themeColor="accent4"/>
          <w:left w:val="single" w:sz="8" w:space="0" w:color="C1C2C3" w:themeColor="accent4"/>
          <w:bottom w:val="single" w:sz="18" w:space="0" w:color="C1C2C3" w:themeColor="accent4"/>
          <w:right w:val="single" w:sz="8" w:space="0" w:color="C1C2C3" w:themeColor="accent4"/>
          <w:insideH w:val="nil"/>
          <w:insideV w:val="single" w:sz="8" w:space="0" w:color="C1C2C3"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C2C3" w:themeColor="accent4"/>
          <w:left w:val="single" w:sz="8" w:space="0" w:color="C1C2C3" w:themeColor="accent4"/>
          <w:bottom w:val="single" w:sz="8" w:space="0" w:color="C1C2C3" w:themeColor="accent4"/>
          <w:right w:val="single" w:sz="8" w:space="0" w:color="C1C2C3" w:themeColor="accent4"/>
          <w:insideH w:val="nil"/>
          <w:insideV w:val="single" w:sz="8" w:space="0" w:color="C1C2C3"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C2C3" w:themeColor="accent4"/>
          <w:left w:val="single" w:sz="8" w:space="0" w:color="C1C2C3" w:themeColor="accent4"/>
          <w:bottom w:val="single" w:sz="8" w:space="0" w:color="C1C2C3" w:themeColor="accent4"/>
          <w:right w:val="single" w:sz="8" w:space="0" w:color="C1C2C3" w:themeColor="accent4"/>
        </w:tcBorders>
      </w:tcPr>
    </w:tblStylePr>
    <w:tblStylePr w:type="band1Vert">
      <w:tblPr/>
      <w:tcPr>
        <w:tcBorders>
          <w:top w:val="single" w:sz="8" w:space="0" w:color="C1C2C3" w:themeColor="accent4"/>
          <w:left w:val="single" w:sz="8" w:space="0" w:color="C1C2C3" w:themeColor="accent4"/>
          <w:bottom w:val="single" w:sz="8" w:space="0" w:color="C1C2C3" w:themeColor="accent4"/>
          <w:right w:val="single" w:sz="8" w:space="0" w:color="C1C2C3" w:themeColor="accent4"/>
        </w:tcBorders>
        <w:shd w:val="clear" w:color="auto" w:fill="EFEFF0" w:themeFill="accent4" w:themeFillTint="3F"/>
      </w:tcPr>
    </w:tblStylePr>
    <w:tblStylePr w:type="band1Horz">
      <w:tblPr/>
      <w:tcPr>
        <w:tcBorders>
          <w:top w:val="single" w:sz="8" w:space="0" w:color="C1C2C3" w:themeColor="accent4"/>
          <w:left w:val="single" w:sz="8" w:space="0" w:color="C1C2C3" w:themeColor="accent4"/>
          <w:bottom w:val="single" w:sz="8" w:space="0" w:color="C1C2C3" w:themeColor="accent4"/>
          <w:right w:val="single" w:sz="8" w:space="0" w:color="C1C2C3" w:themeColor="accent4"/>
          <w:insideV w:val="single" w:sz="8" w:space="0" w:color="C1C2C3" w:themeColor="accent4"/>
        </w:tcBorders>
        <w:shd w:val="clear" w:color="auto" w:fill="EFEFF0" w:themeFill="accent4" w:themeFillTint="3F"/>
      </w:tcPr>
    </w:tblStylePr>
    <w:tblStylePr w:type="band2Horz">
      <w:tblPr/>
      <w:tcPr>
        <w:tcBorders>
          <w:top w:val="single" w:sz="8" w:space="0" w:color="C1C2C3" w:themeColor="accent4"/>
          <w:left w:val="single" w:sz="8" w:space="0" w:color="C1C2C3" w:themeColor="accent4"/>
          <w:bottom w:val="single" w:sz="8" w:space="0" w:color="C1C2C3" w:themeColor="accent4"/>
          <w:right w:val="single" w:sz="8" w:space="0" w:color="C1C2C3" w:themeColor="accent4"/>
          <w:insideV w:val="single" w:sz="8" w:space="0" w:color="C1C2C3" w:themeColor="accent4"/>
        </w:tcBorders>
      </w:tcPr>
    </w:tblStylePr>
  </w:style>
  <w:style w:type="table" w:styleId="LightGrid-Accent1">
    <w:name w:val="Light Grid Accent 1"/>
    <w:basedOn w:val="TableNormal"/>
    <w:uiPriority w:val="62"/>
    <w:rsid w:val="005B1FB7"/>
    <w:pPr>
      <w:spacing w:after="0" w:line="240" w:lineRule="auto"/>
    </w:pPr>
    <w:tblPr>
      <w:tblStyleRowBandSize w:val="1"/>
      <w:tblStyleColBandSize w:val="1"/>
      <w:tblBorders>
        <w:top w:val="single" w:sz="8" w:space="0" w:color="1976D2" w:themeColor="accent1"/>
        <w:left w:val="single" w:sz="8" w:space="0" w:color="1976D2" w:themeColor="accent1"/>
        <w:bottom w:val="single" w:sz="8" w:space="0" w:color="1976D2" w:themeColor="accent1"/>
        <w:right w:val="single" w:sz="8" w:space="0" w:color="1976D2" w:themeColor="accent1"/>
        <w:insideH w:val="single" w:sz="8" w:space="0" w:color="1976D2" w:themeColor="accent1"/>
        <w:insideV w:val="single" w:sz="8" w:space="0" w:color="1976D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76D2" w:themeColor="accent1"/>
          <w:left w:val="single" w:sz="8" w:space="0" w:color="1976D2" w:themeColor="accent1"/>
          <w:bottom w:val="single" w:sz="18" w:space="0" w:color="1976D2" w:themeColor="accent1"/>
          <w:right w:val="single" w:sz="8" w:space="0" w:color="1976D2" w:themeColor="accent1"/>
          <w:insideH w:val="nil"/>
          <w:insideV w:val="single" w:sz="8" w:space="0" w:color="1976D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76D2" w:themeColor="accent1"/>
          <w:left w:val="single" w:sz="8" w:space="0" w:color="1976D2" w:themeColor="accent1"/>
          <w:bottom w:val="single" w:sz="8" w:space="0" w:color="1976D2" w:themeColor="accent1"/>
          <w:right w:val="single" w:sz="8" w:space="0" w:color="1976D2" w:themeColor="accent1"/>
          <w:insideH w:val="nil"/>
          <w:insideV w:val="single" w:sz="8" w:space="0" w:color="1976D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76D2" w:themeColor="accent1"/>
          <w:left w:val="single" w:sz="8" w:space="0" w:color="1976D2" w:themeColor="accent1"/>
          <w:bottom w:val="single" w:sz="8" w:space="0" w:color="1976D2" w:themeColor="accent1"/>
          <w:right w:val="single" w:sz="8" w:space="0" w:color="1976D2" w:themeColor="accent1"/>
        </w:tcBorders>
      </w:tcPr>
    </w:tblStylePr>
    <w:tblStylePr w:type="band1Vert">
      <w:tblPr/>
      <w:tcPr>
        <w:tcBorders>
          <w:top w:val="single" w:sz="8" w:space="0" w:color="1976D2" w:themeColor="accent1"/>
          <w:left w:val="single" w:sz="8" w:space="0" w:color="1976D2" w:themeColor="accent1"/>
          <w:bottom w:val="single" w:sz="8" w:space="0" w:color="1976D2" w:themeColor="accent1"/>
          <w:right w:val="single" w:sz="8" w:space="0" w:color="1976D2" w:themeColor="accent1"/>
        </w:tcBorders>
        <w:shd w:val="clear" w:color="auto" w:fill="C2DDF7" w:themeFill="accent1" w:themeFillTint="3F"/>
      </w:tcPr>
    </w:tblStylePr>
    <w:tblStylePr w:type="band1Horz">
      <w:tblPr/>
      <w:tcPr>
        <w:tcBorders>
          <w:top w:val="single" w:sz="8" w:space="0" w:color="1976D2" w:themeColor="accent1"/>
          <w:left w:val="single" w:sz="8" w:space="0" w:color="1976D2" w:themeColor="accent1"/>
          <w:bottom w:val="single" w:sz="8" w:space="0" w:color="1976D2" w:themeColor="accent1"/>
          <w:right w:val="single" w:sz="8" w:space="0" w:color="1976D2" w:themeColor="accent1"/>
          <w:insideV w:val="single" w:sz="8" w:space="0" w:color="1976D2" w:themeColor="accent1"/>
        </w:tcBorders>
        <w:shd w:val="clear" w:color="auto" w:fill="C2DDF7" w:themeFill="accent1" w:themeFillTint="3F"/>
      </w:tcPr>
    </w:tblStylePr>
    <w:tblStylePr w:type="band2Horz">
      <w:tblPr/>
      <w:tcPr>
        <w:tcBorders>
          <w:top w:val="single" w:sz="8" w:space="0" w:color="1976D2" w:themeColor="accent1"/>
          <w:left w:val="single" w:sz="8" w:space="0" w:color="1976D2" w:themeColor="accent1"/>
          <w:bottom w:val="single" w:sz="8" w:space="0" w:color="1976D2" w:themeColor="accent1"/>
          <w:right w:val="single" w:sz="8" w:space="0" w:color="1976D2" w:themeColor="accent1"/>
          <w:insideV w:val="single" w:sz="8" w:space="0" w:color="1976D2" w:themeColor="accent1"/>
        </w:tcBorders>
      </w:tcPr>
    </w:tblStylePr>
  </w:style>
  <w:style w:type="character" w:customStyle="1" w:styleId="form-strength">
    <w:name w:val="form-strength"/>
    <w:basedOn w:val="DefaultParagraphFont"/>
    <w:rsid w:val="005B1FB7"/>
  </w:style>
  <w:style w:type="table" w:styleId="LightGrid-Accent6">
    <w:name w:val="Light Grid Accent 6"/>
    <w:basedOn w:val="TableNormal"/>
    <w:uiPriority w:val="62"/>
    <w:rsid w:val="005B1FB7"/>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Grid-Accent3">
    <w:name w:val="Light Grid Accent 3"/>
    <w:basedOn w:val="TableNormal"/>
    <w:uiPriority w:val="62"/>
    <w:rsid w:val="005B1FB7"/>
    <w:pPr>
      <w:spacing w:after="0" w:line="240" w:lineRule="auto"/>
    </w:pPr>
    <w:tblPr>
      <w:tblStyleRowBandSize w:val="1"/>
      <w:tblStyleColBandSize w:val="1"/>
      <w:tblBorders>
        <w:top w:val="single" w:sz="8" w:space="0" w:color="00A2C1" w:themeColor="accent3"/>
        <w:left w:val="single" w:sz="8" w:space="0" w:color="00A2C1" w:themeColor="accent3"/>
        <w:bottom w:val="single" w:sz="8" w:space="0" w:color="00A2C1" w:themeColor="accent3"/>
        <w:right w:val="single" w:sz="8" w:space="0" w:color="00A2C1" w:themeColor="accent3"/>
        <w:insideH w:val="single" w:sz="8" w:space="0" w:color="00A2C1" w:themeColor="accent3"/>
        <w:insideV w:val="single" w:sz="8" w:space="0" w:color="00A2C1"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A2C1" w:themeColor="accent3"/>
          <w:left w:val="single" w:sz="8" w:space="0" w:color="00A2C1" w:themeColor="accent3"/>
          <w:bottom w:val="single" w:sz="18" w:space="0" w:color="00A2C1" w:themeColor="accent3"/>
          <w:right w:val="single" w:sz="8" w:space="0" w:color="00A2C1" w:themeColor="accent3"/>
          <w:insideH w:val="nil"/>
          <w:insideV w:val="single" w:sz="8" w:space="0" w:color="00A2C1"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A2C1" w:themeColor="accent3"/>
          <w:left w:val="single" w:sz="8" w:space="0" w:color="00A2C1" w:themeColor="accent3"/>
          <w:bottom w:val="single" w:sz="8" w:space="0" w:color="00A2C1" w:themeColor="accent3"/>
          <w:right w:val="single" w:sz="8" w:space="0" w:color="00A2C1" w:themeColor="accent3"/>
          <w:insideH w:val="nil"/>
          <w:insideV w:val="single" w:sz="8" w:space="0" w:color="00A2C1"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A2C1" w:themeColor="accent3"/>
          <w:left w:val="single" w:sz="8" w:space="0" w:color="00A2C1" w:themeColor="accent3"/>
          <w:bottom w:val="single" w:sz="8" w:space="0" w:color="00A2C1" w:themeColor="accent3"/>
          <w:right w:val="single" w:sz="8" w:space="0" w:color="00A2C1" w:themeColor="accent3"/>
        </w:tcBorders>
      </w:tcPr>
    </w:tblStylePr>
    <w:tblStylePr w:type="band1Vert">
      <w:tblPr/>
      <w:tcPr>
        <w:tcBorders>
          <w:top w:val="single" w:sz="8" w:space="0" w:color="00A2C1" w:themeColor="accent3"/>
          <w:left w:val="single" w:sz="8" w:space="0" w:color="00A2C1" w:themeColor="accent3"/>
          <w:bottom w:val="single" w:sz="8" w:space="0" w:color="00A2C1" w:themeColor="accent3"/>
          <w:right w:val="single" w:sz="8" w:space="0" w:color="00A2C1" w:themeColor="accent3"/>
        </w:tcBorders>
        <w:shd w:val="clear" w:color="auto" w:fill="B0F2FF" w:themeFill="accent3" w:themeFillTint="3F"/>
      </w:tcPr>
    </w:tblStylePr>
    <w:tblStylePr w:type="band1Horz">
      <w:tblPr/>
      <w:tcPr>
        <w:tcBorders>
          <w:top w:val="single" w:sz="8" w:space="0" w:color="00A2C1" w:themeColor="accent3"/>
          <w:left w:val="single" w:sz="8" w:space="0" w:color="00A2C1" w:themeColor="accent3"/>
          <w:bottom w:val="single" w:sz="8" w:space="0" w:color="00A2C1" w:themeColor="accent3"/>
          <w:right w:val="single" w:sz="8" w:space="0" w:color="00A2C1" w:themeColor="accent3"/>
          <w:insideV w:val="single" w:sz="8" w:space="0" w:color="00A2C1" w:themeColor="accent3"/>
        </w:tcBorders>
        <w:shd w:val="clear" w:color="auto" w:fill="B0F2FF" w:themeFill="accent3" w:themeFillTint="3F"/>
      </w:tcPr>
    </w:tblStylePr>
    <w:tblStylePr w:type="band2Horz">
      <w:tblPr/>
      <w:tcPr>
        <w:tcBorders>
          <w:top w:val="single" w:sz="8" w:space="0" w:color="00A2C1" w:themeColor="accent3"/>
          <w:left w:val="single" w:sz="8" w:space="0" w:color="00A2C1" w:themeColor="accent3"/>
          <w:bottom w:val="single" w:sz="8" w:space="0" w:color="00A2C1" w:themeColor="accent3"/>
          <w:right w:val="single" w:sz="8" w:space="0" w:color="00A2C1" w:themeColor="accent3"/>
          <w:insideV w:val="single" w:sz="8" w:space="0" w:color="00A2C1" w:themeColor="accent3"/>
        </w:tcBorders>
      </w:tcPr>
    </w:tblStylePr>
  </w:style>
  <w:style w:type="character" w:styleId="Emphasis">
    <w:name w:val="Emphasis"/>
    <w:basedOn w:val="DefaultParagraphFont"/>
    <w:uiPriority w:val="20"/>
    <w:qFormat/>
    <w:rsid w:val="004C215E"/>
    <w:rPr>
      <w:i/>
      <w:iCs/>
    </w:rPr>
  </w:style>
  <w:style w:type="paragraph" w:customStyle="1" w:styleId="BodyText1">
    <w:name w:val="Body Text1"/>
    <w:basedOn w:val="Normal"/>
    <w:link w:val="BodytextChar"/>
    <w:uiPriority w:val="1"/>
    <w:rsid w:val="004C215E"/>
    <w:pPr>
      <w:shd w:val="clear" w:color="auto" w:fill="FFFFFF" w:themeFill="background1"/>
      <w:spacing w:before="120" w:after="120" w:line="260" w:lineRule="exact"/>
    </w:pPr>
    <w:rPr>
      <w:rFonts w:ascii="Arial" w:eastAsia="Times New Roman" w:hAnsi="Arial" w:cs="Arial"/>
      <w:sz w:val="20"/>
      <w:szCs w:val="20"/>
    </w:rPr>
  </w:style>
  <w:style w:type="character" w:customStyle="1" w:styleId="BodytextChar">
    <w:name w:val="Body text Char"/>
    <w:basedOn w:val="DefaultParagraphFont"/>
    <w:link w:val="BodyText1"/>
    <w:uiPriority w:val="1"/>
    <w:rsid w:val="004C215E"/>
    <w:rPr>
      <w:rFonts w:ascii="Arial" w:eastAsia="Times New Roman" w:hAnsi="Arial" w:cs="Arial"/>
      <w:sz w:val="20"/>
      <w:szCs w:val="20"/>
      <w:shd w:val="clear" w:color="auto" w:fill="FFFFFF" w:themeFill="background1"/>
    </w:rPr>
  </w:style>
  <w:style w:type="paragraph" w:customStyle="1" w:styleId="Tablefootnote">
    <w:name w:val="Table footnote"/>
    <w:basedOn w:val="Normal"/>
    <w:next w:val="BodyText1"/>
    <w:link w:val="TablefootnoteCharChar"/>
    <w:uiPriority w:val="57"/>
    <w:rsid w:val="00865873"/>
    <w:pPr>
      <w:spacing w:before="60" w:after="360"/>
      <w:contextualSpacing/>
    </w:pPr>
    <w:rPr>
      <w:rFonts w:eastAsia="Times New Roman" w:cs="Times New Roman"/>
      <w:sz w:val="18"/>
      <w:szCs w:val="20"/>
    </w:rPr>
  </w:style>
  <w:style w:type="character" w:customStyle="1" w:styleId="TablefootnoteCharChar">
    <w:name w:val="Table footnote Char Char"/>
    <w:basedOn w:val="DefaultParagraphFont"/>
    <w:link w:val="Tablefootnote"/>
    <w:uiPriority w:val="57"/>
    <w:rsid w:val="00865873"/>
    <w:rPr>
      <w:rFonts w:asciiTheme="minorHAnsi" w:eastAsia="Times New Roman" w:hAnsiTheme="minorHAnsi" w:cs="Times New Roman"/>
      <w:sz w:val="18"/>
      <w:szCs w:val="20"/>
    </w:rPr>
  </w:style>
  <w:style w:type="paragraph" w:customStyle="1" w:styleId="Tabletitle">
    <w:name w:val="Table title"/>
    <w:basedOn w:val="Normal"/>
    <w:next w:val="BodyText1"/>
    <w:uiPriority w:val="99"/>
    <w:rsid w:val="00ED25C7"/>
    <w:pPr>
      <w:keepNext/>
      <w:numPr>
        <w:numId w:val="1"/>
      </w:numPr>
      <w:shd w:val="clear" w:color="auto" w:fill="FFFFFF" w:themeFill="background1"/>
      <w:spacing w:before="240" w:after="120" w:line="260" w:lineRule="exact"/>
      <w:outlineLvl w:val="2"/>
    </w:pPr>
    <w:rPr>
      <w:rFonts w:ascii="Arial Narrow" w:eastAsia="Times New Roman" w:hAnsi="Arial Narrow" w:cs="Arial"/>
      <w:b/>
      <w:caps/>
      <w:color w:val="4B306A"/>
      <w:sz w:val="16"/>
      <w:szCs w:val="20"/>
    </w:rPr>
  </w:style>
  <w:style w:type="table" w:customStyle="1" w:styleId="TableNPSstandard">
    <w:name w:val="Table NPS standard"/>
    <w:basedOn w:val="TableNormal"/>
    <w:rsid w:val="00ED25C7"/>
    <w:pPr>
      <w:spacing w:before="60" w:after="0" w:line="264" w:lineRule="auto"/>
    </w:pPr>
    <w:rPr>
      <w:rFonts w:ascii="Arial Narrow" w:eastAsia="Times New Roman" w:hAnsi="Arial Narrow" w:cs="Times New Roman"/>
      <w:sz w:val="20"/>
      <w:szCs w:val="20"/>
    </w:rPr>
    <w:tblPr>
      <w:tblInd w:w="142" w:type="dxa"/>
      <w:tblBorders>
        <w:bottom w:val="single" w:sz="12" w:space="0" w:color="401E6C"/>
        <w:insideH w:val="single" w:sz="4" w:space="0" w:color="C0C0C0"/>
        <w:insideV w:val="single" w:sz="8" w:space="0" w:color="FFFFFF"/>
      </w:tblBorders>
      <w:tblCellMar>
        <w:top w:w="28" w:type="dxa"/>
        <w:bottom w:w="28" w:type="dxa"/>
      </w:tblCellMar>
    </w:tblPr>
    <w:trPr>
      <w:cantSplit/>
    </w:trPr>
    <w:tblStylePr w:type="firstRow">
      <w:pPr>
        <w:jc w:val="left"/>
      </w:pPr>
      <w:rPr>
        <w:b/>
        <w:sz w:val="20"/>
      </w:rPr>
      <w:tblPr/>
      <w:trPr>
        <w:cantSplit w:val="0"/>
        <w:tblHeader/>
      </w:trPr>
      <w:tcPr>
        <w:tcBorders>
          <w:top w:val="nil"/>
          <w:left w:val="nil"/>
          <w:bottom w:val="single" w:sz="12" w:space="0" w:color="4B306A"/>
          <w:right w:val="nil"/>
          <w:insideH w:val="nil"/>
          <w:insideV w:val="nil"/>
          <w:tl2br w:val="nil"/>
          <w:tr2bl w:val="nil"/>
        </w:tcBorders>
        <w:vAlign w:val="bottom"/>
      </w:tcPr>
    </w:tblStylePr>
    <w:tblStylePr w:type="lastRow">
      <w:rPr>
        <w:b/>
      </w:rPr>
      <w:tblPr/>
      <w:tcPr>
        <w:tcBorders>
          <w:top w:val="nil"/>
          <w:left w:val="nil"/>
          <w:bottom w:val="single" w:sz="12" w:space="0" w:color="401E6C"/>
          <w:right w:val="nil"/>
          <w:insideH w:val="nil"/>
          <w:insideV w:val="single" w:sz="8" w:space="0" w:color="FFFFFF"/>
          <w:tl2br w:val="nil"/>
          <w:tr2bl w:val="nil"/>
        </w:tcBorders>
      </w:tcPr>
    </w:tblStylePr>
  </w:style>
  <w:style w:type="paragraph" w:customStyle="1" w:styleId="Tablebullet">
    <w:name w:val="Table bullet"/>
    <w:basedOn w:val="Normal"/>
    <w:uiPriority w:val="53"/>
    <w:rsid w:val="00ED25C7"/>
    <w:pPr>
      <w:numPr>
        <w:numId w:val="2"/>
      </w:numPr>
    </w:pPr>
    <w:rPr>
      <w:rFonts w:ascii="Arial Narrow" w:eastAsia="Times New Roman" w:hAnsi="Arial Narrow" w:cs="Times New Roman"/>
      <w:sz w:val="20"/>
    </w:rPr>
  </w:style>
  <w:style w:type="character" w:customStyle="1" w:styleId="Superscript">
    <w:name w:val="Superscript"/>
    <w:uiPriority w:val="18"/>
    <w:rsid w:val="00ED25C7"/>
    <w:rPr>
      <w:vertAlign w:val="superscript"/>
    </w:rPr>
  </w:style>
  <w:style w:type="paragraph" w:customStyle="1" w:styleId="ReportSubtitle">
    <w:name w:val="Report Subtitle"/>
    <w:basedOn w:val="Normal"/>
    <w:rsid w:val="00C212D4"/>
    <w:pPr>
      <w:spacing w:after="240"/>
      <w:ind w:left="720"/>
      <w:jc w:val="right"/>
    </w:pPr>
    <w:rPr>
      <w:rFonts w:ascii="Arial Bold" w:eastAsia="Times New Roman" w:hAnsi="Arial Bold" w:cs="Times New Roman"/>
      <w:b/>
      <w:bCs/>
      <w:color w:val="000000"/>
      <w:sz w:val="40"/>
      <w:szCs w:val="20"/>
    </w:rPr>
  </w:style>
  <w:style w:type="table" w:customStyle="1" w:styleId="TableGrid2">
    <w:name w:val="Table Grid2"/>
    <w:basedOn w:val="TableNormal"/>
    <w:next w:val="TableGrid"/>
    <w:uiPriority w:val="59"/>
    <w:rsid w:val="00325CA6"/>
    <w:pPr>
      <w:spacing w:after="0" w:line="240" w:lineRule="auto"/>
    </w:pPr>
    <w:rPr>
      <w:rFonts w:asciiTheme="minorHAnsi" w:hAnsiTheme="minorHAnsi"/>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GB">
    <w:name w:val="SGB"/>
    <w:basedOn w:val="TableNormal"/>
    <w:next w:val="TableGrid"/>
    <w:rsid w:val="00D30C12"/>
    <w:pPr>
      <w:spacing w:before="60" w:after="60" w:line="240" w:lineRule="auto"/>
    </w:pPr>
    <w:rPr>
      <w:rFonts w:asciiTheme="minorHAnsi" w:eastAsia="Times New Roman" w:hAnsiTheme="minorHAnsi" w:cs="Times New Roman"/>
      <w:sz w:val="18"/>
      <w:szCs w:val="20"/>
    </w:rPr>
    <w:tblPr>
      <w:tblStyleRowBandSize w:val="1"/>
      <w:tblBorders>
        <w:top w:val="single" w:sz="4" w:space="0" w:color="595959" w:themeColor="text1" w:themeTint="A6"/>
        <w:bottom w:val="single" w:sz="4" w:space="0" w:color="595959" w:themeColor="text1" w:themeTint="A6"/>
        <w:insideH w:val="single" w:sz="4" w:space="0" w:color="D9D9D9" w:themeColor="background1" w:themeShade="D9"/>
      </w:tblBorders>
    </w:tblPr>
    <w:trPr>
      <w:cantSplit/>
    </w:trPr>
    <w:tcPr>
      <w:tcMar>
        <w:left w:w="57" w:type="dxa"/>
        <w:right w:w="57" w:type="dxa"/>
      </w:tcMar>
    </w:tcPr>
    <w:tblStylePr w:type="firstRow">
      <w:pPr>
        <w:jc w:val="left"/>
      </w:pPr>
      <w:rPr>
        <w:rFonts w:asciiTheme="majorHAnsi" w:hAnsiTheme="majorHAnsi"/>
        <w:b/>
        <w:sz w:val="18"/>
      </w:rPr>
      <w:tblPr/>
      <w:trPr>
        <w:cantSplit/>
        <w:tblHeader/>
      </w:trPr>
      <w:tcPr>
        <w:tcBorders>
          <w:bottom w:val="single" w:sz="4" w:space="0" w:color="595959" w:themeColor="text1" w:themeTint="A6"/>
        </w:tcBorders>
        <w:shd w:val="clear" w:color="auto" w:fill="D9D9D9" w:themeFill="background1" w:themeFillShade="D9"/>
        <w:vAlign w:val="bottom"/>
      </w:tcPr>
    </w:tblStylePr>
    <w:tblStylePr w:type="lastRow">
      <w:rPr>
        <w:b/>
      </w:rPr>
      <w:tblPr/>
      <w:tcPr>
        <w:tcBorders>
          <w:top w:val="single" w:sz="4" w:space="0" w:color="auto"/>
          <w:left w:val="nil"/>
          <w:bottom w:val="single" w:sz="4" w:space="0" w:color="auto"/>
          <w:right w:val="nil"/>
          <w:insideH w:val="nil"/>
          <w:insideV w:val="nil"/>
          <w:tl2br w:val="nil"/>
          <w:tr2bl w:val="nil"/>
        </w:tcBorders>
      </w:tcPr>
    </w:tblStylePr>
    <w:tblStylePr w:type="firstCol">
      <w:rPr>
        <w:b/>
      </w:rPr>
    </w:tblStylePr>
    <w:tblStylePr w:type="lastCol">
      <w:rPr>
        <w:b/>
      </w:rPr>
    </w:tblStylePr>
    <w:tblStylePr w:type="band2Horz">
      <w:tblPr/>
      <w:tcPr>
        <w:shd w:val="clear" w:color="auto" w:fill="F2F2F2" w:themeFill="background1" w:themeFillShade="F2"/>
      </w:tcPr>
    </w:tblStylePr>
  </w:style>
  <w:style w:type="table" w:customStyle="1" w:styleId="TableGrid4">
    <w:name w:val="Table Grid4"/>
    <w:basedOn w:val="TableNormal"/>
    <w:next w:val="TableGrid"/>
    <w:rsid w:val="00B63B31"/>
    <w:pPr>
      <w:spacing w:after="0" w:line="240" w:lineRule="auto"/>
    </w:pPr>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rsid w:val="00B63B31"/>
    <w:pPr>
      <w:spacing w:after="0" w:line="240" w:lineRule="auto"/>
    </w:pPr>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rsid w:val="00073BF6"/>
    <w:pPr>
      <w:spacing w:after="0" w:line="240" w:lineRule="auto"/>
    </w:pPr>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uiPriority w:val="59"/>
    <w:rsid w:val="00E4187D"/>
    <w:pPr>
      <w:spacing w:after="0" w:line="240" w:lineRule="auto"/>
    </w:pPr>
    <w:rPr>
      <w:rFonts w:ascii="Calibri" w:eastAsia="Calibri" w:hAnsi="Calibri" w:cs="Times New Roman"/>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Para">
    <w:name w:val="Para"/>
    <w:aliases w:val="Paragraph,p"/>
    <w:basedOn w:val="Normal"/>
    <w:link w:val="ParaChar"/>
    <w:qFormat/>
    <w:rsid w:val="008B2CEE"/>
    <w:pPr>
      <w:spacing w:before="200" w:after="120" w:line="288" w:lineRule="auto"/>
    </w:pPr>
    <w:rPr>
      <w:rFonts w:eastAsia="MS Mincho" w:cs="Tahoma"/>
      <w:szCs w:val="20"/>
      <w:lang w:eastAsia="en-GB"/>
    </w:rPr>
  </w:style>
  <w:style w:type="character" w:customStyle="1" w:styleId="ParaChar">
    <w:name w:val="Para Char"/>
    <w:aliases w:val="Paragraph Char,p Char"/>
    <w:basedOn w:val="DefaultParagraphFont"/>
    <w:link w:val="Para"/>
    <w:rsid w:val="008B2CEE"/>
    <w:rPr>
      <w:rFonts w:asciiTheme="minorHAnsi" w:eastAsia="MS Mincho" w:hAnsiTheme="minorHAnsi" w:cs="Tahoma"/>
      <w:sz w:val="22"/>
      <w:szCs w:val="20"/>
      <w:lang w:eastAsia="en-GB"/>
    </w:rPr>
  </w:style>
  <w:style w:type="paragraph" w:customStyle="1" w:styleId="ParaKeep">
    <w:name w:val="Para Keep"/>
    <w:basedOn w:val="Para"/>
    <w:next w:val="Para"/>
    <w:uiPriority w:val="1"/>
    <w:qFormat/>
    <w:rsid w:val="004536F8"/>
    <w:pPr>
      <w:keepNext/>
      <w:spacing w:after="0"/>
    </w:pPr>
  </w:style>
  <w:style w:type="paragraph" w:styleId="ListBullet3">
    <w:name w:val="List Bullet 3"/>
    <w:basedOn w:val="Normal"/>
    <w:uiPriority w:val="99"/>
    <w:unhideWhenUsed/>
    <w:rsid w:val="00002533"/>
    <w:pPr>
      <w:numPr>
        <w:numId w:val="4"/>
      </w:numPr>
      <w:spacing w:after="120" w:line="288" w:lineRule="auto"/>
      <w:ind w:right="-340"/>
      <w:contextualSpacing/>
    </w:pPr>
    <w:rPr>
      <w:rFonts w:eastAsia="MS Mincho" w:cs="Tahoma"/>
      <w:sz w:val="20"/>
      <w:szCs w:val="20"/>
    </w:rPr>
  </w:style>
  <w:style w:type="paragraph" w:customStyle="1" w:styleId="Bullet1">
    <w:name w:val="Bullet 1"/>
    <w:aliases w:val="b1"/>
    <w:basedOn w:val="Normal"/>
    <w:link w:val="Bullet1Char"/>
    <w:uiPriority w:val="2"/>
    <w:qFormat/>
    <w:rsid w:val="007C4445"/>
    <w:pPr>
      <w:numPr>
        <w:numId w:val="19"/>
      </w:numPr>
      <w:spacing w:before="120" w:after="120" w:line="264" w:lineRule="auto"/>
    </w:pPr>
    <w:rPr>
      <w:rFonts w:eastAsia="@Arial Unicode MS" w:cs="Tahoma"/>
      <w:szCs w:val="20"/>
    </w:rPr>
  </w:style>
  <w:style w:type="paragraph" w:customStyle="1" w:styleId="Bullet1Keep">
    <w:name w:val="Bullet 1 Keep"/>
    <w:basedOn w:val="Bullet1"/>
    <w:next w:val="Bullet2"/>
    <w:uiPriority w:val="2"/>
    <w:qFormat/>
    <w:rsid w:val="001E04EB"/>
    <w:pPr>
      <w:keepNext/>
      <w:keepLines/>
      <w:spacing w:after="0"/>
      <w:ind w:left="568" w:hanging="284"/>
    </w:pPr>
  </w:style>
  <w:style w:type="paragraph" w:customStyle="1" w:styleId="Bullet2">
    <w:name w:val="Bullet 2"/>
    <w:aliases w:val="b2"/>
    <w:basedOn w:val="Normal"/>
    <w:uiPriority w:val="2"/>
    <w:qFormat/>
    <w:rsid w:val="007C4445"/>
    <w:pPr>
      <w:numPr>
        <w:ilvl w:val="1"/>
        <w:numId w:val="5"/>
      </w:numPr>
      <w:spacing w:line="264" w:lineRule="auto"/>
      <w:ind w:left="851"/>
    </w:pPr>
    <w:rPr>
      <w:rFonts w:eastAsia="@Arial Unicode MS" w:cs="Tahoma"/>
      <w:szCs w:val="20"/>
    </w:rPr>
  </w:style>
  <w:style w:type="paragraph" w:customStyle="1" w:styleId="TableText">
    <w:name w:val="Table Text"/>
    <w:aliases w:val="tt,table Body Text,table text"/>
    <w:basedOn w:val="Para"/>
    <w:link w:val="TableTextChar"/>
    <w:uiPriority w:val="3"/>
    <w:qFormat/>
    <w:rsid w:val="00105877"/>
    <w:pPr>
      <w:spacing w:before="60" w:after="60" w:line="240" w:lineRule="auto"/>
    </w:pPr>
    <w:rPr>
      <w:sz w:val="18"/>
    </w:rPr>
  </w:style>
  <w:style w:type="character" w:customStyle="1" w:styleId="TableTextChar">
    <w:name w:val="Table Text Char"/>
    <w:aliases w:val="tt Char,table Body Text Char,table text Char"/>
    <w:link w:val="TableText"/>
    <w:uiPriority w:val="3"/>
    <w:rsid w:val="00A24C55"/>
    <w:rPr>
      <w:rFonts w:asciiTheme="minorHAnsi" w:eastAsia="MS Mincho" w:hAnsiTheme="minorHAnsi" w:cs="Tahoma"/>
      <w:sz w:val="18"/>
      <w:szCs w:val="20"/>
      <w:lang w:eastAsia="en-GB"/>
    </w:rPr>
  </w:style>
  <w:style w:type="character" w:styleId="UnresolvedMention">
    <w:name w:val="Unresolved Mention"/>
    <w:basedOn w:val="DefaultParagraphFont"/>
    <w:uiPriority w:val="99"/>
    <w:unhideWhenUsed/>
    <w:rsid w:val="00861DA7"/>
    <w:rPr>
      <w:color w:val="605E5C"/>
      <w:shd w:val="clear" w:color="auto" w:fill="E1DFDD"/>
    </w:rPr>
  </w:style>
  <w:style w:type="character" w:styleId="BookTitle">
    <w:name w:val="Book Title"/>
    <w:uiPriority w:val="34"/>
    <w:rsid w:val="00A306FA"/>
    <w:rPr>
      <w:b w:val="0"/>
      <w:bCs/>
      <w:i/>
      <w:iCs/>
      <w:spacing w:val="0"/>
    </w:rPr>
  </w:style>
  <w:style w:type="paragraph" w:customStyle="1" w:styleId="List1">
    <w:name w:val="List 1"/>
    <w:aliases w:val="l1"/>
    <w:basedOn w:val="Para"/>
    <w:uiPriority w:val="2"/>
    <w:qFormat/>
    <w:rsid w:val="004536F8"/>
    <w:pPr>
      <w:tabs>
        <w:tab w:val="num" w:pos="6095"/>
      </w:tabs>
      <w:spacing w:before="120"/>
      <w:ind w:left="357" w:hanging="357"/>
    </w:pPr>
    <w:rPr>
      <w:rFonts w:eastAsia="Calibri" w:cs="Times New Roman"/>
    </w:rPr>
  </w:style>
  <w:style w:type="character" w:styleId="Mention">
    <w:name w:val="Mention"/>
    <w:basedOn w:val="DefaultParagraphFont"/>
    <w:uiPriority w:val="99"/>
    <w:unhideWhenUsed/>
    <w:rsid w:val="00A91C14"/>
    <w:rPr>
      <w:color w:val="2B579A"/>
      <w:shd w:val="clear" w:color="auto" w:fill="E1DFDD"/>
    </w:rPr>
  </w:style>
  <w:style w:type="table" w:customStyle="1" w:styleId="AHALight">
    <w:name w:val="AHA Light"/>
    <w:basedOn w:val="TableNormal"/>
    <w:uiPriority w:val="99"/>
    <w:rsid w:val="00C0044E"/>
    <w:pPr>
      <w:spacing w:before="60" w:after="60" w:line="240" w:lineRule="auto"/>
    </w:pPr>
    <w:rPr>
      <w:rFonts w:asciiTheme="minorHAnsi" w:eastAsia="Calibri" w:hAnsiTheme="minorHAnsi" w:cs="Times New Roman"/>
      <w:sz w:val="20"/>
      <w:szCs w:val="20"/>
    </w:rPr>
    <w:tblPr>
      <w:tblStyleRowBandSize w:val="1"/>
      <w:tblStyleColBandSize w:val="1"/>
      <w:tblBorders>
        <w:top w:val="single" w:sz="4" w:space="0" w:color="B8E0FF" w:themeColor="text2" w:themeTint="33"/>
        <w:bottom w:val="single" w:sz="4" w:space="0" w:color="005A9F" w:themeColor="text2"/>
        <w:insideH w:val="single" w:sz="4" w:space="0" w:color="B8E0FF" w:themeColor="text2" w:themeTint="33"/>
      </w:tblBorders>
    </w:tblPr>
    <w:trPr>
      <w:cantSplit/>
    </w:trPr>
    <w:tcPr>
      <w:shd w:val="clear" w:color="auto" w:fill="auto"/>
    </w:tcPr>
    <w:tblStylePr w:type="firstRow">
      <w:pPr>
        <w:keepNext/>
        <w:keepLines/>
        <w:pageBreakBefore w:val="0"/>
        <w:widowControl/>
        <w:wordWrap/>
        <w:spacing w:beforeLines="0" w:before="120" w:beforeAutospacing="0" w:afterLines="0" w:after="60" w:afterAutospacing="0" w:line="240" w:lineRule="auto"/>
        <w:contextualSpacing w:val="0"/>
        <w:jc w:val="left"/>
      </w:pPr>
      <w:rPr>
        <w:b/>
        <w:color w:val="005A9F" w:themeColor="text2"/>
      </w:rPr>
      <w:tblPr/>
      <w:tcPr>
        <w:tcBorders>
          <w:top w:val="single" w:sz="4" w:space="0" w:color="005A9F" w:themeColor="text2"/>
          <w:left w:val="nil"/>
          <w:bottom w:val="single" w:sz="4" w:space="0" w:color="005A9F" w:themeColor="text2"/>
          <w:right w:val="nil"/>
          <w:insideH w:val="nil"/>
          <w:insideV w:val="nil"/>
          <w:tl2br w:val="nil"/>
          <w:tr2bl w:val="nil"/>
        </w:tcBorders>
        <w:shd w:val="clear" w:color="auto" w:fill="auto"/>
      </w:tcPr>
    </w:tblStylePr>
    <w:tblStylePr w:type="lastRow">
      <w:rPr>
        <w:b/>
      </w:rPr>
      <w:tblPr/>
      <w:tcPr>
        <w:tcBorders>
          <w:top w:val="single" w:sz="6" w:space="0" w:color="005A9F" w:themeColor="text2"/>
          <w:left w:val="nil"/>
          <w:bottom w:val="double" w:sz="4" w:space="0" w:color="005A9F" w:themeColor="text2"/>
          <w:right w:val="nil"/>
          <w:insideH w:val="nil"/>
          <w:insideV w:val="nil"/>
          <w:tl2br w:val="nil"/>
          <w:tr2bl w:val="nil"/>
        </w:tcBorders>
        <w:shd w:val="clear" w:color="auto" w:fill="E2F4FF" w:themeFill="background2" w:themeFillTint="33"/>
      </w:tcPr>
    </w:tblStylePr>
    <w:tblStylePr w:type="firstCol">
      <w:rPr>
        <w:b/>
      </w:rPr>
    </w:tblStylePr>
    <w:tblStylePr w:type="lastCol">
      <w:rPr>
        <w:b/>
      </w:rPr>
    </w:tblStylePr>
    <w:tblStylePr w:type="band1Vert">
      <w:tblPr/>
      <w:tcPr>
        <w:tcBorders>
          <w:left w:val="single" w:sz="4" w:space="0" w:color="CDE3F9" w:themeColor="accent1" w:themeTint="33"/>
          <w:right w:val="single" w:sz="4" w:space="0" w:color="CDE3F9" w:themeColor="accent1" w:themeTint="33"/>
        </w:tcBorders>
      </w:tcPr>
    </w:tblStylePr>
    <w:tblStylePr w:type="band2Vert">
      <w:tblPr/>
      <w:tcPr>
        <w:tcBorders>
          <w:left w:val="nil"/>
          <w:right w:val="nil"/>
        </w:tcBorders>
      </w:tcPr>
    </w:tblStylePr>
    <w:tblStylePr w:type="band1Horz">
      <w:tblPr/>
      <w:tcPr>
        <w:shd w:val="clear" w:color="auto" w:fill="F2F2F2" w:themeFill="background1" w:themeFillShade="F2"/>
      </w:tcPr>
    </w:tblStylePr>
  </w:style>
  <w:style w:type="paragraph" w:styleId="BodyText">
    <w:name w:val="Body Text"/>
    <w:basedOn w:val="Normal"/>
    <w:link w:val="BodyTextChar0"/>
    <w:rsid w:val="004D1AA2"/>
    <w:pPr>
      <w:spacing w:before="200" w:after="120" w:line="276" w:lineRule="auto"/>
    </w:pPr>
  </w:style>
  <w:style w:type="character" w:customStyle="1" w:styleId="BodyTextChar0">
    <w:name w:val="Body Text Char"/>
    <w:basedOn w:val="DefaultParagraphFont"/>
    <w:link w:val="BodyText"/>
    <w:rsid w:val="00412650"/>
    <w:rPr>
      <w:rFonts w:asciiTheme="minorHAnsi" w:hAnsiTheme="minorHAnsi"/>
      <w:sz w:val="22"/>
    </w:rPr>
  </w:style>
  <w:style w:type="character" w:customStyle="1" w:styleId="A4">
    <w:name w:val="A4"/>
    <w:uiPriority w:val="99"/>
    <w:rsid w:val="00CA7EDE"/>
    <w:rPr>
      <w:rFonts w:cs="Roboto Light"/>
      <w:color w:val="211D1E"/>
      <w:sz w:val="10"/>
      <w:szCs w:val="10"/>
    </w:rPr>
  </w:style>
  <w:style w:type="paragraph" w:styleId="ListNumber">
    <w:name w:val="List Number"/>
    <w:basedOn w:val="Normal"/>
    <w:uiPriority w:val="99"/>
    <w:unhideWhenUsed/>
    <w:rsid w:val="007127FC"/>
    <w:pPr>
      <w:numPr>
        <w:numId w:val="6"/>
      </w:numPr>
      <w:contextualSpacing/>
    </w:pPr>
  </w:style>
  <w:style w:type="paragraph" w:styleId="ListNumber2">
    <w:name w:val="List Number 2"/>
    <w:basedOn w:val="Normal"/>
    <w:uiPriority w:val="99"/>
    <w:unhideWhenUsed/>
    <w:rsid w:val="007127FC"/>
    <w:pPr>
      <w:numPr>
        <w:numId w:val="7"/>
      </w:numPr>
      <w:contextualSpacing/>
    </w:pPr>
  </w:style>
  <w:style w:type="paragraph" w:styleId="ListParagraph">
    <w:name w:val="List Paragraph"/>
    <w:aliases w:val="List Paragraph1,Recommendation,Footnote,BulletPoints"/>
    <w:basedOn w:val="Normal"/>
    <w:link w:val="ListParagraphChar"/>
    <w:uiPriority w:val="34"/>
    <w:qFormat/>
    <w:rsid w:val="00DE7564"/>
    <w:pPr>
      <w:ind w:left="720"/>
      <w:contextualSpacing/>
    </w:pPr>
    <w:rPr>
      <w:rFonts w:ascii="Times New Roman" w:eastAsia="Times New Roman" w:hAnsi="Times New Roman" w:cs="Times New Roman"/>
      <w:sz w:val="24"/>
    </w:rPr>
  </w:style>
  <w:style w:type="paragraph" w:customStyle="1" w:styleId="Normal0">
    <w:name w:val="[Normal]"/>
    <w:uiPriority w:val="99"/>
    <w:rsid w:val="005B3C76"/>
    <w:pPr>
      <w:widowControl w:val="0"/>
      <w:autoSpaceDE w:val="0"/>
      <w:autoSpaceDN w:val="0"/>
      <w:adjustRightInd w:val="0"/>
      <w:spacing w:after="0" w:line="240" w:lineRule="auto"/>
    </w:pPr>
    <w:rPr>
      <w:rFonts w:ascii="Arial" w:eastAsia="Calibri" w:hAnsi="Arial" w:cs="Arial"/>
    </w:rPr>
  </w:style>
  <w:style w:type="paragraph" w:styleId="List2">
    <w:name w:val="List 2"/>
    <w:basedOn w:val="Normal"/>
    <w:uiPriority w:val="99"/>
    <w:unhideWhenUsed/>
    <w:rsid w:val="00AA629B"/>
    <w:pPr>
      <w:ind w:left="566" w:hanging="283"/>
      <w:contextualSpacing/>
    </w:pPr>
  </w:style>
  <w:style w:type="paragraph" w:styleId="List">
    <w:name w:val="List"/>
    <w:basedOn w:val="Normal"/>
    <w:uiPriority w:val="99"/>
    <w:unhideWhenUsed/>
    <w:rsid w:val="00AA629B"/>
    <w:pPr>
      <w:ind w:left="283" w:hanging="283"/>
      <w:contextualSpacing/>
    </w:pPr>
  </w:style>
  <w:style w:type="character" w:styleId="SubtleEmphasis">
    <w:name w:val="Subtle Emphasis"/>
    <w:basedOn w:val="DefaultParagraphFont"/>
    <w:uiPriority w:val="19"/>
    <w:qFormat/>
    <w:rsid w:val="00E636CB"/>
    <w:rPr>
      <w:i/>
      <w:iCs/>
      <w:color w:val="404040" w:themeColor="text1" w:themeTint="BF"/>
    </w:rPr>
  </w:style>
  <w:style w:type="character" w:customStyle="1" w:styleId="muxgbd">
    <w:name w:val="muxgbd"/>
    <w:basedOn w:val="DefaultParagraphFont"/>
    <w:rsid w:val="00F440FF"/>
  </w:style>
  <w:style w:type="character" w:customStyle="1" w:styleId="sr-only">
    <w:name w:val="sr-only"/>
    <w:basedOn w:val="DefaultParagraphFont"/>
    <w:rsid w:val="00DB4D30"/>
  </w:style>
  <w:style w:type="character" w:customStyle="1" w:styleId="normaltextrun">
    <w:name w:val="normaltextrun"/>
    <w:basedOn w:val="DefaultParagraphFont"/>
    <w:rsid w:val="000770E1"/>
  </w:style>
  <w:style w:type="character" w:customStyle="1" w:styleId="eop">
    <w:name w:val="eop"/>
    <w:basedOn w:val="DefaultParagraphFont"/>
    <w:rsid w:val="000770E1"/>
  </w:style>
  <w:style w:type="paragraph" w:customStyle="1" w:styleId="TableBullet1">
    <w:name w:val="Table Bullet 1"/>
    <w:basedOn w:val="TableText"/>
    <w:uiPriority w:val="4"/>
    <w:rsid w:val="00872401"/>
    <w:pPr>
      <w:numPr>
        <w:numId w:val="12"/>
      </w:numPr>
      <w:spacing w:before="40" w:after="40"/>
    </w:pPr>
    <w:rPr>
      <w:rFonts w:ascii="Segoe UI" w:eastAsia="Calibri" w:hAnsi="Segoe UI" w:cs="Times New Roman"/>
    </w:rPr>
  </w:style>
  <w:style w:type="paragraph" w:styleId="ListBullet2">
    <w:name w:val="List Bullet 2"/>
    <w:basedOn w:val="Normal"/>
    <w:uiPriority w:val="99"/>
    <w:unhideWhenUsed/>
    <w:rsid w:val="004A728B"/>
    <w:pPr>
      <w:tabs>
        <w:tab w:val="num" w:pos="643"/>
      </w:tabs>
      <w:ind w:left="643" w:hanging="360"/>
      <w:contextualSpacing/>
    </w:pPr>
    <w:rPr>
      <w:rFonts w:ascii="Segoe UI" w:eastAsia="Calibri" w:hAnsi="Segoe UI" w:cs="Times New Roman"/>
      <w:sz w:val="20"/>
      <w:szCs w:val="20"/>
    </w:rPr>
  </w:style>
  <w:style w:type="character" w:customStyle="1" w:styleId="Bullet1Char">
    <w:name w:val="Bullet 1 Char"/>
    <w:basedOn w:val="DefaultParagraphFont"/>
    <w:link w:val="Bullet1"/>
    <w:uiPriority w:val="2"/>
    <w:rsid w:val="007C4445"/>
    <w:rPr>
      <w:rFonts w:asciiTheme="minorHAnsi" w:eastAsia="@Arial Unicode MS" w:hAnsiTheme="minorHAnsi" w:cs="Tahoma"/>
      <w:sz w:val="22"/>
      <w:szCs w:val="20"/>
    </w:rPr>
  </w:style>
  <w:style w:type="paragraph" w:customStyle="1" w:styleId="Tablepara">
    <w:name w:val="Table para"/>
    <w:basedOn w:val="TableText"/>
    <w:qFormat/>
    <w:rsid w:val="00B21BE9"/>
    <w:pPr>
      <w:snapToGrid w:val="0"/>
      <w:spacing w:before="120" w:after="120"/>
    </w:pPr>
    <w:rPr>
      <w:sz w:val="22"/>
      <w:szCs w:val="18"/>
    </w:rPr>
  </w:style>
  <w:style w:type="character" w:customStyle="1" w:styleId="cf01">
    <w:name w:val="cf01"/>
    <w:basedOn w:val="DefaultParagraphFont"/>
    <w:rsid w:val="009B6C04"/>
    <w:rPr>
      <w:rFonts w:ascii="Segoe UI" w:hAnsi="Segoe UI" w:cs="Segoe UI" w:hint="default"/>
      <w:sz w:val="18"/>
      <w:szCs w:val="18"/>
    </w:rPr>
  </w:style>
  <w:style w:type="paragraph" w:customStyle="1" w:styleId="TableTextRight">
    <w:name w:val="Table Text Right"/>
    <w:basedOn w:val="TableText"/>
    <w:qFormat/>
    <w:rsid w:val="00AF0036"/>
    <w:pPr>
      <w:jc w:val="right"/>
    </w:pPr>
    <w:rPr>
      <w:lang w:val="en-GB"/>
    </w:rPr>
  </w:style>
  <w:style w:type="paragraph" w:customStyle="1" w:styleId="Image">
    <w:name w:val="Image"/>
    <w:basedOn w:val="Normal"/>
    <w:next w:val="Caption"/>
    <w:qFormat/>
    <w:rsid w:val="00621C08"/>
    <w:pPr>
      <w:keepNext/>
      <w:spacing w:before="240"/>
      <w:jc w:val="center"/>
    </w:pPr>
  </w:style>
  <w:style w:type="paragraph" w:customStyle="1" w:styleId="TableText0">
    <w:name w:val="TableText"/>
    <w:basedOn w:val="Normal"/>
    <w:rsid w:val="00D87285"/>
    <w:pPr>
      <w:keepNext/>
      <w:spacing w:before="60" w:after="60"/>
    </w:pPr>
    <w:rPr>
      <w:rFonts w:ascii="Times New Roman" w:eastAsia="Times New Roman" w:hAnsi="Times New Roman" w:cs="Times New Roman"/>
      <w:color w:val="000000"/>
      <w:sz w:val="21"/>
      <w:szCs w:val="21"/>
    </w:rPr>
  </w:style>
  <w:style w:type="paragraph" w:customStyle="1" w:styleId="TableHeading">
    <w:name w:val="TableHeading"/>
    <w:basedOn w:val="TableText0"/>
    <w:rsid w:val="00D87285"/>
    <w:rPr>
      <w:b/>
      <w:bCs/>
    </w:rPr>
  </w:style>
  <w:style w:type="paragraph" w:customStyle="1" w:styleId="TableNumberedList">
    <w:name w:val="TableNumberedList"/>
    <w:basedOn w:val="TableText0"/>
    <w:autoRedefine/>
    <w:rsid w:val="000C1553"/>
    <w:pPr>
      <w:keepNext w:val="0"/>
    </w:pPr>
  </w:style>
  <w:style w:type="paragraph" w:styleId="TableofFigures">
    <w:name w:val="table of figures"/>
    <w:basedOn w:val="Normal"/>
    <w:next w:val="Normal"/>
    <w:uiPriority w:val="99"/>
    <w:unhideWhenUsed/>
    <w:rsid w:val="006B705C"/>
    <w:pPr>
      <w:tabs>
        <w:tab w:val="left" w:pos="993"/>
        <w:tab w:val="right" w:leader="dot" w:pos="9322"/>
      </w:tabs>
      <w:spacing w:before="120" w:after="120"/>
      <w:ind w:left="992" w:hanging="992"/>
    </w:pPr>
    <w:rPr>
      <w:noProof/>
    </w:rPr>
  </w:style>
  <w:style w:type="character" w:customStyle="1" w:styleId="CaptionChar">
    <w:name w:val="Caption Char"/>
    <w:aliases w:val="c Char,Caption Char Char Char Char Char Char Char Char1,Caption Char Char Char Char Char Char Char Char Char,Caption Char Char Char Char Char Char Char1,Text Caption Char"/>
    <w:basedOn w:val="DefaultParagraphFont"/>
    <w:link w:val="Caption"/>
    <w:uiPriority w:val="35"/>
    <w:rsid w:val="00AE52BF"/>
    <w:rPr>
      <w:rFonts w:ascii="Segoe UI Semilight" w:eastAsia="Times New Roman" w:hAnsi="Segoe UI Semilight" w:cs="Times New Roman"/>
      <w:bCs/>
      <w:sz w:val="20"/>
      <w:szCs w:val="18"/>
    </w:rPr>
  </w:style>
  <w:style w:type="paragraph" w:customStyle="1" w:styleId="TableHeading1Centred">
    <w:name w:val="Table Heading 1_Centred"/>
    <w:basedOn w:val="Normal"/>
    <w:next w:val="TableText"/>
    <w:uiPriority w:val="4"/>
    <w:qFormat/>
    <w:rsid w:val="00AE52BF"/>
    <w:pPr>
      <w:keepNext/>
      <w:keepLines/>
      <w:tabs>
        <w:tab w:val="left" w:pos="318"/>
      </w:tabs>
      <w:spacing w:before="40" w:after="20"/>
      <w:jc w:val="center"/>
    </w:pPr>
    <w:rPr>
      <w:rFonts w:cs="Calibri"/>
      <w:color w:val="005A9F" w:themeColor="text2"/>
      <w:sz w:val="20"/>
      <w:szCs w:val="20"/>
    </w:rPr>
  </w:style>
  <w:style w:type="character" w:customStyle="1" w:styleId="ListParagraphChar">
    <w:name w:val="List Paragraph Char"/>
    <w:aliases w:val="List Paragraph1 Char,Recommendation Char,Footnote Char,BulletPoints Char"/>
    <w:link w:val="ListParagraph"/>
    <w:uiPriority w:val="34"/>
    <w:locked/>
    <w:rsid w:val="00AE52BF"/>
    <w:rPr>
      <w:rFonts w:eastAsia="Times New Roman" w:cs="Times New Roman"/>
    </w:rPr>
  </w:style>
  <w:style w:type="paragraph" w:customStyle="1" w:styleId="TableTextCentred">
    <w:name w:val="Table Text_Centred"/>
    <w:basedOn w:val="TableText"/>
    <w:qFormat/>
    <w:rsid w:val="00504B19"/>
    <w:pPr>
      <w:jc w:val="center"/>
    </w:pPr>
    <w:rPr>
      <w:rFonts w:eastAsia="Arial Unicode MS"/>
      <w:szCs w:val="22"/>
      <w:lang w:val="en-GB" w:eastAsia="en-AU"/>
    </w:rPr>
  </w:style>
  <w:style w:type="paragraph" w:styleId="ListBullet4">
    <w:name w:val="List Bullet 4"/>
    <w:basedOn w:val="Normal"/>
    <w:uiPriority w:val="99"/>
    <w:unhideWhenUsed/>
    <w:rsid w:val="00AE52BF"/>
    <w:pPr>
      <w:tabs>
        <w:tab w:val="num" w:pos="1209"/>
      </w:tabs>
      <w:ind w:left="1209" w:right="-340" w:hanging="360"/>
      <w:contextualSpacing/>
    </w:pPr>
    <w:rPr>
      <w:rFonts w:eastAsia="MS Mincho" w:cs="Tahoma"/>
      <w:sz w:val="20"/>
      <w:szCs w:val="20"/>
    </w:rPr>
  </w:style>
  <w:style w:type="character" w:customStyle="1" w:styleId="Blue">
    <w:name w:val="Blue"/>
    <w:uiPriority w:val="1"/>
    <w:rsid w:val="0083571D"/>
    <w:rPr>
      <w:color w:val="005A9F" w:themeColor="text2"/>
    </w:rPr>
  </w:style>
  <w:style w:type="paragraph" w:styleId="IntenseQuote">
    <w:name w:val="Intense Quote"/>
    <w:basedOn w:val="Normal"/>
    <w:next w:val="Normal"/>
    <w:link w:val="IntenseQuoteChar"/>
    <w:uiPriority w:val="30"/>
    <w:qFormat/>
    <w:rsid w:val="004F78E2"/>
    <w:pPr>
      <w:keepLines/>
      <w:pBdr>
        <w:top w:val="single" w:sz="4" w:space="10" w:color="1976D2" w:themeColor="accent1"/>
        <w:bottom w:val="single" w:sz="4" w:space="10" w:color="1976D2" w:themeColor="accent1"/>
      </w:pBdr>
      <w:spacing w:before="240" w:after="240" w:line="264" w:lineRule="auto"/>
      <w:ind w:left="714" w:right="714"/>
    </w:pPr>
    <w:rPr>
      <w:iCs/>
    </w:rPr>
  </w:style>
  <w:style w:type="character" w:customStyle="1" w:styleId="IntenseQuoteChar">
    <w:name w:val="Intense Quote Char"/>
    <w:basedOn w:val="DefaultParagraphFont"/>
    <w:link w:val="IntenseQuote"/>
    <w:uiPriority w:val="30"/>
    <w:rsid w:val="00FC1507"/>
    <w:rPr>
      <w:rFonts w:asciiTheme="minorHAnsi" w:hAnsiTheme="minorHAnsi"/>
      <w:iCs/>
      <w:sz w:val="22"/>
    </w:rPr>
  </w:style>
  <w:style w:type="paragraph" w:customStyle="1" w:styleId="pf0">
    <w:name w:val="pf0"/>
    <w:basedOn w:val="Normal"/>
    <w:rsid w:val="00175364"/>
    <w:pPr>
      <w:spacing w:before="100" w:beforeAutospacing="1" w:after="100" w:afterAutospacing="1"/>
    </w:pPr>
    <w:rPr>
      <w:rFonts w:ascii="Times New Roman" w:eastAsia="Times New Roman" w:hAnsi="Times New Roman" w:cs="Times New Roman"/>
      <w:sz w:val="24"/>
    </w:rPr>
  </w:style>
  <w:style w:type="paragraph" w:customStyle="1" w:styleId="Caption-image">
    <w:name w:val="Caption - image"/>
    <w:basedOn w:val="Caption"/>
    <w:next w:val="Para"/>
    <w:qFormat/>
    <w:rsid w:val="007D09D7"/>
    <w:pPr>
      <w:keepNext w:val="0"/>
      <w:keepLines/>
      <w:spacing w:before="60" w:after="240"/>
      <w:jc w:val="center"/>
    </w:pPr>
    <w:rPr>
      <w:rFonts w:eastAsia="@Arial Unicode MS"/>
    </w:rPr>
  </w:style>
  <w:style w:type="paragraph" w:customStyle="1" w:styleId="TableBullet2">
    <w:name w:val="Table Bullet 2"/>
    <w:aliases w:val="tb2"/>
    <w:basedOn w:val="Normal"/>
    <w:qFormat/>
    <w:rsid w:val="00960EB0"/>
    <w:pPr>
      <w:numPr>
        <w:numId w:val="16"/>
      </w:numPr>
      <w:spacing w:before="60" w:after="60"/>
      <w:contextualSpacing/>
    </w:pPr>
    <w:rPr>
      <w:rFonts w:eastAsia="Times New Roman" w:cs="Times New Roman"/>
      <w:color w:val="262626" w:themeColor="text1" w:themeTint="D9"/>
      <w:sz w:val="18"/>
      <w:lang w:val="en-GB" w:eastAsia="en-US"/>
    </w:rPr>
  </w:style>
  <w:style w:type="paragraph" w:customStyle="1" w:styleId="Alttext">
    <w:name w:val="Alt text"/>
    <w:link w:val="AlttextChar"/>
    <w:qFormat/>
    <w:rsid w:val="00045D06"/>
    <w:pPr>
      <w:keepNext/>
      <w:keepLines/>
      <w:spacing w:after="0" w:line="240" w:lineRule="auto"/>
    </w:pPr>
    <w:rPr>
      <w:rFonts w:asciiTheme="minorHAnsi" w:eastAsia="MS Mincho" w:hAnsiTheme="minorHAnsi" w:cs="Tahoma"/>
      <w:color w:val="FFFFFF" w:themeColor="background1"/>
      <w:sz w:val="2"/>
      <w:szCs w:val="20"/>
      <w:lang w:eastAsia="en-GB"/>
    </w:rPr>
  </w:style>
  <w:style w:type="character" w:customStyle="1" w:styleId="AlttextChar">
    <w:name w:val="Alt text Char"/>
    <w:basedOn w:val="DefaultParagraphFont"/>
    <w:link w:val="Alttext"/>
    <w:rsid w:val="00045D06"/>
    <w:rPr>
      <w:rFonts w:asciiTheme="minorHAnsi" w:eastAsia="MS Mincho" w:hAnsiTheme="minorHAnsi" w:cs="Tahoma"/>
      <w:color w:val="FFFFFF" w:themeColor="background1"/>
      <w:sz w:val="2"/>
      <w:szCs w:val="20"/>
      <w:lang w:eastAsia="en-GB"/>
    </w:rPr>
  </w:style>
  <w:style w:type="paragraph" w:customStyle="1" w:styleId="Tabletextkeep">
    <w:name w:val="Table text keep"/>
    <w:basedOn w:val="TableText"/>
    <w:qFormat/>
    <w:rsid w:val="00C54F28"/>
    <w:pPr>
      <w:keepNext/>
    </w:pPr>
    <w:rPr>
      <w:rFonts w:cstheme="minorHAnsi"/>
    </w:rPr>
  </w:style>
  <w:style w:type="paragraph" w:customStyle="1" w:styleId="Pullquote">
    <w:name w:val="Pull quote"/>
    <w:basedOn w:val="Normal"/>
    <w:qFormat/>
    <w:rsid w:val="00DC528C"/>
    <w:pPr>
      <w:keepLines/>
      <w:numPr>
        <w:numId w:val="21"/>
      </w:numPr>
      <w:spacing w:after="480" w:line="288" w:lineRule="auto"/>
      <w:ind w:right="567"/>
    </w:pPr>
    <w:rPr>
      <w:rFonts w:ascii="Segoe UI" w:eastAsia="Calibri" w:hAnsi="Segoe UI" w:cs="Times New Roman"/>
      <w:iCs/>
      <w:szCs w:val="16"/>
      <w:lang w:eastAsia="en-GB"/>
    </w:rPr>
  </w:style>
  <w:style w:type="paragraph" w:customStyle="1" w:styleId="HeadingA1">
    <w:name w:val="Heading A1"/>
    <w:basedOn w:val="Heading1"/>
    <w:qFormat/>
    <w:rsid w:val="00994B46"/>
    <w:pPr>
      <w:numPr>
        <w:numId w:val="17"/>
      </w:numPr>
      <w:tabs>
        <w:tab w:val="left" w:pos="2410"/>
      </w:tabs>
    </w:pPr>
  </w:style>
  <w:style w:type="paragraph" w:customStyle="1" w:styleId="HeadingA2">
    <w:name w:val="Heading A2"/>
    <w:basedOn w:val="Heading2"/>
    <w:qFormat/>
    <w:rsid w:val="00994B46"/>
    <w:pPr>
      <w:numPr>
        <w:numId w:val="17"/>
      </w:numPr>
    </w:pPr>
  </w:style>
  <w:style w:type="paragraph" w:customStyle="1" w:styleId="HeadingA3">
    <w:name w:val="Heading A3"/>
    <w:basedOn w:val="Heading3"/>
    <w:qFormat/>
    <w:rsid w:val="00994B46"/>
    <w:pPr>
      <w:numPr>
        <w:numId w:val="17"/>
      </w:numPr>
    </w:pPr>
  </w:style>
  <w:style w:type="paragraph" w:styleId="ListBullet5">
    <w:name w:val="List Bullet 5"/>
    <w:basedOn w:val="Normal"/>
    <w:uiPriority w:val="99"/>
    <w:unhideWhenUsed/>
    <w:rsid w:val="00143D66"/>
    <w:pPr>
      <w:numPr>
        <w:numId w:val="11"/>
      </w:numPr>
      <w:contextualSpacing/>
    </w:pPr>
  </w:style>
  <w:style w:type="paragraph" w:styleId="ListContinue">
    <w:name w:val="List Continue"/>
    <w:basedOn w:val="Normal"/>
    <w:uiPriority w:val="99"/>
    <w:unhideWhenUsed/>
    <w:rsid w:val="00063ED5"/>
    <w:pPr>
      <w:spacing w:after="120"/>
      <w:ind w:left="283"/>
      <w:contextualSpacing/>
    </w:pPr>
  </w:style>
  <w:style w:type="paragraph" w:styleId="ListContinue2">
    <w:name w:val="List Continue 2"/>
    <w:basedOn w:val="Normal"/>
    <w:uiPriority w:val="99"/>
    <w:unhideWhenUsed/>
    <w:rsid w:val="00063ED5"/>
    <w:pPr>
      <w:spacing w:after="120"/>
      <w:ind w:left="566"/>
      <w:contextualSpacing/>
    </w:pPr>
  </w:style>
  <w:style w:type="paragraph" w:styleId="ListContinue4">
    <w:name w:val="List Continue 4"/>
    <w:basedOn w:val="Normal"/>
    <w:uiPriority w:val="99"/>
    <w:unhideWhenUsed/>
    <w:rsid w:val="00063ED5"/>
    <w:pPr>
      <w:spacing w:after="120"/>
      <w:ind w:left="1132"/>
      <w:contextualSpacing/>
    </w:pPr>
  </w:style>
  <w:style w:type="paragraph" w:styleId="TOAHeading">
    <w:name w:val="toa heading"/>
    <w:basedOn w:val="Normal"/>
    <w:next w:val="Normal"/>
    <w:uiPriority w:val="99"/>
    <w:unhideWhenUsed/>
    <w:rsid w:val="009E41C1"/>
    <w:pPr>
      <w:spacing w:before="120"/>
    </w:pPr>
    <w:rPr>
      <w:rFonts w:asciiTheme="majorHAnsi" w:eastAsiaTheme="majorEastAsia" w:hAnsiTheme="majorHAnsi" w:cstheme="majorBidi"/>
      <w:b/>
      <w:bCs/>
      <w:sz w:val="24"/>
    </w:rPr>
  </w:style>
  <w:style w:type="paragraph" w:customStyle="1" w:styleId="TOCHeading2">
    <w:name w:val="TOC Heading 2"/>
    <w:basedOn w:val="TOCHeading"/>
    <w:next w:val="Normal"/>
    <w:qFormat/>
    <w:rsid w:val="006B588A"/>
    <w:pPr>
      <w:outlineLvl w:val="2"/>
    </w:pPr>
    <w:rPr>
      <w:sz w:val="32"/>
    </w:rPr>
  </w:style>
  <w:style w:type="paragraph" w:customStyle="1" w:styleId="ParaIndent">
    <w:name w:val="Para_Indent"/>
    <w:basedOn w:val="Para"/>
    <w:qFormat/>
    <w:rsid w:val="008C2637"/>
    <w:pPr>
      <w:ind w:left="567"/>
    </w:pPr>
    <w:rPr>
      <w:rFonts w:eastAsia="@Arial Unicode MS"/>
    </w:rPr>
  </w:style>
  <w:style w:type="paragraph" w:customStyle="1" w:styleId="Boxedheading">
    <w:name w:val="Boxed heading"/>
    <w:basedOn w:val="Boxed"/>
    <w:next w:val="Boxed"/>
    <w:qFormat/>
    <w:rsid w:val="00656AB8"/>
    <w:pPr>
      <w:keepNext/>
    </w:pPr>
    <w:rPr>
      <w:b/>
      <w:bCs/>
      <w:sz w:val="28"/>
      <w:szCs w:val="32"/>
    </w:rPr>
  </w:style>
  <w:style w:type="paragraph" w:styleId="Index5">
    <w:name w:val="index 5"/>
    <w:basedOn w:val="Normal"/>
    <w:next w:val="Normal"/>
    <w:autoRedefine/>
    <w:uiPriority w:val="99"/>
    <w:unhideWhenUsed/>
    <w:rsid w:val="006424E7"/>
    <w:pPr>
      <w:ind w:left="1100" w:hanging="220"/>
    </w:pPr>
  </w:style>
  <w:style w:type="paragraph" w:customStyle="1" w:styleId="Criteria">
    <w:name w:val="Criteria"/>
    <w:basedOn w:val="Boxed"/>
    <w:qFormat/>
    <w:rsid w:val="009E2BAA"/>
    <w:pPr>
      <w:tabs>
        <w:tab w:val="left" w:pos="284"/>
        <w:tab w:val="left" w:pos="567"/>
        <w:tab w:val="left" w:pos="851"/>
      </w:tabs>
      <w:spacing w:before="120" w:after="120"/>
    </w:pPr>
  </w:style>
  <w:style w:type="character" w:customStyle="1" w:styleId="ui-provider">
    <w:name w:val="ui-provider"/>
    <w:basedOn w:val="DefaultParagraphFont"/>
    <w:rsid w:val="00E12697"/>
  </w:style>
  <w:style w:type="paragraph" w:customStyle="1" w:styleId="Keyfindingsbullet">
    <w:name w:val="Key findings bullet"/>
    <w:basedOn w:val="Bullet1"/>
    <w:qFormat/>
    <w:rsid w:val="00E9565D"/>
    <w:pPr>
      <w:spacing w:before="240" w:line="269" w:lineRule="auto"/>
      <w:ind w:left="284" w:hanging="28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21480">
      <w:bodyDiv w:val="1"/>
      <w:marLeft w:val="0"/>
      <w:marRight w:val="0"/>
      <w:marTop w:val="0"/>
      <w:marBottom w:val="0"/>
      <w:divBdr>
        <w:top w:val="none" w:sz="0" w:space="0" w:color="auto"/>
        <w:left w:val="none" w:sz="0" w:space="0" w:color="auto"/>
        <w:bottom w:val="none" w:sz="0" w:space="0" w:color="auto"/>
        <w:right w:val="none" w:sz="0" w:space="0" w:color="auto"/>
      </w:divBdr>
      <w:divsChild>
        <w:div w:id="1797137754">
          <w:marLeft w:val="590"/>
          <w:marRight w:val="0"/>
          <w:marTop w:val="200"/>
          <w:marBottom w:val="0"/>
          <w:divBdr>
            <w:top w:val="none" w:sz="0" w:space="0" w:color="auto"/>
            <w:left w:val="none" w:sz="0" w:space="0" w:color="auto"/>
            <w:bottom w:val="none" w:sz="0" w:space="0" w:color="auto"/>
            <w:right w:val="none" w:sz="0" w:space="0" w:color="auto"/>
          </w:divBdr>
        </w:div>
        <w:div w:id="1980259488">
          <w:marLeft w:val="677"/>
          <w:marRight w:val="0"/>
          <w:marTop w:val="200"/>
          <w:marBottom w:val="0"/>
          <w:divBdr>
            <w:top w:val="none" w:sz="0" w:space="0" w:color="auto"/>
            <w:left w:val="none" w:sz="0" w:space="0" w:color="auto"/>
            <w:bottom w:val="none" w:sz="0" w:space="0" w:color="auto"/>
            <w:right w:val="none" w:sz="0" w:space="0" w:color="auto"/>
          </w:divBdr>
        </w:div>
      </w:divsChild>
    </w:div>
    <w:div w:id="40718187">
      <w:bodyDiv w:val="1"/>
      <w:marLeft w:val="0"/>
      <w:marRight w:val="0"/>
      <w:marTop w:val="0"/>
      <w:marBottom w:val="0"/>
      <w:divBdr>
        <w:top w:val="none" w:sz="0" w:space="0" w:color="auto"/>
        <w:left w:val="none" w:sz="0" w:space="0" w:color="auto"/>
        <w:bottom w:val="none" w:sz="0" w:space="0" w:color="auto"/>
        <w:right w:val="none" w:sz="0" w:space="0" w:color="auto"/>
      </w:divBdr>
      <w:divsChild>
        <w:div w:id="195852588">
          <w:marLeft w:val="590"/>
          <w:marRight w:val="0"/>
          <w:marTop w:val="200"/>
          <w:marBottom w:val="0"/>
          <w:divBdr>
            <w:top w:val="none" w:sz="0" w:space="0" w:color="auto"/>
            <w:left w:val="none" w:sz="0" w:space="0" w:color="auto"/>
            <w:bottom w:val="none" w:sz="0" w:space="0" w:color="auto"/>
            <w:right w:val="none" w:sz="0" w:space="0" w:color="auto"/>
          </w:divBdr>
        </w:div>
        <w:div w:id="1255285194">
          <w:marLeft w:val="590"/>
          <w:marRight w:val="0"/>
          <w:marTop w:val="200"/>
          <w:marBottom w:val="0"/>
          <w:divBdr>
            <w:top w:val="none" w:sz="0" w:space="0" w:color="auto"/>
            <w:left w:val="none" w:sz="0" w:space="0" w:color="auto"/>
            <w:bottom w:val="none" w:sz="0" w:space="0" w:color="auto"/>
            <w:right w:val="none" w:sz="0" w:space="0" w:color="auto"/>
          </w:divBdr>
        </w:div>
        <w:div w:id="2014647004">
          <w:marLeft w:val="590"/>
          <w:marRight w:val="0"/>
          <w:marTop w:val="200"/>
          <w:marBottom w:val="0"/>
          <w:divBdr>
            <w:top w:val="none" w:sz="0" w:space="0" w:color="auto"/>
            <w:left w:val="none" w:sz="0" w:space="0" w:color="auto"/>
            <w:bottom w:val="none" w:sz="0" w:space="0" w:color="auto"/>
            <w:right w:val="none" w:sz="0" w:space="0" w:color="auto"/>
          </w:divBdr>
        </w:div>
      </w:divsChild>
    </w:div>
    <w:div w:id="42752933">
      <w:bodyDiv w:val="1"/>
      <w:marLeft w:val="0"/>
      <w:marRight w:val="0"/>
      <w:marTop w:val="0"/>
      <w:marBottom w:val="0"/>
      <w:divBdr>
        <w:top w:val="none" w:sz="0" w:space="0" w:color="auto"/>
        <w:left w:val="none" w:sz="0" w:space="0" w:color="auto"/>
        <w:bottom w:val="none" w:sz="0" w:space="0" w:color="auto"/>
        <w:right w:val="none" w:sz="0" w:space="0" w:color="auto"/>
      </w:divBdr>
    </w:div>
    <w:div w:id="52117975">
      <w:bodyDiv w:val="1"/>
      <w:marLeft w:val="0"/>
      <w:marRight w:val="0"/>
      <w:marTop w:val="0"/>
      <w:marBottom w:val="0"/>
      <w:divBdr>
        <w:top w:val="none" w:sz="0" w:space="0" w:color="auto"/>
        <w:left w:val="none" w:sz="0" w:space="0" w:color="auto"/>
        <w:bottom w:val="none" w:sz="0" w:space="0" w:color="auto"/>
        <w:right w:val="none" w:sz="0" w:space="0" w:color="auto"/>
      </w:divBdr>
    </w:div>
    <w:div w:id="56824738">
      <w:bodyDiv w:val="1"/>
      <w:marLeft w:val="0"/>
      <w:marRight w:val="0"/>
      <w:marTop w:val="0"/>
      <w:marBottom w:val="0"/>
      <w:divBdr>
        <w:top w:val="none" w:sz="0" w:space="0" w:color="auto"/>
        <w:left w:val="none" w:sz="0" w:space="0" w:color="auto"/>
        <w:bottom w:val="none" w:sz="0" w:space="0" w:color="auto"/>
        <w:right w:val="none" w:sz="0" w:space="0" w:color="auto"/>
      </w:divBdr>
      <w:divsChild>
        <w:div w:id="1790275398">
          <w:marLeft w:val="0"/>
          <w:marRight w:val="0"/>
          <w:marTop w:val="0"/>
          <w:marBottom w:val="0"/>
          <w:divBdr>
            <w:top w:val="none" w:sz="0" w:space="0" w:color="auto"/>
            <w:left w:val="none" w:sz="0" w:space="0" w:color="auto"/>
            <w:bottom w:val="none" w:sz="0" w:space="0" w:color="auto"/>
            <w:right w:val="none" w:sz="0" w:space="0" w:color="auto"/>
          </w:divBdr>
        </w:div>
      </w:divsChild>
    </w:div>
    <w:div w:id="91895863">
      <w:bodyDiv w:val="1"/>
      <w:marLeft w:val="0"/>
      <w:marRight w:val="0"/>
      <w:marTop w:val="0"/>
      <w:marBottom w:val="0"/>
      <w:divBdr>
        <w:top w:val="none" w:sz="0" w:space="0" w:color="auto"/>
        <w:left w:val="none" w:sz="0" w:space="0" w:color="auto"/>
        <w:bottom w:val="none" w:sz="0" w:space="0" w:color="auto"/>
        <w:right w:val="none" w:sz="0" w:space="0" w:color="auto"/>
      </w:divBdr>
      <w:divsChild>
        <w:div w:id="159077209">
          <w:marLeft w:val="590"/>
          <w:marRight w:val="0"/>
          <w:marTop w:val="200"/>
          <w:marBottom w:val="0"/>
          <w:divBdr>
            <w:top w:val="none" w:sz="0" w:space="0" w:color="auto"/>
            <w:left w:val="none" w:sz="0" w:space="0" w:color="auto"/>
            <w:bottom w:val="none" w:sz="0" w:space="0" w:color="auto"/>
            <w:right w:val="none" w:sz="0" w:space="0" w:color="auto"/>
          </w:divBdr>
        </w:div>
        <w:div w:id="450633865">
          <w:marLeft w:val="590"/>
          <w:marRight w:val="0"/>
          <w:marTop w:val="200"/>
          <w:marBottom w:val="0"/>
          <w:divBdr>
            <w:top w:val="none" w:sz="0" w:space="0" w:color="auto"/>
            <w:left w:val="none" w:sz="0" w:space="0" w:color="auto"/>
            <w:bottom w:val="none" w:sz="0" w:space="0" w:color="auto"/>
            <w:right w:val="none" w:sz="0" w:space="0" w:color="auto"/>
          </w:divBdr>
        </w:div>
        <w:div w:id="659845001">
          <w:marLeft w:val="590"/>
          <w:marRight w:val="0"/>
          <w:marTop w:val="200"/>
          <w:marBottom w:val="0"/>
          <w:divBdr>
            <w:top w:val="none" w:sz="0" w:space="0" w:color="auto"/>
            <w:left w:val="none" w:sz="0" w:space="0" w:color="auto"/>
            <w:bottom w:val="none" w:sz="0" w:space="0" w:color="auto"/>
            <w:right w:val="none" w:sz="0" w:space="0" w:color="auto"/>
          </w:divBdr>
        </w:div>
      </w:divsChild>
    </w:div>
    <w:div w:id="109856886">
      <w:bodyDiv w:val="1"/>
      <w:marLeft w:val="0"/>
      <w:marRight w:val="0"/>
      <w:marTop w:val="0"/>
      <w:marBottom w:val="0"/>
      <w:divBdr>
        <w:top w:val="none" w:sz="0" w:space="0" w:color="auto"/>
        <w:left w:val="none" w:sz="0" w:space="0" w:color="auto"/>
        <w:bottom w:val="none" w:sz="0" w:space="0" w:color="auto"/>
        <w:right w:val="none" w:sz="0" w:space="0" w:color="auto"/>
      </w:divBdr>
    </w:div>
    <w:div w:id="113714655">
      <w:bodyDiv w:val="1"/>
      <w:marLeft w:val="0"/>
      <w:marRight w:val="0"/>
      <w:marTop w:val="0"/>
      <w:marBottom w:val="0"/>
      <w:divBdr>
        <w:top w:val="none" w:sz="0" w:space="0" w:color="auto"/>
        <w:left w:val="none" w:sz="0" w:space="0" w:color="auto"/>
        <w:bottom w:val="none" w:sz="0" w:space="0" w:color="auto"/>
        <w:right w:val="none" w:sz="0" w:space="0" w:color="auto"/>
      </w:divBdr>
      <w:divsChild>
        <w:div w:id="62993072">
          <w:marLeft w:val="590"/>
          <w:marRight w:val="0"/>
          <w:marTop w:val="200"/>
          <w:marBottom w:val="0"/>
          <w:divBdr>
            <w:top w:val="none" w:sz="0" w:space="0" w:color="auto"/>
            <w:left w:val="none" w:sz="0" w:space="0" w:color="auto"/>
            <w:bottom w:val="none" w:sz="0" w:space="0" w:color="auto"/>
            <w:right w:val="none" w:sz="0" w:space="0" w:color="auto"/>
          </w:divBdr>
        </w:div>
        <w:div w:id="138814577">
          <w:marLeft w:val="590"/>
          <w:marRight w:val="0"/>
          <w:marTop w:val="200"/>
          <w:marBottom w:val="0"/>
          <w:divBdr>
            <w:top w:val="none" w:sz="0" w:space="0" w:color="auto"/>
            <w:left w:val="none" w:sz="0" w:space="0" w:color="auto"/>
            <w:bottom w:val="none" w:sz="0" w:space="0" w:color="auto"/>
            <w:right w:val="none" w:sz="0" w:space="0" w:color="auto"/>
          </w:divBdr>
        </w:div>
      </w:divsChild>
    </w:div>
    <w:div w:id="122969476">
      <w:bodyDiv w:val="1"/>
      <w:marLeft w:val="0"/>
      <w:marRight w:val="0"/>
      <w:marTop w:val="0"/>
      <w:marBottom w:val="0"/>
      <w:divBdr>
        <w:top w:val="none" w:sz="0" w:space="0" w:color="auto"/>
        <w:left w:val="none" w:sz="0" w:space="0" w:color="auto"/>
        <w:bottom w:val="none" w:sz="0" w:space="0" w:color="auto"/>
        <w:right w:val="none" w:sz="0" w:space="0" w:color="auto"/>
      </w:divBdr>
      <w:divsChild>
        <w:div w:id="93788899">
          <w:marLeft w:val="0"/>
          <w:marRight w:val="0"/>
          <w:marTop w:val="0"/>
          <w:marBottom w:val="0"/>
          <w:divBdr>
            <w:top w:val="none" w:sz="0" w:space="0" w:color="auto"/>
            <w:left w:val="none" w:sz="0" w:space="0" w:color="auto"/>
            <w:bottom w:val="none" w:sz="0" w:space="0" w:color="auto"/>
            <w:right w:val="none" w:sz="0" w:space="0" w:color="auto"/>
          </w:divBdr>
          <w:divsChild>
            <w:div w:id="1224873485">
              <w:marLeft w:val="0"/>
              <w:marRight w:val="0"/>
              <w:marTop w:val="0"/>
              <w:marBottom w:val="0"/>
              <w:divBdr>
                <w:top w:val="none" w:sz="0" w:space="0" w:color="auto"/>
                <w:left w:val="none" w:sz="0" w:space="0" w:color="auto"/>
                <w:bottom w:val="none" w:sz="0" w:space="0" w:color="auto"/>
                <w:right w:val="none" w:sz="0" w:space="0" w:color="auto"/>
              </w:divBdr>
              <w:divsChild>
                <w:div w:id="1678967500">
                  <w:marLeft w:val="-360"/>
                  <w:marRight w:val="0"/>
                  <w:marTop w:val="0"/>
                  <w:marBottom w:val="0"/>
                  <w:divBdr>
                    <w:top w:val="none" w:sz="0" w:space="0" w:color="auto"/>
                    <w:left w:val="none" w:sz="0" w:space="0" w:color="auto"/>
                    <w:bottom w:val="none" w:sz="0" w:space="0" w:color="auto"/>
                    <w:right w:val="none" w:sz="0" w:space="0" w:color="auto"/>
                  </w:divBdr>
                  <w:divsChild>
                    <w:div w:id="1141844294">
                      <w:marLeft w:val="0"/>
                      <w:marRight w:val="0"/>
                      <w:marTop w:val="0"/>
                      <w:marBottom w:val="0"/>
                      <w:divBdr>
                        <w:top w:val="none" w:sz="0" w:space="0" w:color="auto"/>
                        <w:left w:val="none" w:sz="0" w:space="0" w:color="auto"/>
                        <w:bottom w:val="none" w:sz="0" w:space="0" w:color="auto"/>
                        <w:right w:val="none" w:sz="0" w:space="0" w:color="auto"/>
                      </w:divBdr>
                      <w:divsChild>
                        <w:div w:id="1315068125">
                          <w:marLeft w:val="0"/>
                          <w:marRight w:val="0"/>
                          <w:marTop w:val="0"/>
                          <w:marBottom w:val="0"/>
                          <w:divBdr>
                            <w:top w:val="none" w:sz="0" w:space="0" w:color="auto"/>
                            <w:left w:val="none" w:sz="0" w:space="0" w:color="auto"/>
                            <w:bottom w:val="none" w:sz="0" w:space="0" w:color="auto"/>
                            <w:right w:val="none" w:sz="0" w:space="0" w:color="auto"/>
                          </w:divBdr>
                          <w:divsChild>
                            <w:div w:id="98066207">
                              <w:marLeft w:val="0"/>
                              <w:marRight w:val="0"/>
                              <w:marTop w:val="0"/>
                              <w:marBottom w:val="0"/>
                              <w:divBdr>
                                <w:top w:val="none" w:sz="0" w:space="0" w:color="auto"/>
                                <w:left w:val="none" w:sz="0" w:space="0" w:color="auto"/>
                                <w:bottom w:val="none" w:sz="0" w:space="0" w:color="auto"/>
                                <w:right w:val="none" w:sz="0" w:space="0" w:color="auto"/>
                              </w:divBdr>
                              <w:divsChild>
                                <w:div w:id="288703900">
                                  <w:marLeft w:val="0"/>
                                  <w:marRight w:val="0"/>
                                  <w:marTop w:val="0"/>
                                  <w:marBottom w:val="0"/>
                                  <w:divBdr>
                                    <w:top w:val="none" w:sz="0" w:space="0" w:color="auto"/>
                                    <w:left w:val="none" w:sz="0" w:space="0" w:color="auto"/>
                                    <w:bottom w:val="none" w:sz="0" w:space="0" w:color="auto"/>
                                    <w:right w:val="none" w:sz="0" w:space="0" w:color="auto"/>
                                  </w:divBdr>
                                  <w:divsChild>
                                    <w:div w:id="111918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8979338">
      <w:bodyDiv w:val="1"/>
      <w:marLeft w:val="0"/>
      <w:marRight w:val="0"/>
      <w:marTop w:val="0"/>
      <w:marBottom w:val="0"/>
      <w:divBdr>
        <w:top w:val="none" w:sz="0" w:space="0" w:color="auto"/>
        <w:left w:val="none" w:sz="0" w:space="0" w:color="auto"/>
        <w:bottom w:val="none" w:sz="0" w:space="0" w:color="auto"/>
        <w:right w:val="none" w:sz="0" w:space="0" w:color="auto"/>
      </w:divBdr>
      <w:divsChild>
        <w:div w:id="1781989466">
          <w:marLeft w:val="0"/>
          <w:marRight w:val="0"/>
          <w:marTop w:val="0"/>
          <w:marBottom w:val="0"/>
          <w:divBdr>
            <w:top w:val="none" w:sz="0" w:space="0" w:color="auto"/>
            <w:left w:val="none" w:sz="0" w:space="0" w:color="auto"/>
            <w:bottom w:val="none" w:sz="0" w:space="0" w:color="auto"/>
            <w:right w:val="none" w:sz="0" w:space="0" w:color="auto"/>
          </w:divBdr>
          <w:divsChild>
            <w:div w:id="1848789734">
              <w:marLeft w:val="0"/>
              <w:marRight w:val="0"/>
              <w:marTop w:val="0"/>
              <w:marBottom w:val="0"/>
              <w:divBdr>
                <w:top w:val="none" w:sz="0" w:space="0" w:color="auto"/>
                <w:left w:val="none" w:sz="0" w:space="0" w:color="auto"/>
                <w:bottom w:val="none" w:sz="0" w:space="0" w:color="auto"/>
                <w:right w:val="none" w:sz="0" w:space="0" w:color="auto"/>
              </w:divBdr>
              <w:divsChild>
                <w:div w:id="2119520675">
                  <w:marLeft w:val="-360"/>
                  <w:marRight w:val="0"/>
                  <w:marTop w:val="0"/>
                  <w:marBottom w:val="0"/>
                  <w:divBdr>
                    <w:top w:val="none" w:sz="0" w:space="0" w:color="auto"/>
                    <w:left w:val="none" w:sz="0" w:space="0" w:color="auto"/>
                    <w:bottom w:val="none" w:sz="0" w:space="0" w:color="auto"/>
                    <w:right w:val="none" w:sz="0" w:space="0" w:color="auto"/>
                  </w:divBdr>
                  <w:divsChild>
                    <w:div w:id="781799943">
                      <w:marLeft w:val="0"/>
                      <w:marRight w:val="0"/>
                      <w:marTop w:val="0"/>
                      <w:marBottom w:val="0"/>
                      <w:divBdr>
                        <w:top w:val="none" w:sz="0" w:space="0" w:color="auto"/>
                        <w:left w:val="none" w:sz="0" w:space="0" w:color="auto"/>
                        <w:bottom w:val="none" w:sz="0" w:space="0" w:color="auto"/>
                        <w:right w:val="none" w:sz="0" w:space="0" w:color="auto"/>
                      </w:divBdr>
                      <w:divsChild>
                        <w:div w:id="217326012">
                          <w:marLeft w:val="0"/>
                          <w:marRight w:val="0"/>
                          <w:marTop w:val="0"/>
                          <w:marBottom w:val="0"/>
                          <w:divBdr>
                            <w:top w:val="none" w:sz="0" w:space="0" w:color="auto"/>
                            <w:left w:val="none" w:sz="0" w:space="0" w:color="auto"/>
                            <w:bottom w:val="none" w:sz="0" w:space="0" w:color="auto"/>
                            <w:right w:val="none" w:sz="0" w:space="0" w:color="auto"/>
                          </w:divBdr>
                          <w:divsChild>
                            <w:div w:id="230778871">
                              <w:marLeft w:val="0"/>
                              <w:marRight w:val="0"/>
                              <w:marTop w:val="0"/>
                              <w:marBottom w:val="0"/>
                              <w:divBdr>
                                <w:top w:val="none" w:sz="0" w:space="0" w:color="auto"/>
                                <w:left w:val="none" w:sz="0" w:space="0" w:color="auto"/>
                                <w:bottom w:val="none" w:sz="0" w:space="0" w:color="auto"/>
                                <w:right w:val="none" w:sz="0" w:space="0" w:color="auto"/>
                              </w:divBdr>
                              <w:divsChild>
                                <w:div w:id="1103764522">
                                  <w:marLeft w:val="0"/>
                                  <w:marRight w:val="0"/>
                                  <w:marTop w:val="0"/>
                                  <w:marBottom w:val="0"/>
                                  <w:divBdr>
                                    <w:top w:val="none" w:sz="0" w:space="0" w:color="auto"/>
                                    <w:left w:val="none" w:sz="0" w:space="0" w:color="auto"/>
                                    <w:bottom w:val="none" w:sz="0" w:space="0" w:color="auto"/>
                                    <w:right w:val="none" w:sz="0" w:space="0" w:color="auto"/>
                                  </w:divBdr>
                                  <w:divsChild>
                                    <w:div w:id="1080978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8399155">
      <w:bodyDiv w:val="1"/>
      <w:marLeft w:val="0"/>
      <w:marRight w:val="0"/>
      <w:marTop w:val="0"/>
      <w:marBottom w:val="0"/>
      <w:divBdr>
        <w:top w:val="none" w:sz="0" w:space="0" w:color="auto"/>
        <w:left w:val="none" w:sz="0" w:space="0" w:color="auto"/>
        <w:bottom w:val="none" w:sz="0" w:space="0" w:color="auto"/>
        <w:right w:val="none" w:sz="0" w:space="0" w:color="auto"/>
      </w:divBdr>
    </w:div>
    <w:div w:id="153183914">
      <w:bodyDiv w:val="1"/>
      <w:marLeft w:val="0"/>
      <w:marRight w:val="0"/>
      <w:marTop w:val="0"/>
      <w:marBottom w:val="0"/>
      <w:divBdr>
        <w:top w:val="none" w:sz="0" w:space="0" w:color="auto"/>
        <w:left w:val="none" w:sz="0" w:space="0" w:color="auto"/>
        <w:bottom w:val="none" w:sz="0" w:space="0" w:color="auto"/>
        <w:right w:val="none" w:sz="0" w:space="0" w:color="auto"/>
      </w:divBdr>
      <w:divsChild>
        <w:div w:id="1600871247">
          <w:marLeft w:val="0"/>
          <w:marRight w:val="0"/>
          <w:marTop w:val="0"/>
          <w:marBottom w:val="0"/>
          <w:divBdr>
            <w:top w:val="none" w:sz="0" w:space="0" w:color="auto"/>
            <w:left w:val="none" w:sz="0" w:space="0" w:color="auto"/>
            <w:bottom w:val="none" w:sz="0" w:space="0" w:color="auto"/>
            <w:right w:val="none" w:sz="0" w:space="0" w:color="auto"/>
          </w:divBdr>
        </w:div>
      </w:divsChild>
    </w:div>
    <w:div w:id="153841273">
      <w:bodyDiv w:val="1"/>
      <w:marLeft w:val="0"/>
      <w:marRight w:val="0"/>
      <w:marTop w:val="0"/>
      <w:marBottom w:val="0"/>
      <w:divBdr>
        <w:top w:val="none" w:sz="0" w:space="0" w:color="auto"/>
        <w:left w:val="none" w:sz="0" w:space="0" w:color="auto"/>
        <w:bottom w:val="none" w:sz="0" w:space="0" w:color="auto"/>
        <w:right w:val="none" w:sz="0" w:space="0" w:color="auto"/>
      </w:divBdr>
    </w:div>
    <w:div w:id="159850793">
      <w:bodyDiv w:val="1"/>
      <w:marLeft w:val="0"/>
      <w:marRight w:val="0"/>
      <w:marTop w:val="0"/>
      <w:marBottom w:val="0"/>
      <w:divBdr>
        <w:top w:val="none" w:sz="0" w:space="0" w:color="auto"/>
        <w:left w:val="none" w:sz="0" w:space="0" w:color="auto"/>
        <w:bottom w:val="none" w:sz="0" w:space="0" w:color="auto"/>
        <w:right w:val="none" w:sz="0" w:space="0" w:color="auto"/>
      </w:divBdr>
      <w:divsChild>
        <w:div w:id="1212961964">
          <w:marLeft w:val="446"/>
          <w:marRight w:val="0"/>
          <w:marTop w:val="200"/>
          <w:marBottom w:val="120"/>
          <w:divBdr>
            <w:top w:val="none" w:sz="0" w:space="0" w:color="auto"/>
            <w:left w:val="none" w:sz="0" w:space="0" w:color="auto"/>
            <w:bottom w:val="none" w:sz="0" w:space="0" w:color="auto"/>
            <w:right w:val="none" w:sz="0" w:space="0" w:color="auto"/>
          </w:divBdr>
        </w:div>
        <w:div w:id="1909681817">
          <w:marLeft w:val="446"/>
          <w:marRight w:val="0"/>
          <w:marTop w:val="200"/>
          <w:marBottom w:val="120"/>
          <w:divBdr>
            <w:top w:val="none" w:sz="0" w:space="0" w:color="auto"/>
            <w:left w:val="none" w:sz="0" w:space="0" w:color="auto"/>
            <w:bottom w:val="none" w:sz="0" w:space="0" w:color="auto"/>
            <w:right w:val="none" w:sz="0" w:space="0" w:color="auto"/>
          </w:divBdr>
        </w:div>
        <w:div w:id="1954166210">
          <w:marLeft w:val="446"/>
          <w:marRight w:val="0"/>
          <w:marTop w:val="200"/>
          <w:marBottom w:val="120"/>
          <w:divBdr>
            <w:top w:val="none" w:sz="0" w:space="0" w:color="auto"/>
            <w:left w:val="none" w:sz="0" w:space="0" w:color="auto"/>
            <w:bottom w:val="none" w:sz="0" w:space="0" w:color="auto"/>
            <w:right w:val="none" w:sz="0" w:space="0" w:color="auto"/>
          </w:divBdr>
        </w:div>
      </w:divsChild>
    </w:div>
    <w:div w:id="183205873">
      <w:bodyDiv w:val="1"/>
      <w:marLeft w:val="0"/>
      <w:marRight w:val="0"/>
      <w:marTop w:val="0"/>
      <w:marBottom w:val="0"/>
      <w:divBdr>
        <w:top w:val="none" w:sz="0" w:space="0" w:color="auto"/>
        <w:left w:val="none" w:sz="0" w:space="0" w:color="auto"/>
        <w:bottom w:val="none" w:sz="0" w:space="0" w:color="auto"/>
        <w:right w:val="none" w:sz="0" w:space="0" w:color="auto"/>
      </w:divBdr>
    </w:div>
    <w:div w:id="200096063">
      <w:bodyDiv w:val="1"/>
      <w:marLeft w:val="0"/>
      <w:marRight w:val="0"/>
      <w:marTop w:val="0"/>
      <w:marBottom w:val="0"/>
      <w:divBdr>
        <w:top w:val="none" w:sz="0" w:space="0" w:color="auto"/>
        <w:left w:val="none" w:sz="0" w:space="0" w:color="auto"/>
        <w:bottom w:val="none" w:sz="0" w:space="0" w:color="auto"/>
        <w:right w:val="none" w:sz="0" w:space="0" w:color="auto"/>
      </w:divBdr>
    </w:div>
    <w:div w:id="220141798">
      <w:bodyDiv w:val="1"/>
      <w:marLeft w:val="0"/>
      <w:marRight w:val="0"/>
      <w:marTop w:val="0"/>
      <w:marBottom w:val="0"/>
      <w:divBdr>
        <w:top w:val="none" w:sz="0" w:space="0" w:color="auto"/>
        <w:left w:val="none" w:sz="0" w:space="0" w:color="auto"/>
        <w:bottom w:val="none" w:sz="0" w:space="0" w:color="auto"/>
        <w:right w:val="none" w:sz="0" w:space="0" w:color="auto"/>
      </w:divBdr>
    </w:div>
    <w:div w:id="252517768">
      <w:bodyDiv w:val="1"/>
      <w:marLeft w:val="0"/>
      <w:marRight w:val="0"/>
      <w:marTop w:val="0"/>
      <w:marBottom w:val="0"/>
      <w:divBdr>
        <w:top w:val="none" w:sz="0" w:space="0" w:color="auto"/>
        <w:left w:val="none" w:sz="0" w:space="0" w:color="auto"/>
        <w:bottom w:val="none" w:sz="0" w:space="0" w:color="auto"/>
        <w:right w:val="none" w:sz="0" w:space="0" w:color="auto"/>
      </w:divBdr>
    </w:div>
    <w:div w:id="265624723">
      <w:bodyDiv w:val="1"/>
      <w:marLeft w:val="0"/>
      <w:marRight w:val="0"/>
      <w:marTop w:val="0"/>
      <w:marBottom w:val="0"/>
      <w:divBdr>
        <w:top w:val="none" w:sz="0" w:space="0" w:color="auto"/>
        <w:left w:val="none" w:sz="0" w:space="0" w:color="auto"/>
        <w:bottom w:val="none" w:sz="0" w:space="0" w:color="auto"/>
        <w:right w:val="none" w:sz="0" w:space="0" w:color="auto"/>
      </w:divBdr>
    </w:div>
    <w:div w:id="266888106">
      <w:bodyDiv w:val="1"/>
      <w:marLeft w:val="0"/>
      <w:marRight w:val="0"/>
      <w:marTop w:val="0"/>
      <w:marBottom w:val="0"/>
      <w:divBdr>
        <w:top w:val="none" w:sz="0" w:space="0" w:color="auto"/>
        <w:left w:val="none" w:sz="0" w:space="0" w:color="auto"/>
        <w:bottom w:val="none" w:sz="0" w:space="0" w:color="auto"/>
        <w:right w:val="none" w:sz="0" w:space="0" w:color="auto"/>
      </w:divBdr>
      <w:divsChild>
        <w:div w:id="198206803">
          <w:marLeft w:val="590"/>
          <w:marRight w:val="0"/>
          <w:marTop w:val="200"/>
          <w:marBottom w:val="0"/>
          <w:divBdr>
            <w:top w:val="none" w:sz="0" w:space="0" w:color="auto"/>
            <w:left w:val="none" w:sz="0" w:space="0" w:color="auto"/>
            <w:bottom w:val="none" w:sz="0" w:space="0" w:color="auto"/>
            <w:right w:val="none" w:sz="0" w:space="0" w:color="auto"/>
          </w:divBdr>
        </w:div>
        <w:div w:id="994265507">
          <w:marLeft w:val="590"/>
          <w:marRight w:val="0"/>
          <w:marTop w:val="200"/>
          <w:marBottom w:val="0"/>
          <w:divBdr>
            <w:top w:val="none" w:sz="0" w:space="0" w:color="auto"/>
            <w:left w:val="none" w:sz="0" w:space="0" w:color="auto"/>
            <w:bottom w:val="none" w:sz="0" w:space="0" w:color="auto"/>
            <w:right w:val="none" w:sz="0" w:space="0" w:color="auto"/>
          </w:divBdr>
        </w:div>
        <w:div w:id="1917782009">
          <w:marLeft w:val="590"/>
          <w:marRight w:val="0"/>
          <w:marTop w:val="200"/>
          <w:marBottom w:val="0"/>
          <w:divBdr>
            <w:top w:val="none" w:sz="0" w:space="0" w:color="auto"/>
            <w:left w:val="none" w:sz="0" w:space="0" w:color="auto"/>
            <w:bottom w:val="none" w:sz="0" w:space="0" w:color="auto"/>
            <w:right w:val="none" w:sz="0" w:space="0" w:color="auto"/>
          </w:divBdr>
        </w:div>
      </w:divsChild>
    </w:div>
    <w:div w:id="303585089">
      <w:bodyDiv w:val="1"/>
      <w:marLeft w:val="0"/>
      <w:marRight w:val="0"/>
      <w:marTop w:val="0"/>
      <w:marBottom w:val="0"/>
      <w:divBdr>
        <w:top w:val="none" w:sz="0" w:space="0" w:color="auto"/>
        <w:left w:val="none" w:sz="0" w:space="0" w:color="auto"/>
        <w:bottom w:val="none" w:sz="0" w:space="0" w:color="auto"/>
        <w:right w:val="none" w:sz="0" w:space="0" w:color="auto"/>
      </w:divBdr>
    </w:div>
    <w:div w:id="372078184">
      <w:bodyDiv w:val="1"/>
      <w:marLeft w:val="0"/>
      <w:marRight w:val="0"/>
      <w:marTop w:val="0"/>
      <w:marBottom w:val="0"/>
      <w:divBdr>
        <w:top w:val="none" w:sz="0" w:space="0" w:color="auto"/>
        <w:left w:val="none" w:sz="0" w:space="0" w:color="auto"/>
        <w:bottom w:val="none" w:sz="0" w:space="0" w:color="auto"/>
        <w:right w:val="none" w:sz="0" w:space="0" w:color="auto"/>
      </w:divBdr>
    </w:div>
    <w:div w:id="380204173">
      <w:bodyDiv w:val="1"/>
      <w:marLeft w:val="0"/>
      <w:marRight w:val="0"/>
      <w:marTop w:val="0"/>
      <w:marBottom w:val="0"/>
      <w:divBdr>
        <w:top w:val="none" w:sz="0" w:space="0" w:color="auto"/>
        <w:left w:val="none" w:sz="0" w:space="0" w:color="auto"/>
        <w:bottom w:val="none" w:sz="0" w:space="0" w:color="auto"/>
        <w:right w:val="none" w:sz="0" w:space="0" w:color="auto"/>
      </w:divBdr>
    </w:div>
    <w:div w:id="381565796">
      <w:bodyDiv w:val="1"/>
      <w:marLeft w:val="0"/>
      <w:marRight w:val="0"/>
      <w:marTop w:val="0"/>
      <w:marBottom w:val="0"/>
      <w:divBdr>
        <w:top w:val="none" w:sz="0" w:space="0" w:color="auto"/>
        <w:left w:val="none" w:sz="0" w:space="0" w:color="auto"/>
        <w:bottom w:val="none" w:sz="0" w:space="0" w:color="auto"/>
        <w:right w:val="none" w:sz="0" w:space="0" w:color="auto"/>
      </w:divBdr>
    </w:div>
    <w:div w:id="384067570">
      <w:bodyDiv w:val="1"/>
      <w:marLeft w:val="0"/>
      <w:marRight w:val="0"/>
      <w:marTop w:val="0"/>
      <w:marBottom w:val="0"/>
      <w:divBdr>
        <w:top w:val="none" w:sz="0" w:space="0" w:color="auto"/>
        <w:left w:val="none" w:sz="0" w:space="0" w:color="auto"/>
        <w:bottom w:val="none" w:sz="0" w:space="0" w:color="auto"/>
        <w:right w:val="none" w:sz="0" w:space="0" w:color="auto"/>
      </w:divBdr>
    </w:div>
    <w:div w:id="407121976">
      <w:bodyDiv w:val="1"/>
      <w:marLeft w:val="0"/>
      <w:marRight w:val="0"/>
      <w:marTop w:val="0"/>
      <w:marBottom w:val="0"/>
      <w:divBdr>
        <w:top w:val="none" w:sz="0" w:space="0" w:color="auto"/>
        <w:left w:val="none" w:sz="0" w:space="0" w:color="auto"/>
        <w:bottom w:val="none" w:sz="0" w:space="0" w:color="auto"/>
        <w:right w:val="none" w:sz="0" w:space="0" w:color="auto"/>
      </w:divBdr>
    </w:div>
    <w:div w:id="425003914">
      <w:bodyDiv w:val="1"/>
      <w:marLeft w:val="0"/>
      <w:marRight w:val="0"/>
      <w:marTop w:val="0"/>
      <w:marBottom w:val="0"/>
      <w:divBdr>
        <w:top w:val="none" w:sz="0" w:space="0" w:color="auto"/>
        <w:left w:val="none" w:sz="0" w:space="0" w:color="auto"/>
        <w:bottom w:val="none" w:sz="0" w:space="0" w:color="auto"/>
        <w:right w:val="none" w:sz="0" w:space="0" w:color="auto"/>
      </w:divBdr>
      <w:divsChild>
        <w:div w:id="552892265">
          <w:marLeft w:val="446"/>
          <w:marRight w:val="0"/>
          <w:marTop w:val="200"/>
          <w:marBottom w:val="120"/>
          <w:divBdr>
            <w:top w:val="none" w:sz="0" w:space="0" w:color="auto"/>
            <w:left w:val="none" w:sz="0" w:space="0" w:color="auto"/>
            <w:bottom w:val="none" w:sz="0" w:space="0" w:color="auto"/>
            <w:right w:val="none" w:sz="0" w:space="0" w:color="auto"/>
          </w:divBdr>
        </w:div>
        <w:div w:id="1175265119">
          <w:marLeft w:val="446"/>
          <w:marRight w:val="0"/>
          <w:marTop w:val="200"/>
          <w:marBottom w:val="120"/>
          <w:divBdr>
            <w:top w:val="none" w:sz="0" w:space="0" w:color="auto"/>
            <w:left w:val="none" w:sz="0" w:space="0" w:color="auto"/>
            <w:bottom w:val="none" w:sz="0" w:space="0" w:color="auto"/>
            <w:right w:val="none" w:sz="0" w:space="0" w:color="auto"/>
          </w:divBdr>
        </w:div>
      </w:divsChild>
    </w:div>
    <w:div w:id="442001696">
      <w:bodyDiv w:val="1"/>
      <w:marLeft w:val="0"/>
      <w:marRight w:val="0"/>
      <w:marTop w:val="0"/>
      <w:marBottom w:val="0"/>
      <w:divBdr>
        <w:top w:val="none" w:sz="0" w:space="0" w:color="auto"/>
        <w:left w:val="none" w:sz="0" w:space="0" w:color="auto"/>
        <w:bottom w:val="none" w:sz="0" w:space="0" w:color="auto"/>
        <w:right w:val="none" w:sz="0" w:space="0" w:color="auto"/>
      </w:divBdr>
    </w:div>
    <w:div w:id="464273288">
      <w:bodyDiv w:val="1"/>
      <w:marLeft w:val="0"/>
      <w:marRight w:val="0"/>
      <w:marTop w:val="0"/>
      <w:marBottom w:val="0"/>
      <w:divBdr>
        <w:top w:val="none" w:sz="0" w:space="0" w:color="auto"/>
        <w:left w:val="none" w:sz="0" w:space="0" w:color="auto"/>
        <w:bottom w:val="none" w:sz="0" w:space="0" w:color="auto"/>
        <w:right w:val="none" w:sz="0" w:space="0" w:color="auto"/>
      </w:divBdr>
      <w:divsChild>
        <w:div w:id="273251808">
          <w:marLeft w:val="0"/>
          <w:marRight w:val="0"/>
          <w:marTop w:val="0"/>
          <w:marBottom w:val="0"/>
          <w:divBdr>
            <w:top w:val="none" w:sz="0" w:space="0" w:color="auto"/>
            <w:left w:val="none" w:sz="0" w:space="0" w:color="auto"/>
            <w:bottom w:val="none" w:sz="0" w:space="0" w:color="auto"/>
            <w:right w:val="none" w:sz="0" w:space="0" w:color="auto"/>
          </w:divBdr>
        </w:div>
      </w:divsChild>
    </w:div>
    <w:div w:id="502356752">
      <w:bodyDiv w:val="1"/>
      <w:marLeft w:val="0"/>
      <w:marRight w:val="0"/>
      <w:marTop w:val="0"/>
      <w:marBottom w:val="0"/>
      <w:divBdr>
        <w:top w:val="none" w:sz="0" w:space="0" w:color="auto"/>
        <w:left w:val="none" w:sz="0" w:space="0" w:color="auto"/>
        <w:bottom w:val="none" w:sz="0" w:space="0" w:color="auto"/>
        <w:right w:val="none" w:sz="0" w:space="0" w:color="auto"/>
      </w:divBdr>
      <w:divsChild>
        <w:div w:id="1518037020">
          <w:marLeft w:val="0"/>
          <w:marRight w:val="0"/>
          <w:marTop w:val="0"/>
          <w:marBottom w:val="0"/>
          <w:divBdr>
            <w:top w:val="none" w:sz="0" w:space="0" w:color="auto"/>
            <w:left w:val="none" w:sz="0" w:space="0" w:color="auto"/>
            <w:bottom w:val="none" w:sz="0" w:space="0" w:color="auto"/>
            <w:right w:val="none" w:sz="0" w:space="0" w:color="auto"/>
          </w:divBdr>
        </w:div>
      </w:divsChild>
    </w:div>
    <w:div w:id="525945100">
      <w:bodyDiv w:val="1"/>
      <w:marLeft w:val="0"/>
      <w:marRight w:val="0"/>
      <w:marTop w:val="0"/>
      <w:marBottom w:val="0"/>
      <w:divBdr>
        <w:top w:val="none" w:sz="0" w:space="0" w:color="auto"/>
        <w:left w:val="none" w:sz="0" w:space="0" w:color="auto"/>
        <w:bottom w:val="none" w:sz="0" w:space="0" w:color="auto"/>
        <w:right w:val="none" w:sz="0" w:space="0" w:color="auto"/>
      </w:divBdr>
    </w:div>
    <w:div w:id="528416786">
      <w:bodyDiv w:val="1"/>
      <w:marLeft w:val="0"/>
      <w:marRight w:val="0"/>
      <w:marTop w:val="0"/>
      <w:marBottom w:val="0"/>
      <w:divBdr>
        <w:top w:val="none" w:sz="0" w:space="0" w:color="auto"/>
        <w:left w:val="none" w:sz="0" w:space="0" w:color="auto"/>
        <w:bottom w:val="none" w:sz="0" w:space="0" w:color="auto"/>
        <w:right w:val="none" w:sz="0" w:space="0" w:color="auto"/>
      </w:divBdr>
      <w:divsChild>
        <w:div w:id="1081563902">
          <w:marLeft w:val="0"/>
          <w:marRight w:val="0"/>
          <w:marTop w:val="0"/>
          <w:marBottom w:val="0"/>
          <w:divBdr>
            <w:top w:val="none" w:sz="0" w:space="0" w:color="auto"/>
            <w:left w:val="none" w:sz="0" w:space="0" w:color="auto"/>
            <w:bottom w:val="none" w:sz="0" w:space="0" w:color="auto"/>
            <w:right w:val="none" w:sz="0" w:space="0" w:color="auto"/>
          </w:divBdr>
        </w:div>
        <w:div w:id="1463108433">
          <w:marLeft w:val="0"/>
          <w:marRight w:val="0"/>
          <w:marTop w:val="0"/>
          <w:marBottom w:val="0"/>
          <w:divBdr>
            <w:top w:val="none" w:sz="0" w:space="0" w:color="auto"/>
            <w:left w:val="none" w:sz="0" w:space="0" w:color="auto"/>
            <w:bottom w:val="none" w:sz="0" w:space="0" w:color="auto"/>
            <w:right w:val="none" w:sz="0" w:space="0" w:color="auto"/>
          </w:divBdr>
        </w:div>
      </w:divsChild>
    </w:div>
    <w:div w:id="549848372">
      <w:bodyDiv w:val="1"/>
      <w:marLeft w:val="0"/>
      <w:marRight w:val="0"/>
      <w:marTop w:val="0"/>
      <w:marBottom w:val="0"/>
      <w:divBdr>
        <w:top w:val="none" w:sz="0" w:space="0" w:color="auto"/>
        <w:left w:val="none" w:sz="0" w:space="0" w:color="auto"/>
        <w:bottom w:val="none" w:sz="0" w:space="0" w:color="auto"/>
        <w:right w:val="none" w:sz="0" w:space="0" w:color="auto"/>
      </w:divBdr>
      <w:divsChild>
        <w:div w:id="1865509583">
          <w:marLeft w:val="590"/>
          <w:marRight w:val="0"/>
          <w:marTop w:val="200"/>
          <w:marBottom w:val="0"/>
          <w:divBdr>
            <w:top w:val="none" w:sz="0" w:space="0" w:color="auto"/>
            <w:left w:val="none" w:sz="0" w:space="0" w:color="auto"/>
            <w:bottom w:val="none" w:sz="0" w:space="0" w:color="auto"/>
            <w:right w:val="none" w:sz="0" w:space="0" w:color="auto"/>
          </w:divBdr>
        </w:div>
      </w:divsChild>
    </w:div>
    <w:div w:id="584463290">
      <w:bodyDiv w:val="1"/>
      <w:marLeft w:val="0"/>
      <w:marRight w:val="0"/>
      <w:marTop w:val="0"/>
      <w:marBottom w:val="0"/>
      <w:divBdr>
        <w:top w:val="none" w:sz="0" w:space="0" w:color="auto"/>
        <w:left w:val="none" w:sz="0" w:space="0" w:color="auto"/>
        <w:bottom w:val="none" w:sz="0" w:space="0" w:color="auto"/>
        <w:right w:val="none" w:sz="0" w:space="0" w:color="auto"/>
      </w:divBdr>
      <w:divsChild>
        <w:div w:id="1844198372">
          <w:marLeft w:val="0"/>
          <w:marRight w:val="0"/>
          <w:marTop w:val="0"/>
          <w:marBottom w:val="0"/>
          <w:divBdr>
            <w:top w:val="none" w:sz="0" w:space="0" w:color="auto"/>
            <w:left w:val="none" w:sz="0" w:space="0" w:color="auto"/>
            <w:bottom w:val="none" w:sz="0" w:space="0" w:color="auto"/>
            <w:right w:val="none" w:sz="0" w:space="0" w:color="auto"/>
          </w:divBdr>
        </w:div>
      </w:divsChild>
    </w:div>
    <w:div w:id="587736538">
      <w:bodyDiv w:val="1"/>
      <w:marLeft w:val="0"/>
      <w:marRight w:val="0"/>
      <w:marTop w:val="0"/>
      <w:marBottom w:val="0"/>
      <w:divBdr>
        <w:top w:val="none" w:sz="0" w:space="0" w:color="auto"/>
        <w:left w:val="none" w:sz="0" w:space="0" w:color="auto"/>
        <w:bottom w:val="none" w:sz="0" w:space="0" w:color="auto"/>
        <w:right w:val="none" w:sz="0" w:space="0" w:color="auto"/>
      </w:divBdr>
      <w:divsChild>
        <w:div w:id="1711299004">
          <w:marLeft w:val="0"/>
          <w:marRight w:val="0"/>
          <w:marTop w:val="0"/>
          <w:marBottom w:val="0"/>
          <w:divBdr>
            <w:top w:val="none" w:sz="0" w:space="0" w:color="auto"/>
            <w:left w:val="none" w:sz="0" w:space="0" w:color="auto"/>
            <w:bottom w:val="none" w:sz="0" w:space="0" w:color="auto"/>
            <w:right w:val="none" w:sz="0" w:space="0" w:color="auto"/>
          </w:divBdr>
          <w:divsChild>
            <w:div w:id="1621379433">
              <w:marLeft w:val="0"/>
              <w:marRight w:val="0"/>
              <w:marTop w:val="0"/>
              <w:marBottom w:val="0"/>
              <w:divBdr>
                <w:top w:val="none" w:sz="0" w:space="0" w:color="auto"/>
                <w:left w:val="none" w:sz="0" w:space="0" w:color="auto"/>
                <w:bottom w:val="none" w:sz="0" w:space="0" w:color="auto"/>
                <w:right w:val="none" w:sz="0" w:space="0" w:color="auto"/>
              </w:divBdr>
              <w:divsChild>
                <w:div w:id="1715277581">
                  <w:marLeft w:val="0"/>
                  <w:marRight w:val="0"/>
                  <w:marTop w:val="0"/>
                  <w:marBottom w:val="0"/>
                  <w:divBdr>
                    <w:top w:val="none" w:sz="0" w:space="0" w:color="auto"/>
                    <w:left w:val="none" w:sz="0" w:space="0" w:color="auto"/>
                    <w:bottom w:val="none" w:sz="0" w:space="0" w:color="auto"/>
                    <w:right w:val="none" w:sz="0" w:space="0" w:color="auto"/>
                  </w:divBdr>
                  <w:divsChild>
                    <w:div w:id="210195147">
                      <w:marLeft w:val="-360"/>
                      <w:marRight w:val="0"/>
                      <w:marTop w:val="0"/>
                      <w:marBottom w:val="0"/>
                      <w:divBdr>
                        <w:top w:val="none" w:sz="0" w:space="0" w:color="auto"/>
                        <w:left w:val="none" w:sz="0" w:space="0" w:color="auto"/>
                        <w:bottom w:val="none" w:sz="0" w:space="0" w:color="auto"/>
                        <w:right w:val="none" w:sz="0" w:space="0" w:color="auto"/>
                      </w:divBdr>
                      <w:divsChild>
                        <w:div w:id="98452945">
                          <w:marLeft w:val="0"/>
                          <w:marRight w:val="0"/>
                          <w:marTop w:val="0"/>
                          <w:marBottom w:val="0"/>
                          <w:divBdr>
                            <w:top w:val="none" w:sz="0" w:space="0" w:color="auto"/>
                            <w:left w:val="none" w:sz="0" w:space="0" w:color="auto"/>
                            <w:bottom w:val="none" w:sz="0" w:space="0" w:color="auto"/>
                            <w:right w:val="none" w:sz="0" w:space="0" w:color="auto"/>
                          </w:divBdr>
                          <w:divsChild>
                            <w:div w:id="2106923563">
                              <w:marLeft w:val="0"/>
                              <w:marRight w:val="0"/>
                              <w:marTop w:val="0"/>
                              <w:marBottom w:val="0"/>
                              <w:divBdr>
                                <w:top w:val="none" w:sz="0" w:space="0" w:color="auto"/>
                                <w:left w:val="none" w:sz="0" w:space="0" w:color="auto"/>
                                <w:bottom w:val="none" w:sz="0" w:space="0" w:color="auto"/>
                                <w:right w:val="none" w:sz="0" w:space="0" w:color="auto"/>
                              </w:divBdr>
                              <w:divsChild>
                                <w:div w:id="927733071">
                                  <w:marLeft w:val="0"/>
                                  <w:marRight w:val="0"/>
                                  <w:marTop w:val="0"/>
                                  <w:marBottom w:val="0"/>
                                  <w:divBdr>
                                    <w:top w:val="none" w:sz="0" w:space="0" w:color="auto"/>
                                    <w:left w:val="none" w:sz="0" w:space="0" w:color="auto"/>
                                    <w:bottom w:val="none" w:sz="0" w:space="0" w:color="auto"/>
                                    <w:right w:val="none" w:sz="0" w:space="0" w:color="auto"/>
                                  </w:divBdr>
                                  <w:divsChild>
                                    <w:div w:id="604000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386987">
      <w:bodyDiv w:val="1"/>
      <w:marLeft w:val="0"/>
      <w:marRight w:val="0"/>
      <w:marTop w:val="0"/>
      <w:marBottom w:val="0"/>
      <w:divBdr>
        <w:top w:val="none" w:sz="0" w:space="0" w:color="auto"/>
        <w:left w:val="none" w:sz="0" w:space="0" w:color="auto"/>
        <w:bottom w:val="none" w:sz="0" w:space="0" w:color="auto"/>
        <w:right w:val="none" w:sz="0" w:space="0" w:color="auto"/>
      </w:divBdr>
    </w:div>
    <w:div w:id="605776064">
      <w:bodyDiv w:val="1"/>
      <w:marLeft w:val="0"/>
      <w:marRight w:val="0"/>
      <w:marTop w:val="0"/>
      <w:marBottom w:val="0"/>
      <w:divBdr>
        <w:top w:val="none" w:sz="0" w:space="0" w:color="auto"/>
        <w:left w:val="none" w:sz="0" w:space="0" w:color="auto"/>
        <w:bottom w:val="none" w:sz="0" w:space="0" w:color="auto"/>
        <w:right w:val="none" w:sz="0" w:space="0" w:color="auto"/>
      </w:divBdr>
    </w:div>
    <w:div w:id="616108759">
      <w:bodyDiv w:val="1"/>
      <w:marLeft w:val="0"/>
      <w:marRight w:val="0"/>
      <w:marTop w:val="0"/>
      <w:marBottom w:val="0"/>
      <w:divBdr>
        <w:top w:val="none" w:sz="0" w:space="0" w:color="auto"/>
        <w:left w:val="none" w:sz="0" w:space="0" w:color="auto"/>
        <w:bottom w:val="none" w:sz="0" w:space="0" w:color="auto"/>
        <w:right w:val="none" w:sz="0" w:space="0" w:color="auto"/>
      </w:divBdr>
      <w:divsChild>
        <w:div w:id="65227278">
          <w:marLeft w:val="590"/>
          <w:marRight w:val="0"/>
          <w:marTop w:val="200"/>
          <w:marBottom w:val="0"/>
          <w:divBdr>
            <w:top w:val="none" w:sz="0" w:space="0" w:color="auto"/>
            <w:left w:val="none" w:sz="0" w:space="0" w:color="auto"/>
            <w:bottom w:val="none" w:sz="0" w:space="0" w:color="auto"/>
            <w:right w:val="none" w:sz="0" w:space="0" w:color="auto"/>
          </w:divBdr>
        </w:div>
        <w:div w:id="1076365054">
          <w:marLeft w:val="1166"/>
          <w:marRight w:val="0"/>
          <w:marTop w:val="100"/>
          <w:marBottom w:val="0"/>
          <w:divBdr>
            <w:top w:val="none" w:sz="0" w:space="0" w:color="auto"/>
            <w:left w:val="none" w:sz="0" w:space="0" w:color="auto"/>
            <w:bottom w:val="none" w:sz="0" w:space="0" w:color="auto"/>
            <w:right w:val="none" w:sz="0" w:space="0" w:color="auto"/>
          </w:divBdr>
        </w:div>
        <w:div w:id="1162702137">
          <w:marLeft w:val="590"/>
          <w:marRight w:val="0"/>
          <w:marTop w:val="200"/>
          <w:marBottom w:val="0"/>
          <w:divBdr>
            <w:top w:val="none" w:sz="0" w:space="0" w:color="auto"/>
            <w:left w:val="none" w:sz="0" w:space="0" w:color="auto"/>
            <w:bottom w:val="none" w:sz="0" w:space="0" w:color="auto"/>
            <w:right w:val="none" w:sz="0" w:space="0" w:color="auto"/>
          </w:divBdr>
        </w:div>
        <w:div w:id="1547453541">
          <w:marLeft w:val="590"/>
          <w:marRight w:val="0"/>
          <w:marTop w:val="200"/>
          <w:marBottom w:val="0"/>
          <w:divBdr>
            <w:top w:val="none" w:sz="0" w:space="0" w:color="auto"/>
            <w:left w:val="none" w:sz="0" w:space="0" w:color="auto"/>
            <w:bottom w:val="none" w:sz="0" w:space="0" w:color="auto"/>
            <w:right w:val="none" w:sz="0" w:space="0" w:color="auto"/>
          </w:divBdr>
        </w:div>
        <w:div w:id="1640382718">
          <w:marLeft w:val="590"/>
          <w:marRight w:val="0"/>
          <w:marTop w:val="200"/>
          <w:marBottom w:val="0"/>
          <w:divBdr>
            <w:top w:val="none" w:sz="0" w:space="0" w:color="auto"/>
            <w:left w:val="none" w:sz="0" w:space="0" w:color="auto"/>
            <w:bottom w:val="none" w:sz="0" w:space="0" w:color="auto"/>
            <w:right w:val="none" w:sz="0" w:space="0" w:color="auto"/>
          </w:divBdr>
        </w:div>
        <w:div w:id="1903758486">
          <w:marLeft w:val="590"/>
          <w:marRight w:val="0"/>
          <w:marTop w:val="200"/>
          <w:marBottom w:val="0"/>
          <w:divBdr>
            <w:top w:val="none" w:sz="0" w:space="0" w:color="auto"/>
            <w:left w:val="none" w:sz="0" w:space="0" w:color="auto"/>
            <w:bottom w:val="none" w:sz="0" w:space="0" w:color="auto"/>
            <w:right w:val="none" w:sz="0" w:space="0" w:color="auto"/>
          </w:divBdr>
        </w:div>
        <w:div w:id="1930432023">
          <w:marLeft w:val="590"/>
          <w:marRight w:val="0"/>
          <w:marTop w:val="200"/>
          <w:marBottom w:val="0"/>
          <w:divBdr>
            <w:top w:val="none" w:sz="0" w:space="0" w:color="auto"/>
            <w:left w:val="none" w:sz="0" w:space="0" w:color="auto"/>
            <w:bottom w:val="none" w:sz="0" w:space="0" w:color="auto"/>
            <w:right w:val="none" w:sz="0" w:space="0" w:color="auto"/>
          </w:divBdr>
        </w:div>
        <w:div w:id="1993367931">
          <w:marLeft w:val="1166"/>
          <w:marRight w:val="0"/>
          <w:marTop w:val="100"/>
          <w:marBottom w:val="0"/>
          <w:divBdr>
            <w:top w:val="none" w:sz="0" w:space="0" w:color="auto"/>
            <w:left w:val="none" w:sz="0" w:space="0" w:color="auto"/>
            <w:bottom w:val="none" w:sz="0" w:space="0" w:color="auto"/>
            <w:right w:val="none" w:sz="0" w:space="0" w:color="auto"/>
          </w:divBdr>
        </w:div>
      </w:divsChild>
    </w:div>
    <w:div w:id="646784341">
      <w:bodyDiv w:val="1"/>
      <w:marLeft w:val="0"/>
      <w:marRight w:val="0"/>
      <w:marTop w:val="0"/>
      <w:marBottom w:val="0"/>
      <w:divBdr>
        <w:top w:val="none" w:sz="0" w:space="0" w:color="auto"/>
        <w:left w:val="none" w:sz="0" w:space="0" w:color="auto"/>
        <w:bottom w:val="none" w:sz="0" w:space="0" w:color="auto"/>
        <w:right w:val="none" w:sz="0" w:space="0" w:color="auto"/>
      </w:divBdr>
    </w:div>
    <w:div w:id="661472707">
      <w:bodyDiv w:val="1"/>
      <w:marLeft w:val="0"/>
      <w:marRight w:val="0"/>
      <w:marTop w:val="0"/>
      <w:marBottom w:val="0"/>
      <w:divBdr>
        <w:top w:val="none" w:sz="0" w:space="0" w:color="auto"/>
        <w:left w:val="none" w:sz="0" w:space="0" w:color="auto"/>
        <w:bottom w:val="none" w:sz="0" w:space="0" w:color="auto"/>
        <w:right w:val="none" w:sz="0" w:space="0" w:color="auto"/>
      </w:divBdr>
    </w:div>
    <w:div w:id="672610803">
      <w:bodyDiv w:val="1"/>
      <w:marLeft w:val="0"/>
      <w:marRight w:val="0"/>
      <w:marTop w:val="0"/>
      <w:marBottom w:val="0"/>
      <w:divBdr>
        <w:top w:val="none" w:sz="0" w:space="0" w:color="auto"/>
        <w:left w:val="none" w:sz="0" w:space="0" w:color="auto"/>
        <w:bottom w:val="none" w:sz="0" w:space="0" w:color="auto"/>
        <w:right w:val="none" w:sz="0" w:space="0" w:color="auto"/>
      </w:divBdr>
    </w:div>
    <w:div w:id="683090086">
      <w:bodyDiv w:val="1"/>
      <w:marLeft w:val="0"/>
      <w:marRight w:val="0"/>
      <w:marTop w:val="0"/>
      <w:marBottom w:val="0"/>
      <w:divBdr>
        <w:top w:val="none" w:sz="0" w:space="0" w:color="auto"/>
        <w:left w:val="none" w:sz="0" w:space="0" w:color="auto"/>
        <w:bottom w:val="none" w:sz="0" w:space="0" w:color="auto"/>
        <w:right w:val="none" w:sz="0" w:space="0" w:color="auto"/>
      </w:divBdr>
    </w:div>
    <w:div w:id="689405908">
      <w:bodyDiv w:val="1"/>
      <w:marLeft w:val="0"/>
      <w:marRight w:val="0"/>
      <w:marTop w:val="0"/>
      <w:marBottom w:val="0"/>
      <w:divBdr>
        <w:top w:val="none" w:sz="0" w:space="0" w:color="auto"/>
        <w:left w:val="none" w:sz="0" w:space="0" w:color="auto"/>
        <w:bottom w:val="none" w:sz="0" w:space="0" w:color="auto"/>
        <w:right w:val="none" w:sz="0" w:space="0" w:color="auto"/>
      </w:divBdr>
    </w:div>
    <w:div w:id="696463064">
      <w:bodyDiv w:val="1"/>
      <w:marLeft w:val="0"/>
      <w:marRight w:val="0"/>
      <w:marTop w:val="0"/>
      <w:marBottom w:val="0"/>
      <w:divBdr>
        <w:top w:val="none" w:sz="0" w:space="0" w:color="auto"/>
        <w:left w:val="none" w:sz="0" w:space="0" w:color="auto"/>
        <w:bottom w:val="none" w:sz="0" w:space="0" w:color="auto"/>
        <w:right w:val="none" w:sz="0" w:space="0" w:color="auto"/>
      </w:divBdr>
    </w:div>
    <w:div w:id="704839782">
      <w:bodyDiv w:val="1"/>
      <w:marLeft w:val="0"/>
      <w:marRight w:val="0"/>
      <w:marTop w:val="0"/>
      <w:marBottom w:val="0"/>
      <w:divBdr>
        <w:top w:val="none" w:sz="0" w:space="0" w:color="auto"/>
        <w:left w:val="none" w:sz="0" w:space="0" w:color="auto"/>
        <w:bottom w:val="none" w:sz="0" w:space="0" w:color="auto"/>
        <w:right w:val="none" w:sz="0" w:space="0" w:color="auto"/>
      </w:divBdr>
      <w:divsChild>
        <w:div w:id="1690250541">
          <w:marLeft w:val="0"/>
          <w:marRight w:val="0"/>
          <w:marTop w:val="0"/>
          <w:marBottom w:val="0"/>
          <w:divBdr>
            <w:top w:val="none" w:sz="0" w:space="0" w:color="auto"/>
            <w:left w:val="none" w:sz="0" w:space="0" w:color="auto"/>
            <w:bottom w:val="none" w:sz="0" w:space="0" w:color="auto"/>
            <w:right w:val="none" w:sz="0" w:space="0" w:color="auto"/>
          </w:divBdr>
        </w:div>
      </w:divsChild>
    </w:div>
    <w:div w:id="730689768">
      <w:bodyDiv w:val="1"/>
      <w:marLeft w:val="0"/>
      <w:marRight w:val="0"/>
      <w:marTop w:val="0"/>
      <w:marBottom w:val="0"/>
      <w:divBdr>
        <w:top w:val="none" w:sz="0" w:space="0" w:color="auto"/>
        <w:left w:val="none" w:sz="0" w:space="0" w:color="auto"/>
        <w:bottom w:val="none" w:sz="0" w:space="0" w:color="auto"/>
        <w:right w:val="none" w:sz="0" w:space="0" w:color="auto"/>
      </w:divBdr>
      <w:divsChild>
        <w:div w:id="1709375766">
          <w:marLeft w:val="0"/>
          <w:marRight w:val="0"/>
          <w:marTop w:val="0"/>
          <w:marBottom w:val="0"/>
          <w:divBdr>
            <w:top w:val="none" w:sz="0" w:space="0" w:color="auto"/>
            <w:left w:val="none" w:sz="0" w:space="0" w:color="auto"/>
            <w:bottom w:val="none" w:sz="0" w:space="0" w:color="auto"/>
            <w:right w:val="none" w:sz="0" w:space="0" w:color="auto"/>
          </w:divBdr>
        </w:div>
      </w:divsChild>
    </w:div>
    <w:div w:id="777868404">
      <w:bodyDiv w:val="1"/>
      <w:marLeft w:val="0"/>
      <w:marRight w:val="0"/>
      <w:marTop w:val="0"/>
      <w:marBottom w:val="0"/>
      <w:divBdr>
        <w:top w:val="none" w:sz="0" w:space="0" w:color="auto"/>
        <w:left w:val="none" w:sz="0" w:space="0" w:color="auto"/>
        <w:bottom w:val="none" w:sz="0" w:space="0" w:color="auto"/>
        <w:right w:val="none" w:sz="0" w:space="0" w:color="auto"/>
      </w:divBdr>
    </w:div>
    <w:div w:id="780688644">
      <w:bodyDiv w:val="1"/>
      <w:marLeft w:val="0"/>
      <w:marRight w:val="0"/>
      <w:marTop w:val="0"/>
      <w:marBottom w:val="0"/>
      <w:divBdr>
        <w:top w:val="none" w:sz="0" w:space="0" w:color="auto"/>
        <w:left w:val="none" w:sz="0" w:space="0" w:color="auto"/>
        <w:bottom w:val="none" w:sz="0" w:space="0" w:color="auto"/>
        <w:right w:val="none" w:sz="0" w:space="0" w:color="auto"/>
      </w:divBdr>
    </w:div>
    <w:div w:id="787697233">
      <w:bodyDiv w:val="1"/>
      <w:marLeft w:val="0"/>
      <w:marRight w:val="0"/>
      <w:marTop w:val="0"/>
      <w:marBottom w:val="0"/>
      <w:divBdr>
        <w:top w:val="none" w:sz="0" w:space="0" w:color="auto"/>
        <w:left w:val="none" w:sz="0" w:space="0" w:color="auto"/>
        <w:bottom w:val="none" w:sz="0" w:space="0" w:color="auto"/>
        <w:right w:val="none" w:sz="0" w:space="0" w:color="auto"/>
      </w:divBdr>
    </w:div>
    <w:div w:id="794101784">
      <w:bodyDiv w:val="1"/>
      <w:marLeft w:val="0"/>
      <w:marRight w:val="0"/>
      <w:marTop w:val="0"/>
      <w:marBottom w:val="0"/>
      <w:divBdr>
        <w:top w:val="none" w:sz="0" w:space="0" w:color="auto"/>
        <w:left w:val="none" w:sz="0" w:space="0" w:color="auto"/>
        <w:bottom w:val="none" w:sz="0" w:space="0" w:color="auto"/>
        <w:right w:val="none" w:sz="0" w:space="0" w:color="auto"/>
      </w:divBdr>
    </w:div>
    <w:div w:id="831795654">
      <w:bodyDiv w:val="1"/>
      <w:marLeft w:val="0"/>
      <w:marRight w:val="0"/>
      <w:marTop w:val="0"/>
      <w:marBottom w:val="0"/>
      <w:divBdr>
        <w:top w:val="none" w:sz="0" w:space="0" w:color="auto"/>
        <w:left w:val="none" w:sz="0" w:space="0" w:color="auto"/>
        <w:bottom w:val="none" w:sz="0" w:space="0" w:color="auto"/>
        <w:right w:val="none" w:sz="0" w:space="0" w:color="auto"/>
      </w:divBdr>
    </w:div>
    <w:div w:id="837960291">
      <w:bodyDiv w:val="1"/>
      <w:marLeft w:val="0"/>
      <w:marRight w:val="0"/>
      <w:marTop w:val="0"/>
      <w:marBottom w:val="0"/>
      <w:divBdr>
        <w:top w:val="none" w:sz="0" w:space="0" w:color="auto"/>
        <w:left w:val="none" w:sz="0" w:space="0" w:color="auto"/>
        <w:bottom w:val="none" w:sz="0" w:space="0" w:color="auto"/>
        <w:right w:val="none" w:sz="0" w:space="0" w:color="auto"/>
      </w:divBdr>
      <w:divsChild>
        <w:div w:id="193230327">
          <w:marLeft w:val="0"/>
          <w:marRight w:val="0"/>
          <w:marTop w:val="0"/>
          <w:marBottom w:val="0"/>
          <w:divBdr>
            <w:top w:val="none" w:sz="0" w:space="0" w:color="auto"/>
            <w:left w:val="none" w:sz="0" w:space="0" w:color="auto"/>
            <w:bottom w:val="none" w:sz="0" w:space="0" w:color="auto"/>
            <w:right w:val="none" w:sz="0" w:space="0" w:color="auto"/>
          </w:divBdr>
        </w:div>
      </w:divsChild>
    </w:div>
    <w:div w:id="948782218">
      <w:bodyDiv w:val="1"/>
      <w:marLeft w:val="0"/>
      <w:marRight w:val="0"/>
      <w:marTop w:val="0"/>
      <w:marBottom w:val="0"/>
      <w:divBdr>
        <w:top w:val="none" w:sz="0" w:space="0" w:color="auto"/>
        <w:left w:val="none" w:sz="0" w:space="0" w:color="auto"/>
        <w:bottom w:val="none" w:sz="0" w:space="0" w:color="auto"/>
        <w:right w:val="none" w:sz="0" w:space="0" w:color="auto"/>
      </w:divBdr>
      <w:divsChild>
        <w:div w:id="1543905264">
          <w:marLeft w:val="0"/>
          <w:marRight w:val="0"/>
          <w:marTop w:val="0"/>
          <w:marBottom w:val="0"/>
          <w:divBdr>
            <w:top w:val="none" w:sz="0" w:space="0" w:color="auto"/>
            <w:left w:val="none" w:sz="0" w:space="0" w:color="auto"/>
            <w:bottom w:val="none" w:sz="0" w:space="0" w:color="auto"/>
            <w:right w:val="none" w:sz="0" w:space="0" w:color="auto"/>
          </w:divBdr>
        </w:div>
      </w:divsChild>
    </w:div>
    <w:div w:id="963848928">
      <w:bodyDiv w:val="1"/>
      <w:marLeft w:val="0"/>
      <w:marRight w:val="0"/>
      <w:marTop w:val="0"/>
      <w:marBottom w:val="0"/>
      <w:divBdr>
        <w:top w:val="none" w:sz="0" w:space="0" w:color="auto"/>
        <w:left w:val="none" w:sz="0" w:space="0" w:color="auto"/>
        <w:bottom w:val="none" w:sz="0" w:space="0" w:color="auto"/>
        <w:right w:val="none" w:sz="0" w:space="0" w:color="auto"/>
      </w:divBdr>
      <w:divsChild>
        <w:div w:id="245844785">
          <w:marLeft w:val="590"/>
          <w:marRight w:val="0"/>
          <w:marTop w:val="200"/>
          <w:marBottom w:val="0"/>
          <w:divBdr>
            <w:top w:val="none" w:sz="0" w:space="0" w:color="auto"/>
            <w:left w:val="none" w:sz="0" w:space="0" w:color="auto"/>
            <w:bottom w:val="none" w:sz="0" w:space="0" w:color="auto"/>
            <w:right w:val="none" w:sz="0" w:space="0" w:color="auto"/>
          </w:divBdr>
        </w:div>
        <w:div w:id="1210915199">
          <w:marLeft w:val="590"/>
          <w:marRight w:val="0"/>
          <w:marTop w:val="200"/>
          <w:marBottom w:val="0"/>
          <w:divBdr>
            <w:top w:val="none" w:sz="0" w:space="0" w:color="auto"/>
            <w:left w:val="none" w:sz="0" w:space="0" w:color="auto"/>
            <w:bottom w:val="none" w:sz="0" w:space="0" w:color="auto"/>
            <w:right w:val="none" w:sz="0" w:space="0" w:color="auto"/>
          </w:divBdr>
        </w:div>
        <w:div w:id="1359433145">
          <w:marLeft w:val="590"/>
          <w:marRight w:val="0"/>
          <w:marTop w:val="200"/>
          <w:marBottom w:val="0"/>
          <w:divBdr>
            <w:top w:val="none" w:sz="0" w:space="0" w:color="auto"/>
            <w:left w:val="none" w:sz="0" w:space="0" w:color="auto"/>
            <w:bottom w:val="none" w:sz="0" w:space="0" w:color="auto"/>
            <w:right w:val="none" w:sz="0" w:space="0" w:color="auto"/>
          </w:divBdr>
        </w:div>
      </w:divsChild>
    </w:div>
    <w:div w:id="979463523">
      <w:bodyDiv w:val="1"/>
      <w:marLeft w:val="0"/>
      <w:marRight w:val="0"/>
      <w:marTop w:val="0"/>
      <w:marBottom w:val="0"/>
      <w:divBdr>
        <w:top w:val="none" w:sz="0" w:space="0" w:color="auto"/>
        <w:left w:val="none" w:sz="0" w:space="0" w:color="auto"/>
        <w:bottom w:val="none" w:sz="0" w:space="0" w:color="auto"/>
        <w:right w:val="none" w:sz="0" w:space="0" w:color="auto"/>
      </w:divBdr>
      <w:divsChild>
        <w:div w:id="1254824733">
          <w:marLeft w:val="590"/>
          <w:marRight w:val="0"/>
          <w:marTop w:val="360"/>
          <w:marBottom w:val="0"/>
          <w:divBdr>
            <w:top w:val="none" w:sz="0" w:space="0" w:color="auto"/>
            <w:left w:val="none" w:sz="0" w:space="0" w:color="auto"/>
            <w:bottom w:val="none" w:sz="0" w:space="0" w:color="auto"/>
            <w:right w:val="none" w:sz="0" w:space="0" w:color="auto"/>
          </w:divBdr>
        </w:div>
      </w:divsChild>
    </w:div>
    <w:div w:id="999118308">
      <w:bodyDiv w:val="1"/>
      <w:marLeft w:val="0"/>
      <w:marRight w:val="0"/>
      <w:marTop w:val="0"/>
      <w:marBottom w:val="0"/>
      <w:divBdr>
        <w:top w:val="none" w:sz="0" w:space="0" w:color="auto"/>
        <w:left w:val="none" w:sz="0" w:space="0" w:color="auto"/>
        <w:bottom w:val="none" w:sz="0" w:space="0" w:color="auto"/>
        <w:right w:val="none" w:sz="0" w:space="0" w:color="auto"/>
      </w:divBdr>
    </w:div>
    <w:div w:id="1009333082">
      <w:bodyDiv w:val="1"/>
      <w:marLeft w:val="0"/>
      <w:marRight w:val="0"/>
      <w:marTop w:val="0"/>
      <w:marBottom w:val="0"/>
      <w:divBdr>
        <w:top w:val="none" w:sz="0" w:space="0" w:color="auto"/>
        <w:left w:val="none" w:sz="0" w:space="0" w:color="auto"/>
        <w:bottom w:val="none" w:sz="0" w:space="0" w:color="auto"/>
        <w:right w:val="none" w:sz="0" w:space="0" w:color="auto"/>
      </w:divBdr>
    </w:div>
    <w:div w:id="1011298268">
      <w:bodyDiv w:val="1"/>
      <w:marLeft w:val="0"/>
      <w:marRight w:val="0"/>
      <w:marTop w:val="0"/>
      <w:marBottom w:val="0"/>
      <w:divBdr>
        <w:top w:val="none" w:sz="0" w:space="0" w:color="auto"/>
        <w:left w:val="none" w:sz="0" w:space="0" w:color="auto"/>
        <w:bottom w:val="none" w:sz="0" w:space="0" w:color="auto"/>
        <w:right w:val="none" w:sz="0" w:space="0" w:color="auto"/>
      </w:divBdr>
    </w:div>
    <w:div w:id="1040473588">
      <w:bodyDiv w:val="1"/>
      <w:marLeft w:val="0"/>
      <w:marRight w:val="0"/>
      <w:marTop w:val="0"/>
      <w:marBottom w:val="0"/>
      <w:divBdr>
        <w:top w:val="none" w:sz="0" w:space="0" w:color="auto"/>
        <w:left w:val="none" w:sz="0" w:space="0" w:color="auto"/>
        <w:bottom w:val="none" w:sz="0" w:space="0" w:color="auto"/>
        <w:right w:val="none" w:sz="0" w:space="0" w:color="auto"/>
      </w:divBdr>
      <w:divsChild>
        <w:div w:id="686639691">
          <w:marLeft w:val="590"/>
          <w:marRight w:val="0"/>
          <w:marTop w:val="0"/>
          <w:marBottom w:val="0"/>
          <w:divBdr>
            <w:top w:val="none" w:sz="0" w:space="0" w:color="auto"/>
            <w:left w:val="none" w:sz="0" w:space="0" w:color="auto"/>
            <w:bottom w:val="none" w:sz="0" w:space="0" w:color="auto"/>
            <w:right w:val="none" w:sz="0" w:space="0" w:color="auto"/>
          </w:divBdr>
        </w:div>
        <w:div w:id="1122116428">
          <w:marLeft w:val="590"/>
          <w:marRight w:val="0"/>
          <w:marTop w:val="0"/>
          <w:marBottom w:val="0"/>
          <w:divBdr>
            <w:top w:val="none" w:sz="0" w:space="0" w:color="auto"/>
            <w:left w:val="none" w:sz="0" w:space="0" w:color="auto"/>
            <w:bottom w:val="none" w:sz="0" w:space="0" w:color="auto"/>
            <w:right w:val="none" w:sz="0" w:space="0" w:color="auto"/>
          </w:divBdr>
        </w:div>
        <w:div w:id="1442802597">
          <w:marLeft w:val="590"/>
          <w:marRight w:val="0"/>
          <w:marTop w:val="0"/>
          <w:marBottom w:val="0"/>
          <w:divBdr>
            <w:top w:val="none" w:sz="0" w:space="0" w:color="auto"/>
            <w:left w:val="none" w:sz="0" w:space="0" w:color="auto"/>
            <w:bottom w:val="none" w:sz="0" w:space="0" w:color="auto"/>
            <w:right w:val="none" w:sz="0" w:space="0" w:color="auto"/>
          </w:divBdr>
        </w:div>
      </w:divsChild>
    </w:div>
    <w:div w:id="1043021559">
      <w:bodyDiv w:val="1"/>
      <w:marLeft w:val="0"/>
      <w:marRight w:val="0"/>
      <w:marTop w:val="0"/>
      <w:marBottom w:val="0"/>
      <w:divBdr>
        <w:top w:val="none" w:sz="0" w:space="0" w:color="auto"/>
        <w:left w:val="none" w:sz="0" w:space="0" w:color="auto"/>
        <w:bottom w:val="none" w:sz="0" w:space="0" w:color="auto"/>
        <w:right w:val="none" w:sz="0" w:space="0" w:color="auto"/>
      </w:divBdr>
    </w:div>
    <w:div w:id="1047724234">
      <w:bodyDiv w:val="1"/>
      <w:marLeft w:val="0"/>
      <w:marRight w:val="0"/>
      <w:marTop w:val="0"/>
      <w:marBottom w:val="0"/>
      <w:divBdr>
        <w:top w:val="none" w:sz="0" w:space="0" w:color="auto"/>
        <w:left w:val="none" w:sz="0" w:space="0" w:color="auto"/>
        <w:bottom w:val="none" w:sz="0" w:space="0" w:color="auto"/>
        <w:right w:val="none" w:sz="0" w:space="0" w:color="auto"/>
      </w:divBdr>
      <w:divsChild>
        <w:div w:id="289745943">
          <w:marLeft w:val="360"/>
          <w:marRight w:val="0"/>
          <w:marTop w:val="200"/>
          <w:marBottom w:val="0"/>
          <w:divBdr>
            <w:top w:val="none" w:sz="0" w:space="0" w:color="auto"/>
            <w:left w:val="none" w:sz="0" w:space="0" w:color="auto"/>
            <w:bottom w:val="none" w:sz="0" w:space="0" w:color="auto"/>
            <w:right w:val="none" w:sz="0" w:space="0" w:color="auto"/>
          </w:divBdr>
        </w:div>
        <w:div w:id="1479692280">
          <w:marLeft w:val="360"/>
          <w:marRight w:val="0"/>
          <w:marTop w:val="200"/>
          <w:marBottom w:val="0"/>
          <w:divBdr>
            <w:top w:val="none" w:sz="0" w:space="0" w:color="auto"/>
            <w:left w:val="none" w:sz="0" w:space="0" w:color="auto"/>
            <w:bottom w:val="none" w:sz="0" w:space="0" w:color="auto"/>
            <w:right w:val="none" w:sz="0" w:space="0" w:color="auto"/>
          </w:divBdr>
        </w:div>
        <w:div w:id="1876574775">
          <w:marLeft w:val="360"/>
          <w:marRight w:val="0"/>
          <w:marTop w:val="200"/>
          <w:marBottom w:val="0"/>
          <w:divBdr>
            <w:top w:val="none" w:sz="0" w:space="0" w:color="auto"/>
            <w:left w:val="none" w:sz="0" w:space="0" w:color="auto"/>
            <w:bottom w:val="none" w:sz="0" w:space="0" w:color="auto"/>
            <w:right w:val="none" w:sz="0" w:space="0" w:color="auto"/>
          </w:divBdr>
        </w:div>
        <w:div w:id="1936087555">
          <w:marLeft w:val="360"/>
          <w:marRight w:val="0"/>
          <w:marTop w:val="200"/>
          <w:marBottom w:val="0"/>
          <w:divBdr>
            <w:top w:val="none" w:sz="0" w:space="0" w:color="auto"/>
            <w:left w:val="none" w:sz="0" w:space="0" w:color="auto"/>
            <w:bottom w:val="none" w:sz="0" w:space="0" w:color="auto"/>
            <w:right w:val="none" w:sz="0" w:space="0" w:color="auto"/>
          </w:divBdr>
        </w:div>
      </w:divsChild>
    </w:div>
    <w:div w:id="1072966211">
      <w:bodyDiv w:val="1"/>
      <w:marLeft w:val="0"/>
      <w:marRight w:val="0"/>
      <w:marTop w:val="0"/>
      <w:marBottom w:val="0"/>
      <w:divBdr>
        <w:top w:val="none" w:sz="0" w:space="0" w:color="auto"/>
        <w:left w:val="none" w:sz="0" w:space="0" w:color="auto"/>
        <w:bottom w:val="none" w:sz="0" w:space="0" w:color="auto"/>
        <w:right w:val="none" w:sz="0" w:space="0" w:color="auto"/>
      </w:divBdr>
    </w:div>
    <w:div w:id="1075972693">
      <w:bodyDiv w:val="1"/>
      <w:marLeft w:val="0"/>
      <w:marRight w:val="0"/>
      <w:marTop w:val="0"/>
      <w:marBottom w:val="0"/>
      <w:divBdr>
        <w:top w:val="none" w:sz="0" w:space="0" w:color="auto"/>
        <w:left w:val="none" w:sz="0" w:space="0" w:color="auto"/>
        <w:bottom w:val="none" w:sz="0" w:space="0" w:color="auto"/>
        <w:right w:val="none" w:sz="0" w:space="0" w:color="auto"/>
      </w:divBdr>
    </w:div>
    <w:div w:id="1091705683">
      <w:bodyDiv w:val="1"/>
      <w:marLeft w:val="0"/>
      <w:marRight w:val="0"/>
      <w:marTop w:val="0"/>
      <w:marBottom w:val="0"/>
      <w:divBdr>
        <w:top w:val="none" w:sz="0" w:space="0" w:color="auto"/>
        <w:left w:val="none" w:sz="0" w:space="0" w:color="auto"/>
        <w:bottom w:val="none" w:sz="0" w:space="0" w:color="auto"/>
        <w:right w:val="none" w:sz="0" w:space="0" w:color="auto"/>
      </w:divBdr>
    </w:div>
    <w:div w:id="1100881138">
      <w:bodyDiv w:val="1"/>
      <w:marLeft w:val="0"/>
      <w:marRight w:val="0"/>
      <w:marTop w:val="0"/>
      <w:marBottom w:val="0"/>
      <w:divBdr>
        <w:top w:val="none" w:sz="0" w:space="0" w:color="auto"/>
        <w:left w:val="none" w:sz="0" w:space="0" w:color="auto"/>
        <w:bottom w:val="none" w:sz="0" w:space="0" w:color="auto"/>
        <w:right w:val="none" w:sz="0" w:space="0" w:color="auto"/>
      </w:divBdr>
    </w:div>
    <w:div w:id="1159418673">
      <w:bodyDiv w:val="1"/>
      <w:marLeft w:val="0"/>
      <w:marRight w:val="0"/>
      <w:marTop w:val="0"/>
      <w:marBottom w:val="0"/>
      <w:divBdr>
        <w:top w:val="none" w:sz="0" w:space="0" w:color="auto"/>
        <w:left w:val="none" w:sz="0" w:space="0" w:color="auto"/>
        <w:bottom w:val="none" w:sz="0" w:space="0" w:color="auto"/>
        <w:right w:val="none" w:sz="0" w:space="0" w:color="auto"/>
      </w:divBdr>
    </w:div>
    <w:div w:id="1166091738">
      <w:bodyDiv w:val="1"/>
      <w:marLeft w:val="0"/>
      <w:marRight w:val="0"/>
      <w:marTop w:val="0"/>
      <w:marBottom w:val="0"/>
      <w:divBdr>
        <w:top w:val="none" w:sz="0" w:space="0" w:color="auto"/>
        <w:left w:val="none" w:sz="0" w:space="0" w:color="auto"/>
        <w:bottom w:val="none" w:sz="0" w:space="0" w:color="auto"/>
        <w:right w:val="none" w:sz="0" w:space="0" w:color="auto"/>
      </w:divBdr>
    </w:div>
    <w:div w:id="1171330354">
      <w:bodyDiv w:val="1"/>
      <w:marLeft w:val="0"/>
      <w:marRight w:val="0"/>
      <w:marTop w:val="0"/>
      <w:marBottom w:val="0"/>
      <w:divBdr>
        <w:top w:val="none" w:sz="0" w:space="0" w:color="auto"/>
        <w:left w:val="none" w:sz="0" w:space="0" w:color="auto"/>
        <w:bottom w:val="none" w:sz="0" w:space="0" w:color="auto"/>
        <w:right w:val="none" w:sz="0" w:space="0" w:color="auto"/>
      </w:divBdr>
    </w:div>
    <w:div w:id="1184398980">
      <w:bodyDiv w:val="1"/>
      <w:marLeft w:val="0"/>
      <w:marRight w:val="0"/>
      <w:marTop w:val="0"/>
      <w:marBottom w:val="0"/>
      <w:divBdr>
        <w:top w:val="none" w:sz="0" w:space="0" w:color="auto"/>
        <w:left w:val="none" w:sz="0" w:space="0" w:color="auto"/>
        <w:bottom w:val="none" w:sz="0" w:space="0" w:color="auto"/>
        <w:right w:val="none" w:sz="0" w:space="0" w:color="auto"/>
      </w:divBdr>
    </w:div>
    <w:div w:id="1223247237">
      <w:bodyDiv w:val="1"/>
      <w:marLeft w:val="0"/>
      <w:marRight w:val="0"/>
      <w:marTop w:val="0"/>
      <w:marBottom w:val="0"/>
      <w:divBdr>
        <w:top w:val="none" w:sz="0" w:space="0" w:color="auto"/>
        <w:left w:val="none" w:sz="0" w:space="0" w:color="auto"/>
        <w:bottom w:val="none" w:sz="0" w:space="0" w:color="auto"/>
        <w:right w:val="none" w:sz="0" w:space="0" w:color="auto"/>
      </w:divBdr>
    </w:div>
    <w:div w:id="1239055723">
      <w:bodyDiv w:val="1"/>
      <w:marLeft w:val="0"/>
      <w:marRight w:val="0"/>
      <w:marTop w:val="0"/>
      <w:marBottom w:val="0"/>
      <w:divBdr>
        <w:top w:val="none" w:sz="0" w:space="0" w:color="auto"/>
        <w:left w:val="none" w:sz="0" w:space="0" w:color="auto"/>
        <w:bottom w:val="none" w:sz="0" w:space="0" w:color="auto"/>
        <w:right w:val="none" w:sz="0" w:space="0" w:color="auto"/>
      </w:divBdr>
    </w:div>
    <w:div w:id="1260866048">
      <w:bodyDiv w:val="1"/>
      <w:marLeft w:val="0"/>
      <w:marRight w:val="0"/>
      <w:marTop w:val="0"/>
      <w:marBottom w:val="0"/>
      <w:divBdr>
        <w:top w:val="none" w:sz="0" w:space="0" w:color="auto"/>
        <w:left w:val="none" w:sz="0" w:space="0" w:color="auto"/>
        <w:bottom w:val="none" w:sz="0" w:space="0" w:color="auto"/>
        <w:right w:val="none" w:sz="0" w:space="0" w:color="auto"/>
      </w:divBdr>
    </w:div>
    <w:div w:id="1266306095">
      <w:bodyDiv w:val="1"/>
      <w:marLeft w:val="0"/>
      <w:marRight w:val="0"/>
      <w:marTop w:val="0"/>
      <w:marBottom w:val="0"/>
      <w:divBdr>
        <w:top w:val="none" w:sz="0" w:space="0" w:color="auto"/>
        <w:left w:val="none" w:sz="0" w:space="0" w:color="auto"/>
        <w:bottom w:val="none" w:sz="0" w:space="0" w:color="auto"/>
        <w:right w:val="none" w:sz="0" w:space="0" w:color="auto"/>
      </w:divBdr>
    </w:div>
    <w:div w:id="1289120147">
      <w:bodyDiv w:val="1"/>
      <w:marLeft w:val="0"/>
      <w:marRight w:val="0"/>
      <w:marTop w:val="0"/>
      <w:marBottom w:val="0"/>
      <w:divBdr>
        <w:top w:val="none" w:sz="0" w:space="0" w:color="auto"/>
        <w:left w:val="none" w:sz="0" w:space="0" w:color="auto"/>
        <w:bottom w:val="none" w:sz="0" w:space="0" w:color="auto"/>
        <w:right w:val="none" w:sz="0" w:space="0" w:color="auto"/>
      </w:divBdr>
      <w:divsChild>
        <w:div w:id="890774305">
          <w:marLeft w:val="0"/>
          <w:marRight w:val="0"/>
          <w:marTop w:val="0"/>
          <w:marBottom w:val="0"/>
          <w:divBdr>
            <w:top w:val="none" w:sz="0" w:space="0" w:color="auto"/>
            <w:left w:val="none" w:sz="0" w:space="0" w:color="auto"/>
            <w:bottom w:val="none" w:sz="0" w:space="0" w:color="auto"/>
            <w:right w:val="none" w:sz="0" w:space="0" w:color="auto"/>
          </w:divBdr>
        </w:div>
      </w:divsChild>
    </w:div>
    <w:div w:id="1302345525">
      <w:bodyDiv w:val="1"/>
      <w:marLeft w:val="0"/>
      <w:marRight w:val="0"/>
      <w:marTop w:val="0"/>
      <w:marBottom w:val="0"/>
      <w:divBdr>
        <w:top w:val="none" w:sz="0" w:space="0" w:color="auto"/>
        <w:left w:val="none" w:sz="0" w:space="0" w:color="auto"/>
        <w:bottom w:val="none" w:sz="0" w:space="0" w:color="auto"/>
        <w:right w:val="none" w:sz="0" w:space="0" w:color="auto"/>
      </w:divBdr>
    </w:div>
    <w:div w:id="1302467911">
      <w:bodyDiv w:val="1"/>
      <w:marLeft w:val="0"/>
      <w:marRight w:val="0"/>
      <w:marTop w:val="0"/>
      <w:marBottom w:val="0"/>
      <w:divBdr>
        <w:top w:val="none" w:sz="0" w:space="0" w:color="auto"/>
        <w:left w:val="none" w:sz="0" w:space="0" w:color="auto"/>
        <w:bottom w:val="none" w:sz="0" w:space="0" w:color="auto"/>
        <w:right w:val="none" w:sz="0" w:space="0" w:color="auto"/>
      </w:divBdr>
    </w:div>
    <w:div w:id="1382484717">
      <w:bodyDiv w:val="1"/>
      <w:marLeft w:val="0"/>
      <w:marRight w:val="0"/>
      <w:marTop w:val="0"/>
      <w:marBottom w:val="0"/>
      <w:divBdr>
        <w:top w:val="none" w:sz="0" w:space="0" w:color="auto"/>
        <w:left w:val="none" w:sz="0" w:space="0" w:color="auto"/>
        <w:bottom w:val="none" w:sz="0" w:space="0" w:color="auto"/>
        <w:right w:val="none" w:sz="0" w:space="0" w:color="auto"/>
      </w:divBdr>
      <w:divsChild>
        <w:div w:id="1831290453">
          <w:marLeft w:val="0"/>
          <w:marRight w:val="0"/>
          <w:marTop w:val="0"/>
          <w:marBottom w:val="0"/>
          <w:divBdr>
            <w:top w:val="none" w:sz="0" w:space="0" w:color="auto"/>
            <w:left w:val="none" w:sz="0" w:space="0" w:color="auto"/>
            <w:bottom w:val="none" w:sz="0" w:space="0" w:color="auto"/>
            <w:right w:val="none" w:sz="0" w:space="0" w:color="auto"/>
          </w:divBdr>
        </w:div>
      </w:divsChild>
    </w:div>
    <w:div w:id="1417168340">
      <w:bodyDiv w:val="1"/>
      <w:marLeft w:val="0"/>
      <w:marRight w:val="0"/>
      <w:marTop w:val="0"/>
      <w:marBottom w:val="0"/>
      <w:divBdr>
        <w:top w:val="none" w:sz="0" w:space="0" w:color="auto"/>
        <w:left w:val="none" w:sz="0" w:space="0" w:color="auto"/>
        <w:bottom w:val="none" w:sz="0" w:space="0" w:color="auto"/>
        <w:right w:val="none" w:sz="0" w:space="0" w:color="auto"/>
      </w:divBdr>
    </w:div>
    <w:div w:id="1425147595">
      <w:bodyDiv w:val="1"/>
      <w:marLeft w:val="0"/>
      <w:marRight w:val="0"/>
      <w:marTop w:val="0"/>
      <w:marBottom w:val="0"/>
      <w:divBdr>
        <w:top w:val="none" w:sz="0" w:space="0" w:color="auto"/>
        <w:left w:val="none" w:sz="0" w:space="0" w:color="auto"/>
        <w:bottom w:val="none" w:sz="0" w:space="0" w:color="auto"/>
        <w:right w:val="none" w:sz="0" w:space="0" w:color="auto"/>
      </w:divBdr>
    </w:div>
    <w:div w:id="1435053816">
      <w:bodyDiv w:val="1"/>
      <w:marLeft w:val="0"/>
      <w:marRight w:val="0"/>
      <w:marTop w:val="0"/>
      <w:marBottom w:val="0"/>
      <w:divBdr>
        <w:top w:val="none" w:sz="0" w:space="0" w:color="auto"/>
        <w:left w:val="none" w:sz="0" w:space="0" w:color="auto"/>
        <w:bottom w:val="none" w:sz="0" w:space="0" w:color="auto"/>
        <w:right w:val="none" w:sz="0" w:space="0" w:color="auto"/>
      </w:divBdr>
      <w:divsChild>
        <w:div w:id="451024763">
          <w:marLeft w:val="1037"/>
          <w:marRight w:val="0"/>
          <w:marTop w:val="200"/>
          <w:marBottom w:val="0"/>
          <w:divBdr>
            <w:top w:val="none" w:sz="0" w:space="0" w:color="auto"/>
            <w:left w:val="none" w:sz="0" w:space="0" w:color="auto"/>
            <w:bottom w:val="none" w:sz="0" w:space="0" w:color="auto"/>
            <w:right w:val="none" w:sz="0" w:space="0" w:color="auto"/>
          </w:divBdr>
        </w:div>
        <w:div w:id="1334453370">
          <w:marLeft w:val="1037"/>
          <w:marRight w:val="0"/>
          <w:marTop w:val="200"/>
          <w:marBottom w:val="0"/>
          <w:divBdr>
            <w:top w:val="none" w:sz="0" w:space="0" w:color="auto"/>
            <w:left w:val="none" w:sz="0" w:space="0" w:color="auto"/>
            <w:bottom w:val="none" w:sz="0" w:space="0" w:color="auto"/>
            <w:right w:val="none" w:sz="0" w:space="0" w:color="auto"/>
          </w:divBdr>
        </w:div>
        <w:div w:id="1376806494">
          <w:marLeft w:val="1037"/>
          <w:marRight w:val="0"/>
          <w:marTop w:val="200"/>
          <w:marBottom w:val="0"/>
          <w:divBdr>
            <w:top w:val="none" w:sz="0" w:space="0" w:color="auto"/>
            <w:left w:val="none" w:sz="0" w:space="0" w:color="auto"/>
            <w:bottom w:val="none" w:sz="0" w:space="0" w:color="auto"/>
            <w:right w:val="none" w:sz="0" w:space="0" w:color="auto"/>
          </w:divBdr>
        </w:div>
        <w:div w:id="1543250327">
          <w:marLeft w:val="1037"/>
          <w:marRight w:val="0"/>
          <w:marTop w:val="200"/>
          <w:marBottom w:val="0"/>
          <w:divBdr>
            <w:top w:val="none" w:sz="0" w:space="0" w:color="auto"/>
            <w:left w:val="none" w:sz="0" w:space="0" w:color="auto"/>
            <w:bottom w:val="none" w:sz="0" w:space="0" w:color="auto"/>
            <w:right w:val="none" w:sz="0" w:space="0" w:color="auto"/>
          </w:divBdr>
        </w:div>
      </w:divsChild>
    </w:div>
    <w:div w:id="1440905385">
      <w:bodyDiv w:val="1"/>
      <w:marLeft w:val="0"/>
      <w:marRight w:val="0"/>
      <w:marTop w:val="0"/>
      <w:marBottom w:val="0"/>
      <w:divBdr>
        <w:top w:val="none" w:sz="0" w:space="0" w:color="auto"/>
        <w:left w:val="none" w:sz="0" w:space="0" w:color="auto"/>
        <w:bottom w:val="none" w:sz="0" w:space="0" w:color="auto"/>
        <w:right w:val="none" w:sz="0" w:space="0" w:color="auto"/>
      </w:divBdr>
      <w:divsChild>
        <w:div w:id="1464231615">
          <w:marLeft w:val="0"/>
          <w:marRight w:val="0"/>
          <w:marTop w:val="0"/>
          <w:marBottom w:val="0"/>
          <w:divBdr>
            <w:top w:val="none" w:sz="0" w:space="0" w:color="auto"/>
            <w:left w:val="none" w:sz="0" w:space="0" w:color="auto"/>
            <w:bottom w:val="none" w:sz="0" w:space="0" w:color="auto"/>
            <w:right w:val="none" w:sz="0" w:space="0" w:color="auto"/>
          </w:divBdr>
        </w:div>
        <w:div w:id="1523321385">
          <w:marLeft w:val="0"/>
          <w:marRight w:val="0"/>
          <w:marTop w:val="0"/>
          <w:marBottom w:val="0"/>
          <w:divBdr>
            <w:top w:val="none" w:sz="0" w:space="0" w:color="auto"/>
            <w:left w:val="none" w:sz="0" w:space="0" w:color="auto"/>
            <w:bottom w:val="none" w:sz="0" w:space="0" w:color="auto"/>
            <w:right w:val="none" w:sz="0" w:space="0" w:color="auto"/>
          </w:divBdr>
        </w:div>
      </w:divsChild>
    </w:div>
    <w:div w:id="1443186532">
      <w:bodyDiv w:val="1"/>
      <w:marLeft w:val="0"/>
      <w:marRight w:val="0"/>
      <w:marTop w:val="0"/>
      <w:marBottom w:val="0"/>
      <w:divBdr>
        <w:top w:val="none" w:sz="0" w:space="0" w:color="auto"/>
        <w:left w:val="none" w:sz="0" w:space="0" w:color="auto"/>
        <w:bottom w:val="none" w:sz="0" w:space="0" w:color="auto"/>
        <w:right w:val="none" w:sz="0" w:space="0" w:color="auto"/>
      </w:divBdr>
    </w:div>
    <w:div w:id="1444495149">
      <w:bodyDiv w:val="1"/>
      <w:marLeft w:val="0"/>
      <w:marRight w:val="0"/>
      <w:marTop w:val="0"/>
      <w:marBottom w:val="0"/>
      <w:divBdr>
        <w:top w:val="none" w:sz="0" w:space="0" w:color="auto"/>
        <w:left w:val="none" w:sz="0" w:space="0" w:color="auto"/>
        <w:bottom w:val="none" w:sz="0" w:space="0" w:color="auto"/>
        <w:right w:val="none" w:sz="0" w:space="0" w:color="auto"/>
      </w:divBdr>
    </w:div>
    <w:div w:id="1457286798">
      <w:bodyDiv w:val="1"/>
      <w:marLeft w:val="0"/>
      <w:marRight w:val="0"/>
      <w:marTop w:val="0"/>
      <w:marBottom w:val="0"/>
      <w:divBdr>
        <w:top w:val="none" w:sz="0" w:space="0" w:color="auto"/>
        <w:left w:val="none" w:sz="0" w:space="0" w:color="auto"/>
        <w:bottom w:val="none" w:sz="0" w:space="0" w:color="auto"/>
        <w:right w:val="none" w:sz="0" w:space="0" w:color="auto"/>
      </w:divBdr>
    </w:div>
    <w:div w:id="1472332352">
      <w:bodyDiv w:val="1"/>
      <w:marLeft w:val="0"/>
      <w:marRight w:val="0"/>
      <w:marTop w:val="0"/>
      <w:marBottom w:val="0"/>
      <w:divBdr>
        <w:top w:val="none" w:sz="0" w:space="0" w:color="auto"/>
        <w:left w:val="none" w:sz="0" w:space="0" w:color="auto"/>
        <w:bottom w:val="none" w:sz="0" w:space="0" w:color="auto"/>
        <w:right w:val="none" w:sz="0" w:space="0" w:color="auto"/>
      </w:divBdr>
    </w:div>
    <w:div w:id="1507163411">
      <w:bodyDiv w:val="1"/>
      <w:marLeft w:val="0"/>
      <w:marRight w:val="0"/>
      <w:marTop w:val="0"/>
      <w:marBottom w:val="0"/>
      <w:divBdr>
        <w:top w:val="none" w:sz="0" w:space="0" w:color="auto"/>
        <w:left w:val="none" w:sz="0" w:space="0" w:color="auto"/>
        <w:bottom w:val="none" w:sz="0" w:space="0" w:color="auto"/>
        <w:right w:val="none" w:sz="0" w:space="0" w:color="auto"/>
      </w:divBdr>
    </w:div>
    <w:div w:id="1511942541">
      <w:bodyDiv w:val="1"/>
      <w:marLeft w:val="0"/>
      <w:marRight w:val="0"/>
      <w:marTop w:val="0"/>
      <w:marBottom w:val="0"/>
      <w:divBdr>
        <w:top w:val="none" w:sz="0" w:space="0" w:color="auto"/>
        <w:left w:val="none" w:sz="0" w:space="0" w:color="auto"/>
        <w:bottom w:val="none" w:sz="0" w:space="0" w:color="auto"/>
        <w:right w:val="none" w:sz="0" w:space="0" w:color="auto"/>
      </w:divBdr>
      <w:divsChild>
        <w:div w:id="461852159">
          <w:marLeft w:val="0"/>
          <w:marRight w:val="0"/>
          <w:marTop w:val="0"/>
          <w:marBottom w:val="0"/>
          <w:divBdr>
            <w:top w:val="none" w:sz="0" w:space="0" w:color="auto"/>
            <w:left w:val="none" w:sz="0" w:space="0" w:color="auto"/>
            <w:bottom w:val="none" w:sz="0" w:space="0" w:color="auto"/>
            <w:right w:val="none" w:sz="0" w:space="0" w:color="auto"/>
          </w:divBdr>
        </w:div>
        <w:div w:id="673924696">
          <w:marLeft w:val="0"/>
          <w:marRight w:val="0"/>
          <w:marTop w:val="0"/>
          <w:marBottom w:val="0"/>
          <w:divBdr>
            <w:top w:val="none" w:sz="0" w:space="0" w:color="auto"/>
            <w:left w:val="none" w:sz="0" w:space="0" w:color="auto"/>
            <w:bottom w:val="none" w:sz="0" w:space="0" w:color="auto"/>
            <w:right w:val="none" w:sz="0" w:space="0" w:color="auto"/>
          </w:divBdr>
        </w:div>
        <w:div w:id="1088961577">
          <w:marLeft w:val="0"/>
          <w:marRight w:val="75"/>
          <w:marTop w:val="0"/>
          <w:marBottom w:val="0"/>
          <w:divBdr>
            <w:top w:val="none" w:sz="0" w:space="0" w:color="auto"/>
            <w:left w:val="none" w:sz="0" w:space="0" w:color="auto"/>
            <w:bottom w:val="none" w:sz="0" w:space="0" w:color="auto"/>
            <w:right w:val="none" w:sz="0" w:space="0" w:color="auto"/>
          </w:divBdr>
        </w:div>
        <w:div w:id="1657687807">
          <w:marLeft w:val="0"/>
          <w:marRight w:val="75"/>
          <w:marTop w:val="0"/>
          <w:marBottom w:val="0"/>
          <w:divBdr>
            <w:top w:val="none" w:sz="0" w:space="0" w:color="auto"/>
            <w:left w:val="none" w:sz="0" w:space="0" w:color="auto"/>
            <w:bottom w:val="none" w:sz="0" w:space="0" w:color="auto"/>
            <w:right w:val="none" w:sz="0" w:space="0" w:color="auto"/>
          </w:divBdr>
        </w:div>
      </w:divsChild>
    </w:div>
    <w:div w:id="1526014257">
      <w:bodyDiv w:val="1"/>
      <w:marLeft w:val="0"/>
      <w:marRight w:val="0"/>
      <w:marTop w:val="0"/>
      <w:marBottom w:val="0"/>
      <w:divBdr>
        <w:top w:val="none" w:sz="0" w:space="0" w:color="auto"/>
        <w:left w:val="none" w:sz="0" w:space="0" w:color="auto"/>
        <w:bottom w:val="none" w:sz="0" w:space="0" w:color="auto"/>
        <w:right w:val="none" w:sz="0" w:space="0" w:color="auto"/>
      </w:divBdr>
      <w:divsChild>
        <w:div w:id="955409457">
          <w:marLeft w:val="590"/>
          <w:marRight w:val="0"/>
          <w:marTop w:val="200"/>
          <w:marBottom w:val="0"/>
          <w:divBdr>
            <w:top w:val="none" w:sz="0" w:space="0" w:color="auto"/>
            <w:left w:val="none" w:sz="0" w:space="0" w:color="auto"/>
            <w:bottom w:val="none" w:sz="0" w:space="0" w:color="auto"/>
            <w:right w:val="none" w:sz="0" w:space="0" w:color="auto"/>
          </w:divBdr>
        </w:div>
        <w:div w:id="1334644176">
          <w:marLeft w:val="590"/>
          <w:marRight w:val="0"/>
          <w:marTop w:val="200"/>
          <w:marBottom w:val="0"/>
          <w:divBdr>
            <w:top w:val="none" w:sz="0" w:space="0" w:color="auto"/>
            <w:left w:val="none" w:sz="0" w:space="0" w:color="auto"/>
            <w:bottom w:val="none" w:sz="0" w:space="0" w:color="auto"/>
            <w:right w:val="none" w:sz="0" w:space="0" w:color="auto"/>
          </w:divBdr>
        </w:div>
        <w:div w:id="1524247747">
          <w:marLeft w:val="590"/>
          <w:marRight w:val="0"/>
          <w:marTop w:val="200"/>
          <w:marBottom w:val="0"/>
          <w:divBdr>
            <w:top w:val="none" w:sz="0" w:space="0" w:color="auto"/>
            <w:left w:val="none" w:sz="0" w:space="0" w:color="auto"/>
            <w:bottom w:val="none" w:sz="0" w:space="0" w:color="auto"/>
            <w:right w:val="none" w:sz="0" w:space="0" w:color="auto"/>
          </w:divBdr>
        </w:div>
      </w:divsChild>
    </w:div>
    <w:div w:id="1529247533">
      <w:bodyDiv w:val="1"/>
      <w:marLeft w:val="0"/>
      <w:marRight w:val="0"/>
      <w:marTop w:val="0"/>
      <w:marBottom w:val="0"/>
      <w:divBdr>
        <w:top w:val="none" w:sz="0" w:space="0" w:color="auto"/>
        <w:left w:val="none" w:sz="0" w:space="0" w:color="auto"/>
        <w:bottom w:val="none" w:sz="0" w:space="0" w:color="auto"/>
        <w:right w:val="none" w:sz="0" w:space="0" w:color="auto"/>
      </w:divBdr>
    </w:div>
    <w:div w:id="1555655414">
      <w:bodyDiv w:val="1"/>
      <w:marLeft w:val="0"/>
      <w:marRight w:val="0"/>
      <w:marTop w:val="0"/>
      <w:marBottom w:val="0"/>
      <w:divBdr>
        <w:top w:val="none" w:sz="0" w:space="0" w:color="auto"/>
        <w:left w:val="none" w:sz="0" w:space="0" w:color="auto"/>
        <w:bottom w:val="none" w:sz="0" w:space="0" w:color="auto"/>
        <w:right w:val="none" w:sz="0" w:space="0" w:color="auto"/>
      </w:divBdr>
    </w:div>
    <w:div w:id="1557668923">
      <w:bodyDiv w:val="1"/>
      <w:marLeft w:val="0"/>
      <w:marRight w:val="0"/>
      <w:marTop w:val="0"/>
      <w:marBottom w:val="0"/>
      <w:divBdr>
        <w:top w:val="none" w:sz="0" w:space="0" w:color="auto"/>
        <w:left w:val="none" w:sz="0" w:space="0" w:color="auto"/>
        <w:bottom w:val="none" w:sz="0" w:space="0" w:color="auto"/>
        <w:right w:val="none" w:sz="0" w:space="0" w:color="auto"/>
      </w:divBdr>
      <w:divsChild>
        <w:div w:id="121581796">
          <w:marLeft w:val="0"/>
          <w:marRight w:val="0"/>
          <w:marTop w:val="0"/>
          <w:marBottom w:val="0"/>
          <w:divBdr>
            <w:top w:val="none" w:sz="0" w:space="0" w:color="auto"/>
            <w:left w:val="none" w:sz="0" w:space="0" w:color="auto"/>
            <w:bottom w:val="none" w:sz="0" w:space="0" w:color="auto"/>
            <w:right w:val="none" w:sz="0" w:space="0" w:color="auto"/>
          </w:divBdr>
        </w:div>
        <w:div w:id="798381057">
          <w:marLeft w:val="0"/>
          <w:marRight w:val="0"/>
          <w:marTop w:val="0"/>
          <w:marBottom w:val="0"/>
          <w:divBdr>
            <w:top w:val="none" w:sz="0" w:space="0" w:color="auto"/>
            <w:left w:val="none" w:sz="0" w:space="0" w:color="auto"/>
            <w:bottom w:val="none" w:sz="0" w:space="0" w:color="auto"/>
            <w:right w:val="none" w:sz="0" w:space="0" w:color="auto"/>
          </w:divBdr>
        </w:div>
      </w:divsChild>
    </w:div>
    <w:div w:id="1568610952">
      <w:bodyDiv w:val="1"/>
      <w:marLeft w:val="0"/>
      <w:marRight w:val="0"/>
      <w:marTop w:val="0"/>
      <w:marBottom w:val="0"/>
      <w:divBdr>
        <w:top w:val="none" w:sz="0" w:space="0" w:color="auto"/>
        <w:left w:val="none" w:sz="0" w:space="0" w:color="auto"/>
        <w:bottom w:val="none" w:sz="0" w:space="0" w:color="auto"/>
        <w:right w:val="none" w:sz="0" w:space="0" w:color="auto"/>
      </w:divBdr>
    </w:div>
    <w:div w:id="1574970162">
      <w:bodyDiv w:val="1"/>
      <w:marLeft w:val="0"/>
      <w:marRight w:val="0"/>
      <w:marTop w:val="0"/>
      <w:marBottom w:val="0"/>
      <w:divBdr>
        <w:top w:val="none" w:sz="0" w:space="0" w:color="auto"/>
        <w:left w:val="none" w:sz="0" w:space="0" w:color="auto"/>
        <w:bottom w:val="none" w:sz="0" w:space="0" w:color="auto"/>
        <w:right w:val="none" w:sz="0" w:space="0" w:color="auto"/>
      </w:divBdr>
    </w:div>
    <w:div w:id="1600716935">
      <w:bodyDiv w:val="1"/>
      <w:marLeft w:val="0"/>
      <w:marRight w:val="0"/>
      <w:marTop w:val="0"/>
      <w:marBottom w:val="0"/>
      <w:divBdr>
        <w:top w:val="none" w:sz="0" w:space="0" w:color="auto"/>
        <w:left w:val="none" w:sz="0" w:space="0" w:color="auto"/>
        <w:bottom w:val="none" w:sz="0" w:space="0" w:color="auto"/>
        <w:right w:val="none" w:sz="0" w:space="0" w:color="auto"/>
      </w:divBdr>
      <w:divsChild>
        <w:div w:id="1675952938">
          <w:marLeft w:val="590"/>
          <w:marRight w:val="0"/>
          <w:marTop w:val="200"/>
          <w:marBottom w:val="0"/>
          <w:divBdr>
            <w:top w:val="none" w:sz="0" w:space="0" w:color="auto"/>
            <w:left w:val="none" w:sz="0" w:space="0" w:color="auto"/>
            <w:bottom w:val="none" w:sz="0" w:space="0" w:color="auto"/>
            <w:right w:val="none" w:sz="0" w:space="0" w:color="auto"/>
          </w:divBdr>
        </w:div>
      </w:divsChild>
    </w:div>
    <w:div w:id="1613896654">
      <w:bodyDiv w:val="1"/>
      <w:marLeft w:val="0"/>
      <w:marRight w:val="0"/>
      <w:marTop w:val="0"/>
      <w:marBottom w:val="0"/>
      <w:divBdr>
        <w:top w:val="none" w:sz="0" w:space="0" w:color="auto"/>
        <w:left w:val="none" w:sz="0" w:space="0" w:color="auto"/>
        <w:bottom w:val="none" w:sz="0" w:space="0" w:color="auto"/>
        <w:right w:val="none" w:sz="0" w:space="0" w:color="auto"/>
      </w:divBdr>
      <w:divsChild>
        <w:div w:id="14699389">
          <w:marLeft w:val="1555"/>
          <w:marRight w:val="0"/>
          <w:marTop w:val="100"/>
          <w:marBottom w:val="0"/>
          <w:divBdr>
            <w:top w:val="none" w:sz="0" w:space="0" w:color="auto"/>
            <w:left w:val="none" w:sz="0" w:space="0" w:color="auto"/>
            <w:bottom w:val="none" w:sz="0" w:space="0" w:color="auto"/>
            <w:right w:val="none" w:sz="0" w:space="0" w:color="auto"/>
          </w:divBdr>
        </w:div>
        <w:div w:id="40715474">
          <w:marLeft w:val="1555"/>
          <w:marRight w:val="0"/>
          <w:marTop w:val="100"/>
          <w:marBottom w:val="0"/>
          <w:divBdr>
            <w:top w:val="none" w:sz="0" w:space="0" w:color="auto"/>
            <w:left w:val="none" w:sz="0" w:space="0" w:color="auto"/>
            <w:bottom w:val="none" w:sz="0" w:space="0" w:color="auto"/>
            <w:right w:val="none" w:sz="0" w:space="0" w:color="auto"/>
          </w:divBdr>
        </w:div>
        <w:div w:id="191496420">
          <w:marLeft w:val="446"/>
          <w:marRight w:val="0"/>
          <w:marTop w:val="200"/>
          <w:marBottom w:val="120"/>
          <w:divBdr>
            <w:top w:val="none" w:sz="0" w:space="0" w:color="auto"/>
            <w:left w:val="none" w:sz="0" w:space="0" w:color="auto"/>
            <w:bottom w:val="none" w:sz="0" w:space="0" w:color="auto"/>
            <w:right w:val="none" w:sz="0" w:space="0" w:color="auto"/>
          </w:divBdr>
        </w:div>
        <w:div w:id="500586644">
          <w:marLeft w:val="677"/>
          <w:marRight w:val="0"/>
          <w:marTop w:val="200"/>
          <w:marBottom w:val="0"/>
          <w:divBdr>
            <w:top w:val="none" w:sz="0" w:space="0" w:color="auto"/>
            <w:left w:val="none" w:sz="0" w:space="0" w:color="auto"/>
            <w:bottom w:val="none" w:sz="0" w:space="0" w:color="auto"/>
            <w:right w:val="none" w:sz="0" w:space="0" w:color="auto"/>
          </w:divBdr>
        </w:div>
        <w:div w:id="538469962">
          <w:marLeft w:val="1555"/>
          <w:marRight w:val="0"/>
          <w:marTop w:val="100"/>
          <w:marBottom w:val="0"/>
          <w:divBdr>
            <w:top w:val="none" w:sz="0" w:space="0" w:color="auto"/>
            <w:left w:val="none" w:sz="0" w:space="0" w:color="auto"/>
            <w:bottom w:val="none" w:sz="0" w:space="0" w:color="auto"/>
            <w:right w:val="none" w:sz="0" w:space="0" w:color="auto"/>
          </w:divBdr>
        </w:div>
        <w:div w:id="657342599">
          <w:marLeft w:val="1555"/>
          <w:marRight w:val="0"/>
          <w:marTop w:val="100"/>
          <w:marBottom w:val="0"/>
          <w:divBdr>
            <w:top w:val="none" w:sz="0" w:space="0" w:color="auto"/>
            <w:left w:val="none" w:sz="0" w:space="0" w:color="auto"/>
            <w:bottom w:val="none" w:sz="0" w:space="0" w:color="auto"/>
            <w:right w:val="none" w:sz="0" w:space="0" w:color="auto"/>
          </w:divBdr>
        </w:div>
        <w:div w:id="763958603">
          <w:marLeft w:val="446"/>
          <w:marRight w:val="0"/>
          <w:marTop w:val="200"/>
          <w:marBottom w:val="120"/>
          <w:divBdr>
            <w:top w:val="none" w:sz="0" w:space="0" w:color="auto"/>
            <w:left w:val="none" w:sz="0" w:space="0" w:color="auto"/>
            <w:bottom w:val="none" w:sz="0" w:space="0" w:color="auto"/>
            <w:right w:val="none" w:sz="0" w:space="0" w:color="auto"/>
          </w:divBdr>
        </w:div>
        <w:div w:id="1004429664">
          <w:marLeft w:val="677"/>
          <w:marRight w:val="0"/>
          <w:marTop w:val="200"/>
          <w:marBottom w:val="0"/>
          <w:divBdr>
            <w:top w:val="none" w:sz="0" w:space="0" w:color="auto"/>
            <w:left w:val="none" w:sz="0" w:space="0" w:color="auto"/>
            <w:bottom w:val="none" w:sz="0" w:space="0" w:color="auto"/>
            <w:right w:val="none" w:sz="0" w:space="0" w:color="auto"/>
          </w:divBdr>
        </w:div>
        <w:div w:id="1601447245">
          <w:marLeft w:val="1555"/>
          <w:marRight w:val="0"/>
          <w:marTop w:val="100"/>
          <w:marBottom w:val="0"/>
          <w:divBdr>
            <w:top w:val="none" w:sz="0" w:space="0" w:color="auto"/>
            <w:left w:val="none" w:sz="0" w:space="0" w:color="auto"/>
            <w:bottom w:val="none" w:sz="0" w:space="0" w:color="auto"/>
            <w:right w:val="none" w:sz="0" w:space="0" w:color="auto"/>
          </w:divBdr>
        </w:div>
        <w:div w:id="1773864235">
          <w:marLeft w:val="446"/>
          <w:marRight w:val="0"/>
          <w:marTop w:val="200"/>
          <w:marBottom w:val="120"/>
          <w:divBdr>
            <w:top w:val="none" w:sz="0" w:space="0" w:color="auto"/>
            <w:left w:val="none" w:sz="0" w:space="0" w:color="auto"/>
            <w:bottom w:val="none" w:sz="0" w:space="0" w:color="auto"/>
            <w:right w:val="none" w:sz="0" w:space="0" w:color="auto"/>
          </w:divBdr>
        </w:div>
        <w:div w:id="1792747518">
          <w:marLeft w:val="446"/>
          <w:marRight w:val="0"/>
          <w:marTop w:val="200"/>
          <w:marBottom w:val="120"/>
          <w:divBdr>
            <w:top w:val="none" w:sz="0" w:space="0" w:color="auto"/>
            <w:left w:val="none" w:sz="0" w:space="0" w:color="auto"/>
            <w:bottom w:val="none" w:sz="0" w:space="0" w:color="auto"/>
            <w:right w:val="none" w:sz="0" w:space="0" w:color="auto"/>
          </w:divBdr>
        </w:div>
        <w:div w:id="2031254434">
          <w:marLeft w:val="1555"/>
          <w:marRight w:val="0"/>
          <w:marTop w:val="100"/>
          <w:marBottom w:val="0"/>
          <w:divBdr>
            <w:top w:val="none" w:sz="0" w:space="0" w:color="auto"/>
            <w:left w:val="none" w:sz="0" w:space="0" w:color="auto"/>
            <w:bottom w:val="none" w:sz="0" w:space="0" w:color="auto"/>
            <w:right w:val="none" w:sz="0" w:space="0" w:color="auto"/>
          </w:divBdr>
        </w:div>
      </w:divsChild>
    </w:div>
    <w:div w:id="1617054629">
      <w:bodyDiv w:val="1"/>
      <w:marLeft w:val="0"/>
      <w:marRight w:val="0"/>
      <w:marTop w:val="0"/>
      <w:marBottom w:val="0"/>
      <w:divBdr>
        <w:top w:val="none" w:sz="0" w:space="0" w:color="auto"/>
        <w:left w:val="none" w:sz="0" w:space="0" w:color="auto"/>
        <w:bottom w:val="none" w:sz="0" w:space="0" w:color="auto"/>
        <w:right w:val="none" w:sz="0" w:space="0" w:color="auto"/>
      </w:divBdr>
      <w:divsChild>
        <w:div w:id="1135835284">
          <w:marLeft w:val="0"/>
          <w:marRight w:val="0"/>
          <w:marTop w:val="0"/>
          <w:marBottom w:val="0"/>
          <w:divBdr>
            <w:top w:val="none" w:sz="0" w:space="0" w:color="auto"/>
            <w:left w:val="none" w:sz="0" w:space="0" w:color="auto"/>
            <w:bottom w:val="none" w:sz="0" w:space="0" w:color="auto"/>
            <w:right w:val="none" w:sz="0" w:space="0" w:color="auto"/>
          </w:divBdr>
          <w:divsChild>
            <w:div w:id="468983298">
              <w:marLeft w:val="0"/>
              <w:marRight w:val="0"/>
              <w:marTop w:val="0"/>
              <w:marBottom w:val="0"/>
              <w:divBdr>
                <w:top w:val="none" w:sz="0" w:space="0" w:color="auto"/>
                <w:left w:val="none" w:sz="0" w:space="0" w:color="auto"/>
                <w:bottom w:val="none" w:sz="0" w:space="0" w:color="auto"/>
                <w:right w:val="none" w:sz="0" w:space="0" w:color="auto"/>
              </w:divBdr>
              <w:divsChild>
                <w:div w:id="271212158">
                  <w:marLeft w:val="0"/>
                  <w:marRight w:val="0"/>
                  <w:marTop w:val="0"/>
                  <w:marBottom w:val="0"/>
                  <w:divBdr>
                    <w:top w:val="none" w:sz="0" w:space="0" w:color="auto"/>
                    <w:left w:val="none" w:sz="0" w:space="0" w:color="auto"/>
                    <w:bottom w:val="none" w:sz="0" w:space="0" w:color="auto"/>
                    <w:right w:val="none" w:sz="0" w:space="0" w:color="auto"/>
                  </w:divBdr>
                  <w:divsChild>
                    <w:div w:id="8258697">
                      <w:marLeft w:val="-360"/>
                      <w:marRight w:val="0"/>
                      <w:marTop w:val="0"/>
                      <w:marBottom w:val="0"/>
                      <w:divBdr>
                        <w:top w:val="none" w:sz="0" w:space="0" w:color="auto"/>
                        <w:left w:val="none" w:sz="0" w:space="0" w:color="auto"/>
                        <w:bottom w:val="none" w:sz="0" w:space="0" w:color="auto"/>
                        <w:right w:val="none" w:sz="0" w:space="0" w:color="auto"/>
                      </w:divBdr>
                      <w:divsChild>
                        <w:div w:id="1493134821">
                          <w:marLeft w:val="0"/>
                          <w:marRight w:val="0"/>
                          <w:marTop w:val="0"/>
                          <w:marBottom w:val="0"/>
                          <w:divBdr>
                            <w:top w:val="none" w:sz="0" w:space="0" w:color="auto"/>
                            <w:left w:val="none" w:sz="0" w:space="0" w:color="auto"/>
                            <w:bottom w:val="none" w:sz="0" w:space="0" w:color="auto"/>
                            <w:right w:val="none" w:sz="0" w:space="0" w:color="auto"/>
                          </w:divBdr>
                          <w:divsChild>
                            <w:div w:id="745953382">
                              <w:marLeft w:val="0"/>
                              <w:marRight w:val="0"/>
                              <w:marTop w:val="0"/>
                              <w:marBottom w:val="0"/>
                              <w:divBdr>
                                <w:top w:val="none" w:sz="0" w:space="0" w:color="auto"/>
                                <w:left w:val="none" w:sz="0" w:space="0" w:color="auto"/>
                                <w:bottom w:val="none" w:sz="0" w:space="0" w:color="auto"/>
                                <w:right w:val="none" w:sz="0" w:space="0" w:color="auto"/>
                              </w:divBdr>
                              <w:divsChild>
                                <w:div w:id="740643420">
                                  <w:marLeft w:val="0"/>
                                  <w:marRight w:val="0"/>
                                  <w:marTop w:val="0"/>
                                  <w:marBottom w:val="0"/>
                                  <w:divBdr>
                                    <w:top w:val="none" w:sz="0" w:space="0" w:color="auto"/>
                                    <w:left w:val="none" w:sz="0" w:space="0" w:color="auto"/>
                                    <w:bottom w:val="none" w:sz="0" w:space="0" w:color="auto"/>
                                    <w:right w:val="none" w:sz="0" w:space="0" w:color="auto"/>
                                  </w:divBdr>
                                  <w:divsChild>
                                    <w:div w:id="562646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25382488">
      <w:bodyDiv w:val="1"/>
      <w:marLeft w:val="0"/>
      <w:marRight w:val="0"/>
      <w:marTop w:val="0"/>
      <w:marBottom w:val="0"/>
      <w:divBdr>
        <w:top w:val="none" w:sz="0" w:space="0" w:color="auto"/>
        <w:left w:val="none" w:sz="0" w:space="0" w:color="auto"/>
        <w:bottom w:val="none" w:sz="0" w:space="0" w:color="auto"/>
        <w:right w:val="none" w:sz="0" w:space="0" w:color="auto"/>
      </w:divBdr>
    </w:div>
    <w:div w:id="1625887730">
      <w:bodyDiv w:val="1"/>
      <w:marLeft w:val="0"/>
      <w:marRight w:val="0"/>
      <w:marTop w:val="0"/>
      <w:marBottom w:val="0"/>
      <w:divBdr>
        <w:top w:val="none" w:sz="0" w:space="0" w:color="auto"/>
        <w:left w:val="none" w:sz="0" w:space="0" w:color="auto"/>
        <w:bottom w:val="none" w:sz="0" w:space="0" w:color="auto"/>
        <w:right w:val="none" w:sz="0" w:space="0" w:color="auto"/>
      </w:divBdr>
    </w:div>
    <w:div w:id="1628272643">
      <w:bodyDiv w:val="1"/>
      <w:marLeft w:val="0"/>
      <w:marRight w:val="0"/>
      <w:marTop w:val="0"/>
      <w:marBottom w:val="0"/>
      <w:divBdr>
        <w:top w:val="none" w:sz="0" w:space="0" w:color="auto"/>
        <w:left w:val="none" w:sz="0" w:space="0" w:color="auto"/>
        <w:bottom w:val="none" w:sz="0" w:space="0" w:color="auto"/>
        <w:right w:val="none" w:sz="0" w:space="0" w:color="auto"/>
      </w:divBdr>
    </w:div>
    <w:div w:id="1671442298">
      <w:bodyDiv w:val="1"/>
      <w:marLeft w:val="0"/>
      <w:marRight w:val="0"/>
      <w:marTop w:val="0"/>
      <w:marBottom w:val="0"/>
      <w:divBdr>
        <w:top w:val="none" w:sz="0" w:space="0" w:color="auto"/>
        <w:left w:val="none" w:sz="0" w:space="0" w:color="auto"/>
        <w:bottom w:val="none" w:sz="0" w:space="0" w:color="auto"/>
        <w:right w:val="none" w:sz="0" w:space="0" w:color="auto"/>
      </w:divBdr>
    </w:div>
    <w:div w:id="1686635959">
      <w:bodyDiv w:val="1"/>
      <w:marLeft w:val="0"/>
      <w:marRight w:val="0"/>
      <w:marTop w:val="0"/>
      <w:marBottom w:val="0"/>
      <w:divBdr>
        <w:top w:val="none" w:sz="0" w:space="0" w:color="auto"/>
        <w:left w:val="none" w:sz="0" w:space="0" w:color="auto"/>
        <w:bottom w:val="none" w:sz="0" w:space="0" w:color="auto"/>
        <w:right w:val="none" w:sz="0" w:space="0" w:color="auto"/>
      </w:divBdr>
    </w:div>
    <w:div w:id="1703480007">
      <w:bodyDiv w:val="1"/>
      <w:marLeft w:val="0"/>
      <w:marRight w:val="0"/>
      <w:marTop w:val="0"/>
      <w:marBottom w:val="0"/>
      <w:divBdr>
        <w:top w:val="none" w:sz="0" w:space="0" w:color="auto"/>
        <w:left w:val="none" w:sz="0" w:space="0" w:color="auto"/>
        <w:bottom w:val="none" w:sz="0" w:space="0" w:color="auto"/>
        <w:right w:val="none" w:sz="0" w:space="0" w:color="auto"/>
      </w:divBdr>
    </w:div>
    <w:div w:id="1716006040">
      <w:bodyDiv w:val="1"/>
      <w:marLeft w:val="0"/>
      <w:marRight w:val="0"/>
      <w:marTop w:val="0"/>
      <w:marBottom w:val="0"/>
      <w:divBdr>
        <w:top w:val="none" w:sz="0" w:space="0" w:color="auto"/>
        <w:left w:val="none" w:sz="0" w:space="0" w:color="auto"/>
        <w:bottom w:val="none" w:sz="0" w:space="0" w:color="auto"/>
        <w:right w:val="none" w:sz="0" w:space="0" w:color="auto"/>
      </w:divBdr>
      <w:divsChild>
        <w:div w:id="32459804">
          <w:marLeft w:val="0"/>
          <w:marRight w:val="0"/>
          <w:marTop w:val="0"/>
          <w:marBottom w:val="0"/>
          <w:divBdr>
            <w:top w:val="none" w:sz="0" w:space="0" w:color="auto"/>
            <w:left w:val="none" w:sz="0" w:space="0" w:color="auto"/>
            <w:bottom w:val="none" w:sz="0" w:space="0" w:color="auto"/>
            <w:right w:val="none" w:sz="0" w:space="0" w:color="auto"/>
          </w:divBdr>
          <w:divsChild>
            <w:div w:id="420369490">
              <w:marLeft w:val="0"/>
              <w:marRight w:val="0"/>
              <w:marTop w:val="0"/>
              <w:marBottom w:val="0"/>
              <w:divBdr>
                <w:top w:val="none" w:sz="0" w:space="0" w:color="auto"/>
                <w:left w:val="none" w:sz="0" w:space="0" w:color="auto"/>
                <w:bottom w:val="none" w:sz="0" w:space="0" w:color="auto"/>
                <w:right w:val="none" w:sz="0" w:space="0" w:color="auto"/>
              </w:divBdr>
              <w:divsChild>
                <w:div w:id="755781451">
                  <w:marLeft w:val="0"/>
                  <w:marRight w:val="0"/>
                  <w:marTop w:val="0"/>
                  <w:marBottom w:val="0"/>
                  <w:divBdr>
                    <w:top w:val="none" w:sz="0" w:space="0" w:color="auto"/>
                    <w:left w:val="none" w:sz="0" w:space="0" w:color="auto"/>
                    <w:bottom w:val="none" w:sz="0" w:space="0" w:color="auto"/>
                    <w:right w:val="none" w:sz="0" w:space="0" w:color="auto"/>
                  </w:divBdr>
                  <w:divsChild>
                    <w:div w:id="1061290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0934540">
      <w:bodyDiv w:val="1"/>
      <w:marLeft w:val="0"/>
      <w:marRight w:val="0"/>
      <w:marTop w:val="0"/>
      <w:marBottom w:val="0"/>
      <w:divBdr>
        <w:top w:val="none" w:sz="0" w:space="0" w:color="auto"/>
        <w:left w:val="none" w:sz="0" w:space="0" w:color="auto"/>
        <w:bottom w:val="none" w:sz="0" w:space="0" w:color="auto"/>
        <w:right w:val="none" w:sz="0" w:space="0" w:color="auto"/>
      </w:divBdr>
      <w:divsChild>
        <w:div w:id="325012121">
          <w:marLeft w:val="0"/>
          <w:marRight w:val="0"/>
          <w:marTop w:val="0"/>
          <w:marBottom w:val="0"/>
          <w:divBdr>
            <w:top w:val="none" w:sz="0" w:space="0" w:color="auto"/>
            <w:left w:val="none" w:sz="0" w:space="0" w:color="auto"/>
            <w:bottom w:val="none" w:sz="0" w:space="0" w:color="auto"/>
            <w:right w:val="none" w:sz="0" w:space="0" w:color="auto"/>
          </w:divBdr>
          <w:divsChild>
            <w:div w:id="2059236858">
              <w:marLeft w:val="0"/>
              <w:marRight w:val="0"/>
              <w:marTop w:val="0"/>
              <w:marBottom w:val="0"/>
              <w:divBdr>
                <w:top w:val="none" w:sz="0" w:space="0" w:color="auto"/>
                <w:left w:val="none" w:sz="0" w:space="0" w:color="auto"/>
                <w:bottom w:val="none" w:sz="0" w:space="0" w:color="auto"/>
                <w:right w:val="none" w:sz="0" w:space="0" w:color="auto"/>
              </w:divBdr>
              <w:divsChild>
                <w:div w:id="467017099">
                  <w:marLeft w:val="0"/>
                  <w:marRight w:val="0"/>
                  <w:marTop w:val="0"/>
                  <w:marBottom w:val="0"/>
                  <w:divBdr>
                    <w:top w:val="none" w:sz="0" w:space="0" w:color="auto"/>
                    <w:left w:val="none" w:sz="0" w:space="0" w:color="auto"/>
                    <w:bottom w:val="none" w:sz="0" w:space="0" w:color="auto"/>
                    <w:right w:val="none" w:sz="0" w:space="0" w:color="auto"/>
                  </w:divBdr>
                  <w:divsChild>
                    <w:div w:id="1059866733">
                      <w:marLeft w:val="-360"/>
                      <w:marRight w:val="0"/>
                      <w:marTop w:val="0"/>
                      <w:marBottom w:val="0"/>
                      <w:divBdr>
                        <w:top w:val="none" w:sz="0" w:space="0" w:color="auto"/>
                        <w:left w:val="none" w:sz="0" w:space="0" w:color="auto"/>
                        <w:bottom w:val="none" w:sz="0" w:space="0" w:color="auto"/>
                        <w:right w:val="none" w:sz="0" w:space="0" w:color="auto"/>
                      </w:divBdr>
                      <w:divsChild>
                        <w:div w:id="1279877502">
                          <w:marLeft w:val="0"/>
                          <w:marRight w:val="0"/>
                          <w:marTop w:val="0"/>
                          <w:marBottom w:val="0"/>
                          <w:divBdr>
                            <w:top w:val="none" w:sz="0" w:space="0" w:color="auto"/>
                            <w:left w:val="none" w:sz="0" w:space="0" w:color="auto"/>
                            <w:bottom w:val="none" w:sz="0" w:space="0" w:color="auto"/>
                            <w:right w:val="none" w:sz="0" w:space="0" w:color="auto"/>
                          </w:divBdr>
                          <w:divsChild>
                            <w:div w:id="1685325776">
                              <w:marLeft w:val="0"/>
                              <w:marRight w:val="0"/>
                              <w:marTop w:val="0"/>
                              <w:marBottom w:val="0"/>
                              <w:divBdr>
                                <w:top w:val="none" w:sz="0" w:space="0" w:color="auto"/>
                                <w:left w:val="none" w:sz="0" w:space="0" w:color="auto"/>
                                <w:bottom w:val="none" w:sz="0" w:space="0" w:color="auto"/>
                                <w:right w:val="none" w:sz="0" w:space="0" w:color="auto"/>
                              </w:divBdr>
                              <w:divsChild>
                                <w:div w:id="129716482">
                                  <w:marLeft w:val="0"/>
                                  <w:marRight w:val="0"/>
                                  <w:marTop w:val="0"/>
                                  <w:marBottom w:val="0"/>
                                  <w:divBdr>
                                    <w:top w:val="none" w:sz="0" w:space="0" w:color="auto"/>
                                    <w:left w:val="none" w:sz="0" w:space="0" w:color="auto"/>
                                    <w:bottom w:val="none" w:sz="0" w:space="0" w:color="auto"/>
                                    <w:right w:val="none" w:sz="0" w:space="0" w:color="auto"/>
                                  </w:divBdr>
                                  <w:divsChild>
                                    <w:div w:id="608925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35927752">
      <w:bodyDiv w:val="1"/>
      <w:marLeft w:val="0"/>
      <w:marRight w:val="0"/>
      <w:marTop w:val="0"/>
      <w:marBottom w:val="0"/>
      <w:divBdr>
        <w:top w:val="none" w:sz="0" w:space="0" w:color="auto"/>
        <w:left w:val="none" w:sz="0" w:space="0" w:color="auto"/>
        <w:bottom w:val="none" w:sz="0" w:space="0" w:color="auto"/>
        <w:right w:val="none" w:sz="0" w:space="0" w:color="auto"/>
      </w:divBdr>
    </w:div>
    <w:div w:id="1749690721">
      <w:bodyDiv w:val="1"/>
      <w:marLeft w:val="0"/>
      <w:marRight w:val="0"/>
      <w:marTop w:val="0"/>
      <w:marBottom w:val="0"/>
      <w:divBdr>
        <w:top w:val="none" w:sz="0" w:space="0" w:color="auto"/>
        <w:left w:val="none" w:sz="0" w:space="0" w:color="auto"/>
        <w:bottom w:val="none" w:sz="0" w:space="0" w:color="auto"/>
        <w:right w:val="none" w:sz="0" w:space="0" w:color="auto"/>
      </w:divBdr>
    </w:div>
    <w:div w:id="1768310370">
      <w:bodyDiv w:val="1"/>
      <w:marLeft w:val="0"/>
      <w:marRight w:val="0"/>
      <w:marTop w:val="0"/>
      <w:marBottom w:val="0"/>
      <w:divBdr>
        <w:top w:val="none" w:sz="0" w:space="0" w:color="auto"/>
        <w:left w:val="none" w:sz="0" w:space="0" w:color="auto"/>
        <w:bottom w:val="none" w:sz="0" w:space="0" w:color="auto"/>
        <w:right w:val="none" w:sz="0" w:space="0" w:color="auto"/>
      </w:divBdr>
    </w:div>
    <w:div w:id="1779988852">
      <w:bodyDiv w:val="1"/>
      <w:marLeft w:val="0"/>
      <w:marRight w:val="0"/>
      <w:marTop w:val="0"/>
      <w:marBottom w:val="0"/>
      <w:divBdr>
        <w:top w:val="none" w:sz="0" w:space="0" w:color="auto"/>
        <w:left w:val="none" w:sz="0" w:space="0" w:color="auto"/>
        <w:bottom w:val="none" w:sz="0" w:space="0" w:color="auto"/>
        <w:right w:val="none" w:sz="0" w:space="0" w:color="auto"/>
      </w:divBdr>
    </w:div>
    <w:div w:id="1782260235">
      <w:bodyDiv w:val="1"/>
      <w:marLeft w:val="0"/>
      <w:marRight w:val="0"/>
      <w:marTop w:val="0"/>
      <w:marBottom w:val="0"/>
      <w:divBdr>
        <w:top w:val="none" w:sz="0" w:space="0" w:color="auto"/>
        <w:left w:val="none" w:sz="0" w:space="0" w:color="auto"/>
        <w:bottom w:val="none" w:sz="0" w:space="0" w:color="auto"/>
        <w:right w:val="none" w:sz="0" w:space="0" w:color="auto"/>
      </w:divBdr>
      <w:divsChild>
        <w:div w:id="1405252472">
          <w:marLeft w:val="0"/>
          <w:marRight w:val="0"/>
          <w:marTop w:val="0"/>
          <w:marBottom w:val="0"/>
          <w:divBdr>
            <w:top w:val="none" w:sz="0" w:space="0" w:color="auto"/>
            <w:left w:val="none" w:sz="0" w:space="0" w:color="auto"/>
            <w:bottom w:val="none" w:sz="0" w:space="0" w:color="auto"/>
            <w:right w:val="none" w:sz="0" w:space="0" w:color="auto"/>
          </w:divBdr>
        </w:div>
      </w:divsChild>
    </w:div>
    <w:div w:id="1828474328">
      <w:bodyDiv w:val="1"/>
      <w:marLeft w:val="0"/>
      <w:marRight w:val="0"/>
      <w:marTop w:val="0"/>
      <w:marBottom w:val="0"/>
      <w:divBdr>
        <w:top w:val="none" w:sz="0" w:space="0" w:color="auto"/>
        <w:left w:val="none" w:sz="0" w:space="0" w:color="auto"/>
        <w:bottom w:val="none" w:sz="0" w:space="0" w:color="auto"/>
        <w:right w:val="none" w:sz="0" w:space="0" w:color="auto"/>
      </w:divBdr>
      <w:divsChild>
        <w:div w:id="380598593">
          <w:marLeft w:val="446"/>
          <w:marRight w:val="0"/>
          <w:marTop w:val="0"/>
          <w:marBottom w:val="0"/>
          <w:divBdr>
            <w:top w:val="none" w:sz="0" w:space="0" w:color="auto"/>
            <w:left w:val="none" w:sz="0" w:space="0" w:color="auto"/>
            <w:bottom w:val="none" w:sz="0" w:space="0" w:color="auto"/>
            <w:right w:val="none" w:sz="0" w:space="0" w:color="auto"/>
          </w:divBdr>
        </w:div>
      </w:divsChild>
    </w:div>
    <w:div w:id="1853454108">
      <w:bodyDiv w:val="1"/>
      <w:marLeft w:val="0"/>
      <w:marRight w:val="0"/>
      <w:marTop w:val="0"/>
      <w:marBottom w:val="0"/>
      <w:divBdr>
        <w:top w:val="none" w:sz="0" w:space="0" w:color="auto"/>
        <w:left w:val="none" w:sz="0" w:space="0" w:color="auto"/>
        <w:bottom w:val="none" w:sz="0" w:space="0" w:color="auto"/>
        <w:right w:val="none" w:sz="0" w:space="0" w:color="auto"/>
      </w:divBdr>
    </w:div>
    <w:div w:id="1870947917">
      <w:bodyDiv w:val="1"/>
      <w:marLeft w:val="0"/>
      <w:marRight w:val="0"/>
      <w:marTop w:val="0"/>
      <w:marBottom w:val="0"/>
      <w:divBdr>
        <w:top w:val="none" w:sz="0" w:space="0" w:color="auto"/>
        <w:left w:val="none" w:sz="0" w:space="0" w:color="auto"/>
        <w:bottom w:val="none" w:sz="0" w:space="0" w:color="auto"/>
        <w:right w:val="none" w:sz="0" w:space="0" w:color="auto"/>
      </w:divBdr>
    </w:div>
    <w:div w:id="1888449186">
      <w:bodyDiv w:val="1"/>
      <w:marLeft w:val="0"/>
      <w:marRight w:val="0"/>
      <w:marTop w:val="0"/>
      <w:marBottom w:val="0"/>
      <w:divBdr>
        <w:top w:val="none" w:sz="0" w:space="0" w:color="auto"/>
        <w:left w:val="none" w:sz="0" w:space="0" w:color="auto"/>
        <w:bottom w:val="none" w:sz="0" w:space="0" w:color="auto"/>
        <w:right w:val="none" w:sz="0" w:space="0" w:color="auto"/>
      </w:divBdr>
    </w:div>
    <w:div w:id="1897888885">
      <w:bodyDiv w:val="1"/>
      <w:marLeft w:val="0"/>
      <w:marRight w:val="0"/>
      <w:marTop w:val="0"/>
      <w:marBottom w:val="0"/>
      <w:divBdr>
        <w:top w:val="none" w:sz="0" w:space="0" w:color="auto"/>
        <w:left w:val="none" w:sz="0" w:space="0" w:color="auto"/>
        <w:bottom w:val="none" w:sz="0" w:space="0" w:color="auto"/>
        <w:right w:val="none" w:sz="0" w:space="0" w:color="auto"/>
      </w:divBdr>
    </w:div>
    <w:div w:id="1909267526">
      <w:bodyDiv w:val="1"/>
      <w:marLeft w:val="0"/>
      <w:marRight w:val="0"/>
      <w:marTop w:val="0"/>
      <w:marBottom w:val="0"/>
      <w:divBdr>
        <w:top w:val="none" w:sz="0" w:space="0" w:color="auto"/>
        <w:left w:val="none" w:sz="0" w:space="0" w:color="auto"/>
        <w:bottom w:val="none" w:sz="0" w:space="0" w:color="auto"/>
        <w:right w:val="none" w:sz="0" w:space="0" w:color="auto"/>
      </w:divBdr>
      <w:divsChild>
        <w:div w:id="1805268939">
          <w:marLeft w:val="0"/>
          <w:marRight w:val="0"/>
          <w:marTop w:val="0"/>
          <w:marBottom w:val="0"/>
          <w:divBdr>
            <w:top w:val="none" w:sz="0" w:space="0" w:color="auto"/>
            <w:left w:val="none" w:sz="0" w:space="0" w:color="auto"/>
            <w:bottom w:val="none" w:sz="0" w:space="0" w:color="auto"/>
            <w:right w:val="none" w:sz="0" w:space="0" w:color="auto"/>
          </w:divBdr>
        </w:div>
      </w:divsChild>
    </w:div>
    <w:div w:id="1915311935">
      <w:bodyDiv w:val="1"/>
      <w:marLeft w:val="0"/>
      <w:marRight w:val="0"/>
      <w:marTop w:val="0"/>
      <w:marBottom w:val="0"/>
      <w:divBdr>
        <w:top w:val="none" w:sz="0" w:space="0" w:color="auto"/>
        <w:left w:val="none" w:sz="0" w:space="0" w:color="auto"/>
        <w:bottom w:val="none" w:sz="0" w:space="0" w:color="auto"/>
        <w:right w:val="none" w:sz="0" w:space="0" w:color="auto"/>
      </w:divBdr>
    </w:div>
    <w:div w:id="1921406890">
      <w:bodyDiv w:val="1"/>
      <w:marLeft w:val="0"/>
      <w:marRight w:val="0"/>
      <w:marTop w:val="0"/>
      <w:marBottom w:val="0"/>
      <w:divBdr>
        <w:top w:val="none" w:sz="0" w:space="0" w:color="auto"/>
        <w:left w:val="none" w:sz="0" w:space="0" w:color="auto"/>
        <w:bottom w:val="none" w:sz="0" w:space="0" w:color="auto"/>
        <w:right w:val="none" w:sz="0" w:space="0" w:color="auto"/>
      </w:divBdr>
      <w:divsChild>
        <w:div w:id="973415242">
          <w:marLeft w:val="0"/>
          <w:marRight w:val="0"/>
          <w:marTop w:val="0"/>
          <w:marBottom w:val="0"/>
          <w:divBdr>
            <w:top w:val="none" w:sz="0" w:space="0" w:color="auto"/>
            <w:left w:val="none" w:sz="0" w:space="0" w:color="auto"/>
            <w:bottom w:val="none" w:sz="0" w:space="0" w:color="auto"/>
            <w:right w:val="none" w:sz="0" w:space="0" w:color="auto"/>
          </w:divBdr>
        </w:div>
      </w:divsChild>
    </w:div>
    <w:div w:id="1937209386">
      <w:bodyDiv w:val="1"/>
      <w:marLeft w:val="0"/>
      <w:marRight w:val="0"/>
      <w:marTop w:val="0"/>
      <w:marBottom w:val="0"/>
      <w:divBdr>
        <w:top w:val="none" w:sz="0" w:space="0" w:color="auto"/>
        <w:left w:val="none" w:sz="0" w:space="0" w:color="auto"/>
        <w:bottom w:val="none" w:sz="0" w:space="0" w:color="auto"/>
        <w:right w:val="none" w:sz="0" w:space="0" w:color="auto"/>
      </w:divBdr>
    </w:div>
    <w:div w:id="1950744706">
      <w:bodyDiv w:val="1"/>
      <w:marLeft w:val="0"/>
      <w:marRight w:val="0"/>
      <w:marTop w:val="0"/>
      <w:marBottom w:val="0"/>
      <w:divBdr>
        <w:top w:val="none" w:sz="0" w:space="0" w:color="auto"/>
        <w:left w:val="none" w:sz="0" w:space="0" w:color="auto"/>
        <w:bottom w:val="none" w:sz="0" w:space="0" w:color="auto"/>
        <w:right w:val="none" w:sz="0" w:space="0" w:color="auto"/>
      </w:divBdr>
    </w:div>
    <w:div w:id="1984920939">
      <w:bodyDiv w:val="1"/>
      <w:marLeft w:val="0"/>
      <w:marRight w:val="0"/>
      <w:marTop w:val="0"/>
      <w:marBottom w:val="0"/>
      <w:divBdr>
        <w:top w:val="none" w:sz="0" w:space="0" w:color="auto"/>
        <w:left w:val="none" w:sz="0" w:space="0" w:color="auto"/>
        <w:bottom w:val="none" w:sz="0" w:space="0" w:color="auto"/>
        <w:right w:val="none" w:sz="0" w:space="0" w:color="auto"/>
      </w:divBdr>
    </w:div>
    <w:div w:id="1991447429">
      <w:bodyDiv w:val="1"/>
      <w:marLeft w:val="0"/>
      <w:marRight w:val="0"/>
      <w:marTop w:val="0"/>
      <w:marBottom w:val="0"/>
      <w:divBdr>
        <w:top w:val="none" w:sz="0" w:space="0" w:color="auto"/>
        <w:left w:val="none" w:sz="0" w:space="0" w:color="auto"/>
        <w:bottom w:val="none" w:sz="0" w:space="0" w:color="auto"/>
        <w:right w:val="none" w:sz="0" w:space="0" w:color="auto"/>
      </w:divBdr>
      <w:divsChild>
        <w:div w:id="1603100835">
          <w:marLeft w:val="0"/>
          <w:marRight w:val="0"/>
          <w:marTop w:val="0"/>
          <w:marBottom w:val="0"/>
          <w:divBdr>
            <w:top w:val="none" w:sz="0" w:space="0" w:color="auto"/>
            <w:left w:val="none" w:sz="0" w:space="0" w:color="auto"/>
            <w:bottom w:val="none" w:sz="0" w:space="0" w:color="auto"/>
            <w:right w:val="none" w:sz="0" w:space="0" w:color="auto"/>
          </w:divBdr>
        </w:div>
      </w:divsChild>
    </w:div>
    <w:div w:id="2006517410">
      <w:bodyDiv w:val="1"/>
      <w:marLeft w:val="0"/>
      <w:marRight w:val="0"/>
      <w:marTop w:val="0"/>
      <w:marBottom w:val="0"/>
      <w:divBdr>
        <w:top w:val="none" w:sz="0" w:space="0" w:color="auto"/>
        <w:left w:val="none" w:sz="0" w:space="0" w:color="auto"/>
        <w:bottom w:val="none" w:sz="0" w:space="0" w:color="auto"/>
        <w:right w:val="none" w:sz="0" w:space="0" w:color="auto"/>
      </w:divBdr>
    </w:div>
    <w:div w:id="2008634231">
      <w:bodyDiv w:val="1"/>
      <w:marLeft w:val="0"/>
      <w:marRight w:val="0"/>
      <w:marTop w:val="0"/>
      <w:marBottom w:val="0"/>
      <w:divBdr>
        <w:top w:val="none" w:sz="0" w:space="0" w:color="auto"/>
        <w:left w:val="none" w:sz="0" w:space="0" w:color="auto"/>
        <w:bottom w:val="none" w:sz="0" w:space="0" w:color="auto"/>
        <w:right w:val="none" w:sz="0" w:space="0" w:color="auto"/>
      </w:divBdr>
      <w:divsChild>
        <w:div w:id="1593775215">
          <w:marLeft w:val="274"/>
          <w:marRight w:val="0"/>
          <w:marTop w:val="0"/>
          <w:marBottom w:val="85"/>
          <w:divBdr>
            <w:top w:val="none" w:sz="0" w:space="0" w:color="auto"/>
            <w:left w:val="none" w:sz="0" w:space="0" w:color="auto"/>
            <w:bottom w:val="none" w:sz="0" w:space="0" w:color="auto"/>
            <w:right w:val="none" w:sz="0" w:space="0" w:color="auto"/>
          </w:divBdr>
        </w:div>
        <w:div w:id="492795765">
          <w:marLeft w:val="274"/>
          <w:marRight w:val="0"/>
          <w:marTop w:val="0"/>
          <w:marBottom w:val="85"/>
          <w:divBdr>
            <w:top w:val="none" w:sz="0" w:space="0" w:color="auto"/>
            <w:left w:val="none" w:sz="0" w:space="0" w:color="auto"/>
            <w:bottom w:val="none" w:sz="0" w:space="0" w:color="auto"/>
            <w:right w:val="none" w:sz="0" w:space="0" w:color="auto"/>
          </w:divBdr>
        </w:div>
        <w:div w:id="839395334">
          <w:marLeft w:val="274"/>
          <w:marRight w:val="0"/>
          <w:marTop w:val="0"/>
          <w:marBottom w:val="85"/>
          <w:divBdr>
            <w:top w:val="none" w:sz="0" w:space="0" w:color="auto"/>
            <w:left w:val="none" w:sz="0" w:space="0" w:color="auto"/>
            <w:bottom w:val="none" w:sz="0" w:space="0" w:color="auto"/>
            <w:right w:val="none" w:sz="0" w:space="0" w:color="auto"/>
          </w:divBdr>
        </w:div>
      </w:divsChild>
    </w:div>
    <w:div w:id="2009748151">
      <w:bodyDiv w:val="1"/>
      <w:marLeft w:val="0"/>
      <w:marRight w:val="0"/>
      <w:marTop w:val="0"/>
      <w:marBottom w:val="0"/>
      <w:divBdr>
        <w:top w:val="none" w:sz="0" w:space="0" w:color="auto"/>
        <w:left w:val="none" w:sz="0" w:space="0" w:color="auto"/>
        <w:bottom w:val="none" w:sz="0" w:space="0" w:color="auto"/>
        <w:right w:val="none" w:sz="0" w:space="0" w:color="auto"/>
      </w:divBdr>
      <w:divsChild>
        <w:div w:id="472252909">
          <w:marLeft w:val="677"/>
          <w:marRight w:val="0"/>
          <w:marTop w:val="200"/>
          <w:marBottom w:val="0"/>
          <w:divBdr>
            <w:top w:val="none" w:sz="0" w:space="0" w:color="auto"/>
            <w:left w:val="none" w:sz="0" w:space="0" w:color="auto"/>
            <w:bottom w:val="none" w:sz="0" w:space="0" w:color="auto"/>
            <w:right w:val="none" w:sz="0" w:space="0" w:color="auto"/>
          </w:divBdr>
        </w:div>
        <w:div w:id="613294084">
          <w:marLeft w:val="1555"/>
          <w:marRight w:val="0"/>
          <w:marTop w:val="100"/>
          <w:marBottom w:val="0"/>
          <w:divBdr>
            <w:top w:val="none" w:sz="0" w:space="0" w:color="auto"/>
            <w:left w:val="none" w:sz="0" w:space="0" w:color="auto"/>
            <w:bottom w:val="none" w:sz="0" w:space="0" w:color="auto"/>
            <w:right w:val="none" w:sz="0" w:space="0" w:color="auto"/>
          </w:divBdr>
        </w:div>
        <w:div w:id="750011142">
          <w:marLeft w:val="677"/>
          <w:marRight w:val="0"/>
          <w:marTop w:val="200"/>
          <w:marBottom w:val="0"/>
          <w:divBdr>
            <w:top w:val="none" w:sz="0" w:space="0" w:color="auto"/>
            <w:left w:val="none" w:sz="0" w:space="0" w:color="auto"/>
            <w:bottom w:val="none" w:sz="0" w:space="0" w:color="auto"/>
            <w:right w:val="none" w:sz="0" w:space="0" w:color="auto"/>
          </w:divBdr>
        </w:div>
        <w:div w:id="1150635332">
          <w:marLeft w:val="1555"/>
          <w:marRight w:val="0"/>
          <w:marTop w:val="100"/>
          <w:marBottom w:val="0"/>
          <w:divBdr>
            <w:top w:val="none" w:sz="0" w:space="0" w:color="auto"/>
            <w:left w:val="none" w:sz="0" w:space="0" w:color="auto"/>
            <w:bottom w:val="none" w:sz="0" w:space="0" w:color="auto"/>
            <w:right w:val="none" w:sz="0" w:space="0" w:color="auto"/>
          </w:divBdr>
        </w:div>
        <w:div w:id="1435246951">
          <w:marLeft w:val="446"/>
          <w:marRight w:val="0"/>
          <w:marTop w:val="200"/>
          <w:marBottom w:val="120"/>
          <w:divBdr>
            <w:top w:val="none" w:sz="0" w:space="0" w:color="auto"/>
            <w:left w:val="none" w:sz="0" w:space="0" w:color="auto"/>
            <w:bottom w:val="none" w:sz="0" w:space="0" w:color="auto"/>
            <w:right w:val="none" w:sz="0" w:space="0" w:color="auto"/>
          </w:divBdr>
        </w:div>
        <w:div w:id="1450781636">
          <w:marLeft w:val="1555"/>
          <w:marRight w:val="0"/>
          <w:marTop w:val="100"/>
          <w:marBottom w:val="0"/>
          <w:divBdr>
            <w:top w:val="none" w:sz="0" w:space="0" w:color="auto"/>
            <w:left w:val="none" w:sz="0" w:space="0" w:color="auto"/>
            <w:bottom w:val="none" w:sz="0" w:space="0" w:color="auto"/>
            <w:right w:val="none" w:sz="0" w:space="0" w:color="auto"/>
          </w:divBdr>
        </w:div>
        <w:div w:id="1461261456">
          <w:marLeft w:val="1555"/>
          <w:marRight w:val="0"/>
          <w:marTop w:val="100"/>
          <w:marBottom w:val="0"/>
          <w:divBdr>
            <w:top w:val="none" w:sz="0" w:space="0" w:color="auto"/>
            <w:left w:val="none" w:sz="0" w:space="0" w:color="auto"/>
            <w:bottom w:val="none" w:sz="0" w:space="0" w:color="auto"/>
            <w:right w:val="none" w:sz="0" w:space="0" w:color="auto"/>
          </w:divBdr>
        </w:div>
        <w:div w:id="1893617349">
          <w:marLeft w:val="1555"/>
          <w:marRight w:val="0"/>
          <w:marTop w:val="100"/>
          <w:marBottom w:val="0"/>
          <w:divBdr>
            <w:top w:val="none" w:sz="0" w:space="0" w:color="auto"/>
            <w:left w:val="none" w:sz="0" w:space="0" w:color="auto"/>
            <w:bottom w:val="none" w:sz="0" w:space="0" w:color="auto"/>
            <w:right w:val="none" w:sz="0" w:space="0" w:color="auto"/>
          </w:divBdr>
        </w:div>
        <w:div w:id="2135977072">
          <w:marLeft w:val="1555"/>
          <w:marRight w:val="0"/>
          <w:marTop w:val="100"/>
          <w:marBottom w:val="0"/>
          <w:divBdr>
            <w:top w:val="none" w:sz="0" w:space="0" w:color="auto"/>
            <w:left w:val="none" w:sz="0" w:space="0" w:color="auto"/>
            <w:bottom w:val="none" w:sz="0" w:space="0" w:color="auto"/>
            <w:right w:val="none" w:sz="0" w:space="0" w:color="auto"/>
          </w:divBdr>
        </w:div>
      </w:divsChild>
    </w:div>
    <w:div w:id="2015566884">
      <w:bodyDiv w:val="1"/>
      <w:marLeft w:val="0"/>
      <w:marRight w:val="0"/>
      <w:marTop w:val="0"/>
      <w:marBottom w:val="0"/>
      <w:divBdr>
        <w:top w:val="none" w:sz="0" w:space="0" w:color="auto"/>
        <w:left w:val="none" w:sz="0" w:space="0" w:color="auto"/>
        <w:bottom w:val="none" w:sz="0" w:space="0" w:color="auto"/>
        <w:right w:val="none" w:sz="0" w:space="0" w:color="auto"/>
      </w:divBdr>
    </w:div>
    <w:div w:id="2031636088">
      <w:bodyDiv w:val="1"/>
      <w:marLeft w:val="0"/>
      <w:marRight w:val="0"/>
      <w:marTop w:val="0"/>
      <w:marBottom w:val="0"/>
      <w:divBdr>
        <w:top w:val="none" w:sz="0" w:space="0" w:color="auto"/>
        <w:left w:val="none" w:sz="0" w:space="0" w:color="auto"/>
        <w:bottom w:val="none" w:sz="0" w:space="0" w:color="auto"/>
        <w:right w:val="none" w:sz="0" w:space="0" w:color="auto"/>
      </w:divBdr>
      <w:divsChild>
        <w:div w:id="372075025">
          <w:marLeft w:val="590"/>
          <w:marRight w:val="0"/>
          <w:marTop w:val="200"/>
          <w:marBottom w:val="0"/>
          <w:divBdr>
            <w:top w:val="none" w:sz="0" w:space="0" w:color="auto"/>
            <w:left w:val="none" w:sz="0" w:space="0" w:color="auto"/>
            <w:bottom w:val="none" w:sz="0" w:space="0" w:color="auto"/>
            <w:right w:val="none" w:sz="0" w:space="0" w:color="auto"/>
          </w:divBdr>
        </w:div>
        <w:div w:id="1175418670">
          <w:marLeft w:val="590"/>
          <w:marRight w:val="0"/>
          <w:marTop w:val="200"/>
          <w:marBottom w:val="0"/>
          <w:divBdr>
            <w:top w:val="none" w:sz="0" w:space="0" w:color="auto"/>
            <w:left w:val="none" w:sz="0" w:space="0" w:color="auto"/>
            <w:bottom w:val="none" w:sz="0" w:space="0" w:color="auto"/>
            <w:right w:val="none" w:sz="0" w:space="0" w:color="auto"/>
          </w:divBdr>
        </w:div>
        <w:div w:id="1383285584">
          <w:marLeft w:val="590"/>
          <w:marRight w:val="0"/>
          <w:marTop w:val="200"/>
          <w:marBottom w:val="0"/>
          <w:divBdr>
            <w:top w:val="none" w:sz="0" w:space="0" w:color="auto"/>
            <w:left w:val="none" w:sz="0" w:space="0" w:color="auto"/>
            <w:bottom w:val="none" w:sz="0" w:space="0" w:color="auto"/>
            <w:right w:val="none" w:sz="0" w:space="0" w:color="auto"/>
          </w:divBdr>
        </w:div>
        <w:div w:id="1725714075">
          <w:marLeft w:val="590"/>
          <w:marRight w:val="0"/>
          <w:marTop w:val="200"/>
          <w:marBottom w:val="0"/>
          <w:divBdr>
            <w:top w:val="none" w:sz="0" w:space="0" w:color="auto"/>
            <w:left w:val="none" w:sz="0" w:space="0" w:color="auto"/>
            <w:bottom w:val="none" w:sz="0" w:space="0" w:color="auto"/>
            <w:right w:val="none" w:sz="0" w:space="0" w:color="auto"/>
          </w:divBdr>
        </w:div>
        <w:div w:id="2004817047">
          <w:marLeft w:val="590"/>
          <w:marRight w:val="0"/>
          <w:marTop w:val="200"/>
          <w:marBottom w:val="0"/>
          <w:divBdr>
            <w:top w:val="none" w:sz="0" w:space="0" w:color="auto"/>
            <w:left w:val="none" w:sz="0" w:space="0" w:color="auto"/>
            <w:bottom w:val="none" w:sz="0" w:space="0" w:color="auto"/>
            <w:right w:val="none" w:sz="0" w:space="0" w:color="auto"/>
          </w:divBdr>
        </w:div>
      </w:divsChild>
    </w:div>
    <w:div w:id="2049840488">
      <w:bodyDiv w:val="1"/>
      <w:marLeft w:val="0"/>
      <w:marRight w:val="0"/>
      <w:marTop w:val="0"/>
      <w:marBottom w:val="0"/>
      <w:divBdr>
        <w:top w:val="none" w:sz="0" w:space="0" w:color="auto"/>
        <w:left w:val="none" w:sz="0" w:space="0" w:color="auto"/>
        <w:bottom w:val="none" w:sz="0" w:space="0" w:color="auto"/>
        <w:right w:val="none" w:sz="0" w:space="0" w:color="auto"/>
      </w:divBdr>
      <w:divsChild>
        <w:div w:id="19554380">
          <w:marLeft w:val="677"/>
          <w:marRight w:val="0"/>
          <w:marTop w:val="360"/>
          <w:marBottom w:val="120"/>
          <w:divBdr>
            <w:top w:val="none" w:sz="0" w:space="0" w:color="auto"/>
            <w:left w:val="none" w:sz="0" w:space="0" w:color="auto"/>
            <w:bottom w:val="none" w:sz="0" w:space="0" w:color="auto"/>
            <w:right w:val="none" w:sz="0" w:space="0" w:color="auto"/>
          </w:divBdr>
        </w:div>
        <w:div w:id="259605053">
          <w:marLeft w:val="547"/>
          <w:marRight w:val="0"/>
          <w:marTop w:val="200"/>
          <w:marBottom w:val="120"/>
          <w:divBdr>
            <w:top w:val="none" w:sz="0" w:space="0" w:color="auto"/>
            <w:left w:val="none" w:sz="0" w:space="0" w:color="auto"/>
            <w:bottom w:val="none" w:sz="0" w:space="0" w:color="auto"/>
            <w:right w:val="none" w:sz="0" w:space="0" w:color="auto"/>
          </w:divBdr>
        </w:div>
        <w:div w:id="409277026">
          <w:marLeft w:val="547"/>
          <w:marRight w:val="0"/>
          <w:marTop w:val="200"/>
          <w:marBottom w:val="120"/>
          <w:divBdr>
            <w:top w:val="none" w:sz="0" w:space="0" w:color="auto"/>
            <w:left w:val="none" w:sz="0" w:space="0" w:color="auto"/>
            <w:bottom w:val="none" w:sz="0" w:space="0" w:color="auto"/>
            <w:right w:val="none" w:sz="0" w:space="0" w:color="auto"/>
          </w:divBdr>
        </w:div>
        <w:div w:id="685323813">
          <w:marLeft w:val="677"/>
          <w:marRight w:val="0"/>
          <w:marTop w:val="360"/>
          <w:marBottom w:val="0"/>
          <w:divBdr>
            <w:top w:val="none" w:sz="0" w:space="0" w:color="auto"/>
            <w:left w:val="none" w:sz="0" w:space="0" w:color="auto"/>
            <w:bottom w:val="none" w:sz="0" w:space="0" w:color="auto"/>
            <w:right w:val="none" w:sz="0" w:space="0" w:color="auto"/>
          </w:divBdr>
        </w:div>
        <w:div w:id="685518274">
          <w:marLeft w:val="677"/>
          <w:marRight w:val="0"/>
          <w:marTop w:val="360"/>
          <w:marBottom w:val="0"/>
          <w:divBdr>
            <w:top w:val="none" w:sz="0" w:space="0" w:color="auto"/>
            <w:left w:val="none" w:sz="0" w:space="0" w:color="auto"/>
            <w:bottom w:val="none" w:sz="0" w:space="0" w:color="auto"/>
            <w:right w:val="none" w:sz="0" w:space="0" w:color="auto"/>
          </w:divBdr>
        </w:div>
        <w:div w:id="1236158883">
          <w:marLeft w:val="547"/>
          <w:marRight w:val="0"/>
          <w:marTop w:val="200"/>
          <w:marBottom w:val="120"/>
          <w:divBdr>
            <w:top w:val="none" w:sz="0" w:space="0" w:color="auto"/>
            <w:left w:val="none" w:sz="0" w:space="0" w:color="auto"/>
            <w:bottom w:val="none" w:sz="0" w:space="0" w:color="auto"/>
            <w:right w:val="none" w:sz="0" w:space="0" w:color="auto"/>
          </w:divBdr>
        </w:div>
        <w:div w:id="1437604180">
          <w:marLeft w:val="677"/>
          <w:marRight w:val="0"/>
          <w:marTop w:val="360"/>
          <w:marBottom w:val="0"/>
          <w:divBdr>
            <w:top w:val="none" w:sz="0" w:space="0" w:color="auto"/>
            <w:left w:val="none" w:sz="0" w:space="0" w:color="auto"/>
            <w:bottom w:val="none" w:sz="0" w:space="0" w:color="auto"/>
            <w:right w:val="none" w:sz="0" w:space="0" w:color="auto"/>
          </w:divBdr>
        </w:div>
        <w:div w:id="1619292757">
          <w:marLeft w:val="677"/>
          <w:marRight w:val="0"/>
          <w:marTop w:val="360"/>
          <w:marBottom w:val="0"/>
          <w:divBdr>
            <w:top w:val="none" w:sz="0" w:space="0" w:color="auto"/>
            <w:left w:val="none" w:sz="0" w:space="0" w:color="auto"/>
            <w:bottom w:val="none" w:sz="0" w:space="0" w:color="auto"/>
            <w:right w:val="none" w:sz="0" w:space="0" w:color="auto"/>
          </w:divBdr>
        </w:div>
        <w:div w:id="1979798988">
          <w:marLeft w:val="677"/>
          <w:marRight w:val="0"/>
          <w:marTop w:val="360"/>
          <w:marBottom w:val="0"/>
          <w:divBdr>
            <w:top w:val="none" w:sz="0" w:space="0" w:color="auto"/>
            <w:left w:val="none" w:sz="0" w:space="0" w:color="auto"/>
            <w:bottom w:val="none" w:sz="0" w:space="0" w:color="auto"/>
            <w:right w:val="none" w:sz="0" w:space="0" w:color="auto"/>
          </w:divBdr>
        </w:div>
      </w:divsChild>
    </w:div>
    <w:div w:id="2059814638">
      <w:bodyDiv w:val="1"/>
      <w:marLeft w:val="0"/>
      <w:marRight w:val="0"/>
      <w:marTop w:val="0"/>
      <w:marBottom w:val="0"/>
      <w:divBdr>
        <w:top w:val="none" w:sz="0" w:space="0" w:color="auto"/>
        <w:left w:val="none" w:sz="0" w:space="0" w:color="auto"/>
        <w:bottom w:val="none" w:sz="0" w:space="0" w:color="auto"/>
        <w:right w:val="none" w:sz="0" w:space="0" w:color="auto"/>
      </w:divBdr>
      <w:divsChild>
        <w:div w:id="670983188">
          <w:marLeft w:val="590"/>
          <w:marRight w:val="0"/>
          <w:marTop w:val="200"/>
          <w:marBottom w:val="0"/>
          <w:divBdr>
            <w:top w:val="none" w:sz="0" w:space="0" w:color="auto"/>
            <w:left w:val="none" w:sz="0" w:space="0" w:color="auto"/>
            <w:bottom w:val="none" w:sz="0" w:space="0" w:color="auto"/>
            <w:right w:val="none" w:sz="0" w:space="0" w:color="auto"/>
          </w:divBdr>
        </w:div>
      </w:divsChild>
    </w:div>
    <w:div w:id="2062632084">
      <w:bodyDiv w:val="1"/>
      <w:marLeft w:val="0"/>
      <w:marRight w:val="0"/>
      <w:marTop w:val="0"/>
      <w:marBottom w:val="0"/>
      <w:divBdr>
        <w:top w:val="none" w:sz="0" w:space="0" w:color="auto"/>
        <w:left w:val="none" w:sz="0" w:space="0" w:color="auto"/>
        <w:bottom w:val="none" w:sz="0" w:space="0" w:color="auto"/>
        <w:right w:val="none" w:sz="0" w:space="0" w:color="auto"/>
      </w:divBdr>
    </w:div>
    <w:div w:id="2068527110">
      <w:bodyDiv w:val="1"/>
      <w:marLeft w:val="0"/>
      <w:marRight w:val="0"/>
      <w:marTop w:val="0"/>
      <w:marBottom w:val="0"/>
      <w:divBdr>
        <w:top w:val="none" w:sz="0" w:space="0" w:color="auto"/>
        <w:left w:val="none" w:sz="0" w:space="0" w:color="auto"/>
        <w:bottom w:val="none" w:sz="0" w:space="0" w:color="auto"/>
        <w:right w:val="none" w:sz="0" w:space="0" w:color="auto"/>
      </w:divBdr>
    </w:div>
    <w:div w:id="2089181615">
      <w:bodyDiv w:val="1"/>
      <w:marLeft w:val="0"/>
      <w:marRight w:val="0"/>
      <w:marTop w:val="0"/>
      <w:marBottom w:val="0"/>
      <w:divBdr>
        <w:top w:val="none" w:sz="0" w:space="0" w:color="auto"/>
        <w:left w:val="none" w:sz="0" w:space="0" w:color="auto"/>
        <w:bottom w:val="none" w:sz="0" w:space="0" w:color="auto"/>
        <w:right w:val="none" w:sz="0" w:space="0" w:color="auto"/>
      </w:divBdr>
    </w:div>
    <w:div w:id="2093357735">
      <w:bodyDiv w:val="1"/>
      <w:marLeft w:val="0"/>
      <w:marRight w:val="0"/>
      <w:marTop w:val="0"/>
      <w:marBottom w:val="0"/>
      <w:divBdr>
        <w:top w:val="none" w:sz="0" w:space="0" w:color="auto"/>
        <w:left w:val="none" w:sz="0" w:space="0" w:color="auto"/>
        <w:bottom w:val="none" w:sz="0" w:space="0" w:color="auto"/>
        <w:right w:val="none" w:sz="0" w:space="0" w:color="auto"/>
      </w:divBdr>
    </w:div>
    <w:div w:id="2109885632">
      <w:bodyDiv w:val="1"/>
      <w:marLeft w:val="0"/>
      <w:marRight w:val="0"/>
      <w:marTop w:val="0"/>
      <w:marBottom w:val="0"/>
      <w:divBdr>
        <w:top w:val="none" w:sz="0" w:space="0" w:color="auto"/>
        <w:left w:val="none" w:sz="0" w:space="0" w:color="auto"/>
        <w:bottom w:val="none" w:sz="0" w:space="0" w:color="auto"/>
        <w:right w:val="none" w:sz="0" w:space="0" w:color="auto"/>
      </w:divBdr>
    </w:div>
    <w:div w:id="2116441538">
      <w:bodyDiv w:val="1"/>
      <w:marLeft w:val="0"/>
      <w:marRight w:val="0"/>
      <w:marTop w:val="0"/>
      <w:marBottom w:val="0"/>
      <w:divBdr>
        <w:top w:val="none" w:sz="0" w:space="0" w:color="auto"/>
        <w:left w:val="none" w:sz="0" w:space="0" w:color="auto"/>
        <w:bottom w:val="none" w:sz="0" w:space="0" w:color="auto"/>
        <w:right w:val="none" w:sz="0" w:space="0" w:color="auto"/>
      </w:divBdr>
      <w:divsChild>
        <w:div w:id="1887184331">
          <w:marLeft w:val="0"/>
          <w:marRight w:val="0"/>
          <w:marTop w:val="0"/>
          <w:marBottom w:val="0"/>
          <w:divBdr>
            <w:top w:val="none" w:sz="0" w:space="0" w:color="auto"/>
            <w:left w:val="none" w:sz="0" w:space="0" w:color="auto"/>
            <w:bottom w:val="none" w:sz="0" w:space="0" w:color="auto"/>
            <w:right w:val="none" w:sz="0" w:space="0" w:color="auto"/>
          </w:divBdr>
        </w:div>
      </w:divsChild>
    </w:div>
    <w:div w:id="2146655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4.xml"/><Relationship Id="rId26" Type="http://schemas.openxmlformats.org/officeDocument/2006/relationships/hyperlink" Target="https://meteor.aihw.gov.au/content/327268" TargetMode="External"/><Relationship Id="rId39" Type="http://schemas.openxmlformats.org/officeDocument/2006/relationships/hyperlink" Target="http://medicarestatistics.humanservices.gov.au/statistics/mbs_item.jsp" TargetMode="External"/><Relationship Id="rId3" Type="http://schemas.openxmlformats.org/officeDocument/2006/relationships/customXml" Target="../customXml/item3.xml"/><Relationship Id="rId21" Type="http://schemas.openxmlformats.org/officeDocument/2006/relationships/header" Target="header6.xml"/><Relationship Id="rId34" Type="http://schemas.openxmlformats.org/officeDocument/2006/relationships/hyperlink" Target="https://www.nhmrc.gov.au/sites/default/files/images/NHMRC" TargetMode="External"/><Relationship Id="rId42" Type="http://schemas.openxmlformats.org/officeDocument/2006/relationships/hyperlink" Target="https://www.ohri.ca/programs/clinical_epidemiology/oxford.asp" TargetMode="External"/><Relationship Id="rId47"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hyperlink" Target="https://www.anzaoms.org/procedures/corrective-jaw-surgery/)," TargetMode="External"/><Relationship Id="rId33" Type="http://schemas.openxmlformats.org/officeDocument/2006/relationships/hyperlink" Target="http://www.ncbi.nlm.nih.gov/pubmed/31211545" TargetMode="External"/><Relationship Id="rId38" Type="http://schemas.openxmlformats.org/officeDocument/2006/relationships/hyperlink" Target="https://surgeryreference.aofoundation.org/cmf/further-reading/cas-computer-assisted-surgery" TargetMode="External"/><Relationship Id="rId46"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1.png"/><Relationship Id="rId29" Type="http://schemas.openxmlformats.org/officeDocument/2006/relationships/hyperlink" Target="https://www.health.gov.au/health-topics/private-health-insurance/the-prostheses-list" TargetMode="External"/><Relationship Id="rId41" Type="http://schemas.openxmlformats.org/officeDocument/2006/relationships/hyperlink" Target="https://www.twi-global.com/technical-knowledge/faqs/faq-manufacturing-what-is-rapid-prototypin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image" Target="media/image3.png"/><Relationship Id="rId32" Type="http://schemas.openxmlformats.org/officeDocument/2006/relationships/hyperlink" Target="https://www.icoi.org/glossary/alveolar-ridge-augmentation/" TargetMode="External"/><Relationship Id="rId37" Type="http://schemas.openxmlformats.org/officeDocument/2006/relationships/hyperlink" Target="https://futureofsurgery.rcseng.ac.uk/report-2018/" TargetMode="External"/><Relationship Id="rId40" Type="http://schemas.openxmlformats.org/officeDocument/2006/relationships/hyperlink" Target="https://apps.who.int/iris/bitstream/handle/10665/258698/9789241512763-eng.pdf" TargetMode="External"/><Relationship Id="rId45" Type="http://schemas.openxmlformats.org/officeDocument/2006/relationships/image" Target="media/image4.png"/><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image" Target="media/image2.png"/><Relationship Id="rId28" Type="http://schemas.openxmlformats.org/officeDocument/2006/relationships/hyperlink" Target="https://www.health.gov.au/sites/default/files/documents/2020/06/prostheses-list-guide.pdf" TargetMode="External"/><Relationship Id="rId36" Type="http://schemas.openxmlformats.org/officeDocument/2006/relationships/hyperlink" Target="https://www.oralhealthgroup.com/features/cad-cam-surgical-guides-implantology-new-old-essential/" TargetMode="External"/><Relationship Id="rId10" Type="http://schemas.openxmlformats.org/officeDocument/2006/relationships/endnotes" Target="endnotes.xml"/><Relationship Id="rId19" Type="http://schemas.openxmlformats.org/officeDocument/2006/relationships/header" Target="header5.xml"/><Relationship Id="rId31" Type="http://schemas.openxmlformats.org/officeDocument/2006/relationships/hyperlink" Target="https://www.privatehealthcareaustralia.org.au/wp-content/uploads/Prostheses-List-data-report-high-growth-product-groups-201920-to-202021-first-edition-final.pdf" TargetMode="External"/><Relationship Id="rId44" Type="http://schemas.openxmlformats.org/officeDocument/2006/relationships/header" Target="header9.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7.xml"/><Relationship Id="rId27" Type="http://schemas.openxmlformats.org/officeDocument/2006/relationships/hyperlink" Target="https://www.health.gov.au/ministers/the-hon-mark-butler-mp/media/modernising-the-prostheses-list-committee-process" TargetMode="External"/><Relationship Id="rId30" Type="http://schemas.openxmlformats.org/officeDocument/2006/relationships/hyperlink" Target="https://www.health.gov.au/health-topics/private-health-insurance/the-prostheses-list/the-prostheses-list-reforms" TargetMode="External"/><Relationship Id="rId35" Type="http://schemas.openxmlformats.org/officeDocument/2006/relationships/hyperlink" Target="https://www.aph.gov.au/Parliamentary_Business/Committees/Senate/Community_Affairs/ProsthesesListFramework/Report/c02" TargetMode="External"/><Relationship Id="rId43" Type="http://schemas.openxmlformats.org/officeDocument/2006/relationships/header" Target="header8.xml"/></Relationships>
</file>

<file path=word/theme/theme1.xml><?xml version="1.0" encoding="utf-8"?>
<a:theme xmlns:a="http://schemas.openxmlformats.org/drawingml/2006/main" name="Office Theme">
  <a:themeElements>
    <a:clrScheme name="AHA">
      <a:dk1>
        <a:sysClr val="windowText" lastClr="000000"/>
      </a:dk1>
      <a:lt1>
        <a:sysClr val="window" lastClr="FFFFFF"/>
      </a:lt1>
      <a:dk2>
        <a:srgbClr val="005A9F"/>
      </a:dk2>
      <a:lt2>
        <a:srgbClr val="71C9FF"/>
      </a:lt2>
      <a:accent1>
        <a:srgbClr val="1976D2"/>
      </a:accent1>
      <a:accent2>
        <a:srgbClr val="00C4D5"/>
      </a:accent2>
      <a:accent3>
        <a:srgbClr val="00A2C1"/>
      </a:accent3>
      <a:accent4>
        <a:srgbClr val="C1C2C3"/>
      </a:accent4>
      <a:accent5>
        <a:srgbClr val="5D5E5F"/>
      </a:accent5>
      <a:accent6>
        <a:srgbClr val="F79646"/>
      </a:accent6>
      <a:hlink>
        <a:srgbClr val="0000FF"/>
      </a:hlink>
      <a:folHlink>
        <a:srgbClr val="800080"/>
      </a:folHlink>
    </a:clrScheme>
    <a:fontScheme name="AHA Light">
      <a:majorFont>
        <a:latin typeface="Segoe UI"/>
        <a:ea typeface=""/>
        <a:cs typeface=""/>
      </a:majorFont>
      <a:minorFont>
        <a:latin typeface="Segoe U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281AA4A6-B9DB-424C-95BD-9C193CBAEEE7}">
  <we:reference id="wa104382081" version="1.46.0.0" store="en-GB" storeType="OMEX"/>
  <we:alternateReferences>
    <we:reference id="WA104382081" version="1.46.0.0" store="" storeType="OMEX"/>
  </we:alternateReferences>
  <we:properties>
    <we:property name="MENDELEY_CITATIONS" value="[]"/>
    <we:property name="MENDELEY_CITATIONS_STYLE" value="{&quot;id&quot;:&quot;https://www.zotero.org/styles/apa&quot;,&quot;title&quot;:&quot;American Psychological Association 7th edition&quot;,&quot;format&quot;:&quot;author-date&quot;,&quot;defaultLocale&quot;:null,&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 StyleNam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47982bc9-4cce-4079-8b5b-28b6bdfb19cf"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6150700993A6F44B2017DEAA366CBA3" ma:contentTypeVersion="14" ma:contentTypeDescription="Create a new document." ma:contentTypeScope="" ma:versionID="904914d271efd60d13017e39517f130b">
  <xsd:schema xmlns:xsd="http://www.w3.org/2001/XMLSchema" xmlns:xs="http://www.w3.org/2001/XMLSchema" xmlns:p="http://schemas.microsoft.com/office/2006/metadata/properties" xmlns:ns3="47982bc9-4cce-4079-8b5b-28b6bdfb19cf" xmlns:ns4="50d66eef-1dda-46f1-b89f-bcb26ecf1715" targetNamespace="http://schemas.microsoft.com/office/2006/metadata/properties" ma:root="true" ma:fieldsID="b14131038b2ba46fd88b64fa5d078572" ns3:_="" ns4:_="">
    <xsd:import namespace="47982bc9-4cce-4079-8b5b-28b6bdfb19cf"/>
    <xsd:import namespace="50d66eef-1dda-46f1-b89f-bcb26ecf1715"/>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4:SharedWithUsers" minOccurs="0"/>
                <xsd:element ref="ns4:SharedWithDetails" minOccurs="0"/>
                <xsd:element ref="ns4:SharingHintHash" minOccurs="0"/>
                <xsd:element ref="ns3:MediaServiceDateTaken" minOccurs="0"/>
                <xsd:element ref="ns3:MediaServiceSystemTags" minOccurs="0"/>
                <xsd:element ref="ns3:MediaServiceGenerationTime" minOccurs="0"/>
                <xsd:element ref="ns3:MediaServiceEventHashCode" minOccurs="0"/>
                <xsd:element ref="ns3:MediaLengthInSeconds" minOccurs="0"/>
                <xsd:element ref="ns3:MediaServiceOCR"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982bc9-4cce-4079-8b5b-28b6bdfb19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SystemTags" ma:index="16" nillable="true" ma:displayName="MediaServiceSystemTags" ma:hidden="true" ma:internalName="MediaServiceSystemTags" ma:readOnly="true">
      <xsd:simpleType>
        <xsd:restriction base="dms:Note"/>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CR" ma:index="20" nillable="true" ma:displayName="Extracted Text" ma:internalName="MediaServiceOCR" ma:readOnly="true">
      <xsd:simpleType>
        <xsd:restriction base="dms:Note">
          <xsd:maxLength value="255"/>
        </xsd:restriction>
      </xsd:simpleType>
    </xsd:element>
    <xsd:element name="_activity" ma:index="21"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d66eef-1dda-46f1-b89f-bcb26ecf171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A080676-2B9F-48A7-AC23-9C0F5D8E7102}">
  <ds:schemaRefs>
    <ds:schemaRef ds:uri="http://schemas.openxmlformats.org/officeDocument/2006/bibliography"/>
  </ds:schemaRefs>
</ds:datastoreItem>
</file>

<file path=customXml/itemProps2.xml><?xml version="1.0" encoding="utf-8"?>
<ds:datastoreItem xmlns:ds="http://schemas.openxmlformats.org/officeDocument/2006/customXml" ds:itemID="{465FCF4A-A0B1-42CF-A28F-F6499B57DDA3}">
  <ds:schemaRefs>
    <ds:schemaRef ds:uri="http://schemas.microsoft.com/sharepoint/v3/contenttype/forms"/>
  </ds:schemaRefs>
</ds:datastoreItem>
</file>

<file path=customXml/itemProps3.xml><?xml version="1.0" encoding="utf-8"?>
<ds:datastoreItem xmlns:ds="http://schemas.openxmlformats.org/officeDocument/2006/customXml" ds:itemID="{033EDED2-1CE9-4AF1-9930-E5359BE9DB85}">
  <ds:schemaRefs>
    <ds:schemaRef ds:uri="http://purl.org/dc/dcmitype/"/>
    <ds:schemaRef ds:uri="http://schemas.microsoft.com/office/infopath/2007/PartnerControls"/>
    <ds:schemaRef ds:uri="http://purl.org/dc/elements/1.1/"/>
    <ds:schemaRef ds:uri="47982bc9-4cce-4079-8b5b-28b6bdfb19cf"/>
    <ds:schemaRef ds:uri="http://schemas.microsoft.com/office/2006/documentManagement/types"/>
    <ds:schemaRef ds:uri="http://schemas.microsoft.com/office/2006/metadata/properties"/>
    <ds:schemaRef ds:uri="http://purl.org/dc/terms/"/>
    <ds:schemaRef ds:uri="http://schemas.openxmlformats.org/package/2006/metadata/core-properties"/>
    <ds:schemaRef ds:uri="50d66eef-1dda-46f1-b89f-bcb26ecf1715"/>
    <ds:schemaRef ds:uri="http://www.w3.org/XML/1998/namespace"/>
  </ds:schemaRefs>
</ds:datastoreItem>
</file>

<file path=customXml/itemProps4.xml><?xml version="1.0" encoding="utf-8"?>
<ds:datastoreItem xmlns:ds="http://schemas.openxmlformats.org/officeDocument/2006/customXml" ds:itemID="{A288B894-BEAC-4CD9-AC79-FE2026697A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982bc9-4cce-4079-8b5b-28b6bdfb19cf"/>
    <ds:schemaRef ds:uri="50d66eef-1dda-46f1-b89f-bcb26ecf17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150</Pages>
  <Words>41830</Words>
  <Characters>830985</Characters>
  <Application>Microsoft Office Word</Application>
  <DocSecurity>0</DocSecurity>
  <Lines>6924</Lines>
  <Paragraphs>1742</Paragraphs>
  <ScaleCrop>false</ScaleCrop>
  <HeadingPairs>
    <vt:vector size="2" baseType="variant">
      <vt:variant>
        <vt:lpstr>Title</vt:lpstr>
      </vt:variant>
      <vt:variant>
        <vt:i4>1</vt:i4>
      </vt:variant>
    </vt:vector>
  </HeadingPairs>
  <TitlesOfParts>
    <vt:vector size="1" baseType="lpstr">
      <vt:lpstr>Review of surgical guides and biomodels currently listed on the Prosthesis List</vt:lpstr>
    </vt:vector>
  </TitlesOfParts>
  <Manager/>
  <Company/>
  <LinksUpToDate>false</LinksUpToDate>
  <CharactersWithSpaces>871073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Review of surgical guides and biomodels currently listed on the Prosthesis List</dc:title>
  <dc:subject>Surgical guides and biomodels review</dc:subject>
  <dc:creator/>
  <cp:keywords>Australian Healthcare Associates</cp:keywords>
  <cp:lastModifiedBy/>
  <cp:revision>1</cp:revision>
  <dcterms:created xsi:type="dcterms:W3CDTF">2024-05-31T02:55:00Z</dcterms:created>
  <dcterms:modified xsi:type="dcterms:W3CDTF">2024-07-10T06:58:00Z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0x010100B6150700993A6F44B2017DEAA366CBA3</vt:lpwstr>
  </property>
</Properties>
</file>